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51" w:rsidRPr="00925C19" w:rsidRDefault="00C91256" w:rsidP="008F3109">
      <w:pPr>
        <w:widowControl w:val="0"/>
        <w:autoSpaceDE w:val="0"/>
        <w:autoSpaceDN w:val="0"/>
        <w:adjustRightInd w:val="0"/>
        <w:spacing w:line="480" w:lineRule="auto"/>
        <w:jc w:val="both"/>
        <w:rPr>
          <w:rFonts w:cs="Helvetica"/>
          <w:b/>
          <w:lang w:val="en-GB"/>
        </w:rPr>
      </w:pPr>
      <w:r>
        <w:rPr>
          <w:rFonts w:cs="Helvetica"/>
          <w:b/>
          <w:lang w:val="en-GB"/>
        </w:rPr>
        <w:t>SUPPLEMENTAL INFORMATION</w:t>
      </w:r>
    </w:p>
    <w:p w:rsidR="008D5A8C" w:rsidRDefault="008D5A8C" w:rsidP="008D5A8C">
      <w:pPr>
        <w:spacing w:line="480" w:lineRule="auto"/>
        <w:jc w:val="both"/>
        <w:rPr>
          <w:b/>
          <w:lang w:val="en-GB"/>
        </w:rPr>
      </w:pPr>
    </w:p>
    <w:p w:rsidR="00A90CDC" w:rsidRDefault="00A90CDC" w:rsidP="008D5A8C">
      <w:pPr>
        <w:spacing w:line="480" w:lineRule="auto"/>
        <w:jc w:val="both"/>
        <w:rPr>
          <w:b/>
          <w:lang w:val="en-GB"/>
        </w:rPr>
      </w:pPr>
      <w:r>
        <w:rPr>
          <w:b/>
          <w:lang w:val="en-GB"/>
        </w:rPr>
        <w:t>TABLE OF CONTENT</w:t>
      </w:r>
    </w:p>
    <w:p w:rsidR="00A90CDC" w:rsidRDefault="00A90CDC" w:rsidP="008D5A8C">
      <w:pPr>
        <w:spacing w:line="480" w:lineRule="auto"/>
        <w:jc w:val="both"/>
        <w:rPr>
          <w:b/>
          <w:lang w:val="en-GB"/>
        </w:rPr>
      </w:pPr>
    </w:p>
    <w:p w:rsidR="008D5A8C" w:rsidRPr="00925C19" w:rsidRDefault="008D5A8C" w:rsidP="008D5A8C">
      <w:pPr>
        <w:widowControl w:val="0"/>
        <w:autoSpaceDE w:val="0"/>
        <w:autoSpaceDN w:val="0"/>
        <w:adjustRightInd w:val="0"/>
        <w:spacing w:line="480" w:lineRule="auto"/>
        <w:jc w:val="both"/>
        <w:rPr>
          <w:rFonts w:cs="Helvetica"/>
          <w:b/>
          <w:lang w:val="en-GB"/>
        </w:rPr>
      </w:pPr>
      <w:r>
        <w:rPr>
          <w:rFonts w:cs="Helvetica"/>
          <w:b/>
          <w:lang w:val="en-GB"/>
        </w:rPr>
        <w:t>1.</w:t>
      </w:r>
      <w:r>
        <w:rPr>
          <w:rFonts w:cs="Helvetica"/>
          <w:b/>
          <w:lang w:val="en-GB"/>
        </w:rPr>
        <w:tab/>
      </w:r>
      <w:r w:rsidR="003F21EF">
        <w:rPr>
          <w:rFonts w:cs="Helvetica"/>
          <w:b/>
          <w:lang w:val="en-GB"/>
        </w:rPr>
        <w:t>Supplemental methods</w:t>
      </w:r>
    </w:p>
    <w:p w:rsidR="008D5A8C" w:rsidRPr="00925C19" w:rsidRDefault="008D5A8C" w:rsidP="008D5A8C">
      <w:pPr>
        <w:spacing w:line="480" w:lineRule="auto"/>
        <w:jc w:val="both"/>
        <w:rPr>
          <w:b/>
          <w:lang w:val="en-GB"/>
        </w:rPr>
      </w:pPr>
      <w:r>
        <w:rPr>
          <w:b/>
          <w:lang w:val="en-GB"/>
        </w:rPr>
        <w:t>2.</w:t>
      </w:r>
      <w:r>
        <w:rPr>
          <w:b/>
          <w:lang w:val="en-GB"/>
        </w:rPr>
        <w:tab/>
      </w:r>
      <w:r w:rsidR="003F21EF">
        <w:rPr>
          <w:b/>
          <w:lang w:val="en-GB"/>
        </w:rPr>
        <w:t>Supplemental references</w:t>
      </w:r>
    </w:p>
    <w:p w:rsidR="00392851" w:rsidRPr="00925C19" w:rsidRDefault="00392851" w:rsidP="008F3109">
      <w:pPr>
        <w:widowControl w:val="0"/>
        <w:autoSpaceDE w:val="0"/>
        <w:autoSpaceDN w:val="0"/>
        <w:adjustRightInd w:val="0"/>
        <w:spacing w:line="480" w:lineRule="auto"/>
        <w:jc w:val="both"/>
        <w:rPr>
          <w:rFonts w:cs="Helvetica"/>
          <w:b/>
          <w:lang w:val="en-GB"/>
        </w:rPr>
      </w:pPr>
    </w:p>
    <w:p w:rsidR="008D5A8C" w:rsidRDefault="008D5A8C">
      <w:pPr>
        <w:rPr>
          <w:rFonts w:cs="Helvetica"/>
          <w:b/>
          <w:lang w:val="en-GB"/>
        </w:rPr>
      </w:pPr>
      <w:r>
        <w:rPr>
          <w:rFonts w:cs="Helvetica"/>
          <w:b/>
          <w:lang w:val="en-GB"/>
        </w:rPr>
        <w:br w:type="page"/>
      </w:r>
    </w:p>
    <w:p w:rsidR="00642758" w:rsidRPr="00925C19" w:rsidRDefault="008D5A8C" w:rsidP="008F3109">
      <w:pPr>
        <w:widowControl w:val="0"/>
        <w:autoSpaceDE w:val="0"/>
        <w:autoSpaceDN w:val="0"/>
        <w:adjustRightInd w:val="0"/>
        <w:spacing w:line="480" w:lineRule="auto"/>
        <w:jc w:val="both"/>
        <w:rPr>
          <w:rFonts w:cs="Helvetica"/>
          <w:b/>
          <w:lang w:val="en-GB"/>
        </w:rPr>
      </w:pPr>
      <w:r>
        <w:rPr>
          <w:rFonts w:cs="Helvetica"/>
          <w:b/>
          <w:lang w:val="en-GB"/>
        </w:rPr>
        <w:t>1.</w:t>
      </w:r>
      <w:r>
        <w:rPr>
          <w:rFonts w:cs="Helvetica"/>
          <w:b/>
          <w:lang w:val="en-GB"/>
        </w:rPr>
        <w:tab/>
      </w:r>
      <w:r w:rsidR="003F21EF">
        <w:rPr>
          <w:rFonts w:cs="Helvetica"/>
          <w:b/>
          <w:lang w:val="en-GB"/>
        </w:rPr>
        <w:t>Supplemental methods</w:t>
      </w:r>
    </w:p>
    <w:p w:rsidR="003F0410" w:rsidRPr="00925C19" w:rsidRDefault="003F0410" w:rsidP="00AA7750">
      <w:pPr>
        <w:spacing w:line="480" w:lineRule="auto"/>
        <w:jc w:val="both"/>
        <w:rPr>
          <w:b/>
          <w:lang w:val="en-GB"/>
        </w:rPr>
      </w:pPr>
    </w:p>
    <w:p w:rsidR="00761A87" w:rsidRPr="00925C19" w:rsidRDefault="00761A87" w:rsidP="00761A87">
      <w:pPr>
        <w:widowControl w:val="0"/>
        <w:autoSpaceDE w:val="0"/>
        <w:autoSpaceDN w:val="0"/>
        <w:adjustRightInd w:val="0"/>
        <w:spacing w:line="480" w:lineRule="auto"/>
        <w:jc w:val="both"/>
        <w:rPr>
          <w:rFonts w:cs="Helvetica"/>
          <w:b/>
          <w:lang w:val="en-GB"/>
        </w:rPr>
      </w:pPr>
      <w:r w:rsidRPr="00925C19">
        <w:rPr>
          <w:rFonts w:cs="Helvetica"/>
          <w:b/>
          <w:lang w:val="en-GB"/>
        </w:rPr>
        <w:t xml:space="preserve">Motif detection and scanning </w:t>
      </w:r>
      <w:r w:rsidRPr="00925C19">
        <w:rPr>
          <w:rFonts w:cs="Helvetica"/>
          <w:lang w:val="en-GB"/>
        </w:rPr>
        <w:t xml:space="preserve">DNA sequence motif detection (both </w:t>
      </w:r>
      <w:r w:rsidRPr="00925C19">
        <w:rPr>
          <w:rFonts w:cs="Helvetica"/>
          <w:i/>
          <w:lang w:val="en-GB"/>
        </w:rPr>
        <w:t>de novo</w:t>
      </w:r>
      <w:r w:rsidRPr="00925C19">
        <w:rPr>
          <w:rFonts w:cs="Helvetica"/>
          <w:lang w:val="en-GB"/>
        </w:rPr>
        <w:t xml:space="preserve"> and based on known motifs) and scanning for the presence of specific motifs was performed using the findMotifsGenome.pl script in HOMER (v. 4.6)</w:t>
      </w:r>
      <w:r w:rsidR="00C50194" w:rsidRPr="00925C19">
        <w:rPr>
          <w:rFonts w:cs="Helvetica"/>
          <w:lang w:val="en-GB"/>
        </w:rPr>
        <w:t xml:space="preserve"> </w:t>
      </w:r>
      <w:r w:rsidR="00573D34" w:rsidRPr="00925C19">
        <w:rPr>
          <w:rFonts w:cs="Helvetica"/>
          <w:lang w:val="en-GB"/>
        </w:rPr>
        <w:fldChar w:fldCharType="begin"/>
      </w:r>
      <w:r w:rsidR="00FF0EFD">
        <w:rPr>
          <w:rFonts w:cs="Helvetica"/>
          <w:lang w:val="en-GB"/>
        </w:rPr>
        <w:instrText xml:space="preserve"> ADDIN PAPERS2_CITATIONS &lt;citation&gt;&lt;uuid&gt;266AA936-E284-45FB-B891-747888524A74&lt;/uuid&gt;&lt;priority&gt;0&lt;/priority&gt;&lt;publications&gt;&lt;publication&gt;&lt;uuid&gt;E58F4599-938D-43A3-BDA5-73B22B2F69E6&lt;/uuid&gt;&lt;volume&gt;38&lt;/volume&gt;&lt;accepted_date&gt;99201005031200000000222000&lt;/accepted_date&gt;&lt;doi&gt;10.1016/j.molcel.2010.05.004&lt;/doi&gt;&lt;startpage&gt;576&lt;/startpage&gt;&lt;revision_date&gt;99201004021200000000222000&lt;/revision_date&gt;&lt;publication_date&gt;99201005281200000000222000&lt;/publication_date&gt;&lt;url&gt;http://linkinghub.elsevier.com/retrieve/pii/S1097276510003667&lt;/url&gt;&lt;type&gt;400&lt;/type&gt;&lt;title&gt;Simple combinations of lineage-determining transcription factors prime cis-regulatory elements required for macrophage and B cell identities.&lt;/title&gt;&lt;submission_date&gt;99201002031200000000222000&lt;/submission_date&gt;&lt;number&gt;4&lt;/number&gt;&lt;institution&gt;Department of Cellular and Molecular Medicine, University of California, San Diego, La Jolla, CA 92093, USA.&lt;/institution&gt;&lt;subtype&gt;400&lt;/subtype&gt;&lt;endpage&gt;589&lt;/endpage&gt;&lt;bundle&gt;&lt;publication&gt;&lt;url&gt;http://www.cell.com/molecular-cell/&lt;/url&gt;&lt;title&gt;Molecular cell&lt;/title&gt;&lt;type&gt;-100&lt;/type&gt;&lt;subtype&gt;-100&lt;/subtype&gt;&lt;uuid&gt;0AA1EC8C-AB52-4E0F-9EC8-94A62966B299&lt;/uuid&gt;&lt;/publication&gt;&lt;/bundle&gt;&lt;authors&gt;&lt;author&gt;&lt;firstName&gt;Sven&lt;/firstName&gt;&lt;lastName&gt;Heinz&lt;/lastName&gt;&lt;/author&gt;&lt;author&gt;&lt;firstName&gt;Christopher&lt;/firstName&gt;&lt;lastName&gt;Benner&lt;/lastName&gt;&lt;/author&gt;&lt;author&gt;&lt;firstName&gt;Nathanael&lt;/firstName&gt;&lt;lastName&gt;Spann&lt;/lastName&gt;&lt;/author&gt;&lt;author&gt;&lt;firstName&gt;Eric&lt;/firstName&gt;&lt;lastName&gt;Bertolino&lt;/lastName&gt;&lt;/author&gt;&lt;author&gt;&lt;firstName&gt;Yin&lt;/firstName&gt;&lt;middleNames&gt;C&lt;/middleNames&gt;&lt;lastName&gt;Lin&lt;/lastName&gt;&lt;/author&gt;&lt;author&gt;&lt;firstName&gt;Peter&lt;/firstName&gt;&lt;lastName&gt;Laslo&lt;/lastName&gt;&lt;/author&gt;&lt;author&gt;&lt;firstName&gt;Jason&lt;/firstName&gt;&lt;middleNames&gt;X&lt;/middleNames&gt;&lt;lastName&gt;Cheng&lt;/lastName&gt;&lt;/author&gt;&lt;author&gt;&lt;firstName&gt;Cornelis&lt;/firstName&gt;&lt;lastName&gt;Murre&lt;/lastName&gt;&lt;/author&gt;&lt;author&gt;&lt;firstName&gt;Harinder&lt;/firstName&gt;&lt;lastName&gt;Singh&lt;/lastName&gt;&lt;/author&gt;&lt;author&gt;&lt;firstName&gt;Christopher&lt;/firstName&gt;&lt;middleNames&gt;K&lt;/middleNames&gt;&lt;lastName&gt;Glass&lt;/lastName&gt;&lt;/author&gt;&lt;/authors&gt;&lt;/publication&gt;&lt;/publications&gt;&lt;cites&gt;&lt;/cites&gt;&lt;/citation&gt;</w:instrText>
      </w:r>
      <w:r w:rsidR="00573D34" w:rsidRPr="00925C19">
        <w:rPr>
          <w:rFonts w:cs="Helvetica"/>
          <w:lang w:val="en-GB"/>
        </w:rPr>
        <w:fldChar w:fldCharType="separate"/>
      </w:r>
      <w:r w:rsidR="008B3A2B" w:rsidRPr="00925C19">
        <w:rPr>
          <w:rFonts w:ascii="Cambria" w:hAnsi="Cambria" w:cs="Cambria"/>
          <w:lang w:val="en-GB"/>
        </w:rPr>
        <w:t>(Heinz et al. 2010)</w:t>
      </w:r>
      <w:r w:rsidR="00573D34" w:rsidRPr="00925C19">
        <w:rPr>
          <w:rFonts w:cs="Helvetica"/>
          <w:lang w:val="en-GB"/>
        </w:rPr>
        <w:fldChar w:fldCharType="end"/>
      </w:r>
      <w:r w:rsidRPr="00925C19">
        <w:rPr>
          <w:rFonts w:cs="Helvetica"/>
          <w:lang w:val="en-GB"/>
        </w:rPr>
        <w:t xml:space="preserve">, both for ChIP-seq and </w:t>
      </w:r>
      <w:proofErr w:type="spellStart"/>
      <w:r w:rsidRPr="00925C19">
        <w:rPr>
          <w:rFonts w:cs="Helvetica"/>
          <w:lang w:val="en-GB"/>
        </w:rPr>
        <w:t>DNase-seq</w:t>
      </w:r>
      <w:proofErr w:type="spellEnd"/>
      <w:r w:rsidRPr="00925C19">
        <w:rPr>
          <w:rFonts w:cs="Helvetica"/>
          <w:lang w:val="en-GB"/>
        </w:rPr>
        <w:t xml:space="preserve"> peaks.</w:t>
      </w:r>
    </w:p>
    <w:p w:rsidR="00BF74F3" w:rsidRPr="00925C19" w:rsidRDefault="00BF74F3" w:rsidP="00AA7750">
      <w:pPr>
        <w:spacing w:line="480" w:lineRule="auto"/>
        <w:jc w:val="both"/>
        <w:rPr>
          <w:b/>
          <w:lang w:val="en-GB"/>
        </w:rPr>
      </w:pPr>
    </w:p>
    <w:p w:rsidR="00AA7750" w:rsidRPr="00925C19" w:rsidRDefault="00AA7750" w:rsidP="00AA7750">
      <w:pPr>
        <w:spacing w:line="480" w:lineRule="auto"/>
        <w:jc w:val="both"/>
        <w:rPr>
          <w:lang w:val="en-GB"/>
        </w:rPr>
      </w:pPr>
      <w:r w:rsidRPr="00925C19">
        <w:rPr>
          <w:b/>
          <w:lang w:val="en-GB"/>
        </w:rPr>
        <w:t>Gene ontology analysis</w:t>
      </w:r>
      <w:r w:rsidR="00046321" w:rsidRPr="00925C19">
        <w:rPr>
          <w:lang w:val="en-GB"/>
        </w:rPr>
        <w:t xml:space="preserve"> </w:t>
      </w:r>
      <w:r w:rsidRPr="00925C19">
        <w:rPr>
          <w:lang w:val="en-GB"/>
        </w:rPr>
        <w:t xml:space="preserve">Gene ontology enrichment analysis was performed using the Panther classification system. </w:t>
      </w:r>
      <w:r w:rsidRPr="00925C19">
        <w:rPr>
          <w:rFonts w:eastAsia="Times New Roman"/>
          <w:lang w:val="en-GB"/>
        </w:rPr>
        <w:t>Comparative gene ontology analysis fold changes were calculated by dividing the enrichment of a single term within the group of interest by the enrichment for that same term in all groups considered.</w:t>
      </w:r>
    </w:p>
    <w:p w:rsidR="00AA7750" w:rsidRPr="00925C19" w:rsidRDefault="00AA7750" w:rsidP="00AA7750">
      <w:pPr>
        <w:spacing w:line="480" w:lineRule="auto"/>
        <w:jc w:val="both"/>
        <w:rPr>
          <w:rFonts w:eastAsia="Times New Roman"/>
          <w:lang w:val="en-GB"/>
        </w:rPr>
      </w:pPr>
    </w:p>
    <w:p w:rsidR="00AA7750" w:rsidRPr="00925C19" w:rsidRDefault="00ED5FE3" w:rsidP="00AA7750">
      <w:pPr>
        <w:spacing w:line="480" w:lineRule="auto"/>
        <w:jc w:val="both"/>
        <w:rPr>
          <w:rFonts w:eastAsia="Times New Roman"/>
          <w:lang w:val="en-GB"/>
        </w:rPr>
      </w:pPr>
      <w:r>
        <w:rPr>
          <w:rFonts w:eastAsia="Times New Roman"/>
          <w:b/>
          <w:lang w:val="en-GB"/>
        </w:rPr>
        <w:t>VISTA</w:t>
      </w:r>
      <w:r w:rsidR="00AA7750" w:rsidRPr="00925C19">
        <w:rPr>
          <w:rFonts w:eastAsia="Times New Roman"/>
          <w:b/>
          <w:lang w:val="en-GB"/>
        </w:rPr>
        <w:t xml:space="preserve"> database comparison</w:t>
      </w:r>
      <w:r w:rsidR="00046321" w:rsidRPr="00925C19">
        <w:rPr>
          <w:rFonts w:eastAsia="Times New Roman"/>
          <w:lang w:val="en-GB"/>
        </w:rPr>
        <w:t xml:space="preserve"> </w:t>
      </w:r>
      <w:r w:rsidR="00AA7750" w:rsidRPr="00925C19">
        <w:rPr>
          <w:rFonts w:eastAsia="Times New Roman"/>
          <w:lang w:val="en-GB"/>
        </w:rPr>
        <w:t xml:space="preserve">All enhancers in the database that showed expression in any of ‘neural tube’, ‘midbrain’, ‘hindbrain’ or ‘forebrain’ were extracted and analyzed for overlap with our DHS regions. We then compared the specificity of our DHSs or </w:t>
      </w:r>
      <w:r w:rsidR="008604FD">
        <w:rPr>
          <w:rFonts w:eastAsia="Times New Roman"/>
          <w:lang w:val="en-GB"/>
        </w:rPr>
        <w:t>SOX</w:t>
      </w:r>
      <w:r>
        <w:rPr>
          <w:rFonts w:eastAsia="Times New Roman"/>
          <w:lang w:val="en-GB"/>
        </w:rPr>
        <w:t>2</w:t>
      </w:r>
      <w:r w:rsidR="00AA7750" w:rsidRPr="00925C19">
        <w:rPr>
          <w:rFonts w:eastAsia="Times New Roman"/>
          <w:lang w:val="en-GB"/>
        </w:rPr>
        <w:t xml:space="preserve"> peaks to the </w:t>
      </w:r>
      <w:r>
        <w:rPr>
          <w:rFonts w:eastAsia="Times New Roman"/>
          <w:lang w:val="en-GB"/>
        </w:rPr>
        <w:t>VISTA</w:t>
      </w:r>
      <w:r w:rsidR="00AA7750" w:rsidRPr="00925C19">
        <w:rPr>
          <w:rFonts w:eastAsia="Times New Roman"/>
          <w:lang w:val="en-GB"/>
        </w:rPr>
        <w:t xml:space="preserve"> enhancer’s classifications of the overlapping regions, based on their expression in ‘forebrain’, caudal neural tube (‘hindbrain’ or ‘midbrain’) or both.</w:t>
      </w:r>
    </w:p>
    <w:p w:rsidR="003F0410" w:rsidRPr="00925C19" w:rsidRDefault="003F0410" w:rsidP="00AA7750">
      <w:pPr>
        <w:spacing w:line="480" w:lineRule="auto"/>
        <w:jc w:val="both"/>
        <w:rPr>
          <w:rFonts w:eastAsia="Times New Roman"/>
          <w:lang w:val="en-GB"/>
        </w:rPr>
      </w:pPr>
    </w:p>
    <w:p w:rsidR="003F0410" w:rsidRPr="00925C19" w:rsidRDefault="003F0410" w:rsidP="003F0410">
      <w:pPr>
        <w:spacing w:line="480" w:lineRule="auto"/>
        <w:jc w:val="both"/>
        <w:rPr>
          <w:rFonts w:eastAsia="Times New Roman"/>
          <w:lang w:val="en-GB"/>
        </w:rPr>
      </w:pPr>
      <w:r w:rsidRPr="00925C19">
        <w:rPr>
          <w:rFonts w:eastAsia="Times New Roman"/>
          <w:b/>
          <w:lang w:val="en-GB"/>
        </w:rPr>
        <w:t>Gene expression enrichment</w:t>
      </w:r>
      <w:r w:rsidRPr="00925C19">
        <w:rPr>
          <w:rFonts w:eastAsia="Times New Roman"/>
          <w:lang w:val="en-GB"/>
        </w:rPr>
        <w:t xml:space="preserve"> In order to compare the relative overlap enrichment of gene sets of different sizes, we took the number of overlapping genes between two gene sets (</w:t>
      </w:r>
      <w:proofErr w:type="spellStart"/>
      <w:r w:rsidRPr="00925C19">
        <w:rPr>
          <w:rFonts w:eastAsia="Times New Roman"/>
          <w:lang w:val="en-GB"/>
        </w:rPr>
        <w:t>ie</w:t>
      </w:r>
      <w:proofErr w:type="spellEnd"/>
      <w:r w:rsidRPr="00925C19">
        <w:rPr>
          <w:rFonts w:eastAsia="Times New Roman"/>
          <w:lang w:val="en-GB"/>
        </w:rPr>
        <w:t>. enhancer set’s nearest genes and specifically expressed gene set) and divided that by the multiple of the number of genes in each group.</w:t>
      </w:r>
    </w:p>
    <w:p w:rsidR="00FF0EFD" w:rsidRPr="00FF0EFD" w:rsidRDefault="00FF0EFD" w:rsidP="00AA7750">
      <w:pPr>
        <w:spacing w:line="480" w:lineRule="auto"/>
        <w:jc w:val="both"/>
        <w:rPr>
          <w:rFonts w:ascii="Cambria" w:eastAsia="Times New Roman" w:hAnsi="Cambria"/>
          <w:lang w:val="en-GB"/>
        </w:rPr>
      </w:pPr>
    </w:p>
    <w:p w:rsidR="00FF0EFD" w:rsidRPr="00FF0EFD" w:rsidRDefault="00FF0EFD" w:rsidP="00AA7750">
      <w:pPr>
        <w:spacing w:line="480" w:lineRule="auto"/>
        <w:jc w:val="both"/>
        <w:rPr>
          <w:rFonts w:ascii="Cambria" w:eastAsia="Times New Roman" w:hAnsi="Cambria"/>
          <w:b/>
          <w:lang w:val="en-GB"/>
        </w:rPr>
      </w:pPr>
      <w:proofErr w:type="spellStart"/>
      <w:r w:rsidRPr="00FF0EFD">
        <w:rPr>
          <w:rFonts w:ascii="Cambria" w:eastAsia="Times New Roman" w:hAnsi="Cambria"/>
          <w:b/>
          <w:lang w:val="en-GB"/>
        </w:rPr>
        <w:t>DNase</w:t>
      </w:r>
      <w:proofErr w:type="spellEnd"/>
      <w:r w:rsidRPr="00FF0EFD">
        <w:rPr>
          <w:rFonts w:ascii="Cambria" w:eastAsia="Times New Roman" w:hAnsi="Cambria"/>
          <w:b/>
          <w:lang w:val="en-GB"/>
        </w:rPr>
        <w:t xml:space="preserve"> I footprints</w:t>
      </w:r>
    </w:p>
    <w:p w:rsidR="00FF0EFD" w:rsidRPr="00FF0EFD" w:rsidRDefault="00FF0EFD" w:rsidP="00AA7750">
      <w:pPr>
        <w:spacing w:line="480" w:lineRule="auto"/>
        <w:jc w:val="both"/>
        <w:rPr>
          <w:rFonts w:ascii="Cambria" w:eastAsia="Times New Roman" w:hAnsi="Cambria"/>
          <w:lang w:val="en-GB"/>
        </w:rPr>
      </w:pPr>
      <w:proofErr w:type="spellStart"/>
      <w:r w:rsidRPr="00FF0EFD">
        <w:rPr>
          <w:rFonts w:ascii="Cambria" w:hAnsi="Cambria" w:cs="Helvetica"/>
          <w:lang w:val="en-US"/>
        </w:rPr>
        <w:t>DNase</w:t>
      </w:r>
      <w:proofErr w:type="spellEnd"/>
      <w:r w:rsidR="00ED5FE3">
        <w:rPr>
          <w:rFonts w:ascii="Cambria" w:hAnsi="Cambria" w:cs="Helvetica"/>
          <w:lang w:val="en-US"/>
        </w:rPr>
        <w:t xml:space="preserve"> </w:t>
      </w:r>
      <w:r w:rsidRPr="00FF0EFD">
        <w:rPr>
          <w:rFonts w:ascii="Cambria" w:hAnsi="Cambria" w:cs="Helvetica"/>
          <w:lang w:val="en-US"/>
        </w:rPr>
        <w:t xml:space="preserve">I footprints were called from the </w:t>
      </w:r>
      <w:proofErr w:type="spellStart"/>
      <w:r w:rsidRPr="00FF0EFD">
        <w:rPr>
          <w:rFonts w:ascii="Cambria" w:hAnsi="Cambria" w:cs="Helvetica"/>
          <w:lang w:val="en-US"/>
        </w:rPr>
        <w:t>DNase-seq</w:t>
      </w:r>
      <w:proofErr w:type="spellEnd"/>
      <w:r w:rsidRPr="00FF0EFD">
        <w:rPr>
          <w:rFonts w:ascii="Cambria" w:hAnsi="Cambria" w:cs="Helvetica"/>
          <w:lang w:val="en-US"/>
        </w:rPr>
        <w:t xml:space="preserve"> data using the Wellington algorithm implemented in the </w:t>
      </w:r>
      <w:proofErr w:type="spellStart"/>
      <w:r w:rsidRPr="00FF0EFD">
        <w:rPr>
          <w:rFonts w:ascii="Cambria" w:hAnsi="Cambria" w:cs="Helvetica"/>
          <w:lang w:val="en-US"/>
        </w:rPr>
        <w:t>pyDNase</w:t>
      </w:r>
      <w:proofErr w:type="spellEnd"/>
      <w:r w:rsidRPr="00FF0EFD">
        <w:rPr>
          <w:rFonts w:ascii="Cambria" w:hAnsi="Cambria" w:cs="Helvetica"/>
          <w:lang w:val="en-US"/>
        </w:rPr>
        <w:t xml:space="preserve"> package </w:t>
      </w:r>
      <w:r w:rsidR="00573D34">
        <w:rPr>
          <w:rFonts w:ascii="Cambria" w:hAnsi="Cambria" w:cs="Helvetica"/>
          <w:lang w:val="en-US"/>
        </w:rPr>
        <w:fldChar w:fldCharType="begin"/>
      </w:r>
      <w:r>
        <w:rPr>
          <w:rFonts w:ascii="Cambria" w:hAnsi="Cambria" w:cs="Helvetica"/>
          <w:lang w:val="en-US"/>
        </w:rPr>
        <w:instrText xml:space="preserve"> ADDIN PAPERS2_CITATIONS &lt;citation&gt;&lt;uuid&gt;79989C07-A8E2-43F5-A32F-B054FA35716B&lt;/uuid&gt;&lt;priority&gt;0&lt;/priority&gt;&lt;publications&gt;&lt;publication&gt;&lt;uuid&gt;BD1DF23F-E089-4C3C-B998-AED339E98434&lt;/uuid&gt;&lt;volume&gt;41&lt;/volume&gt;&lt;doi&gt;10.1093/nar/gkt850&lt;/doi&gt;&lt;startpage&gt;e201&lt;/startpage&gt;&lt;publication_date&gt;99201311001200000000220000&lt;/publication_date&gt;&lt;url&gt;http://nar.oxfordjournals.org/lookup/doi/10.1093/nar/gkt850&lt;/url&gt;&lt;type&gt;400&lt;/type&gt;&lt;title&gt;Wellington: a novel method for the accurate identification of digital genomic footprints from DNase-seq data.&lt;/title&gt;&lt;publisher&gt;Oxford University Press&lt;/publisher&gt;&lt;institution&gt;Warwick Systems Biology Centre, University of Warwick, Coventry, CV4 7AL, United Kingdom, School of Cancer Sciences, Institute of Biomedical Research, College of Medical and Dental Sciences, University of Birmingham, Birmingham, B15 2TT, United Kingdom, Department of Statistics, University of Warwick, Coventry, CV4 7AL, United Kingdom and School of Immunity and Infection, Institute of Biomedical Research, College of Medical and Dental Sciences, University of Birmingham, Birmingham, B15 2TT, United Kingdom.&lt;/institution&gt;&lt;number&gt;21&lt;/number&gt;&lt;subtype&gt;400&lt;/subtype&gt;&lt;endpage&gt;e201&lt;/endpage&gt;&lt;bundle&gt;&lt;publication&gt;&lt;title&gt;Nucleic Acids Research&lt;/title&gt;&lt;type&gt;-100&lt;/type&gt;&lt;subtype&gt;-100&lt;/subtype&gt;&lt;uuid&gt;5BA4B5B6-C849-4733-81DF-F9B28214ECCC&lt;/uuid&gt;&lt;/publication&gt;&lt;/bundle&gt;&lt;authors&gt;&lt;author&gt;&lt;firstName&gt;Jason&lt;/firstName&gt;&lt;lastName&gt;Piper&lt;/lastName&gt;&lt;/author&gt;&lt;author&gt;&lt;firstName&gt;Markus&lt;/firstName&gt;&lt;middleNames&gt;C&lt;/middleNames&gt;&lt;lastName&gt;Elze&lt;/lastName&gt;&lt;/author&gt;&lt;author&gt;&lt;firstName&gt;Pierre&lt;/firstName&gt;&lt;lastName&gt;Cauchy&lt;/lastName&gt;&lt;/author&gt;&lt;author&gt;&lt;firstName&gt;Peter&lt;/firstName&gt;&lt;middleNames&gt;N&lt;/middleNames&gt;&lt;lastName&gt;Cockerill&lt;/lastName&gt;&lt;/author&gt;&lt;author&gt;&lt;firstName&gt;Constanze&lt;/firstName&gt;&lt;lastName&gt;Bonifer&lt;/lastName&gt;&lt;/author&gt;&lt;author&gt;&lt;firstName&gt;Sascha&lt;/firstName&gt;&lt;lastName&gt;Ott&lt;/lastName&gt;&lt;/author&gt;&lt;/authors&gt;&lt;/publication&gt;&lt;/publications&gt;&lt;cites&gt;&lt;/cites&gt;&lt;/citation&gt;</w:instrText>
      </w:r>
      <w:r w:rsidR="00573D34">
        <w:rPr>
          <w:rFonts w:ascii="Cambria" w:hAnsi="Cambria" w:cs="Helvetica"/>
          <w:lang w:val="en-US"/>
        </w:rPr>
        <w:fldChar w:fldCharType="separate"/>
      </w:r>
      <w:r>
        <w:rPr>
          <w:rFonts w:ascii="Cambria" w:hAnsi="Cambria" w:cs="Cambria"/>
          <w:lang w:val="en-US"/>
        </w:rPr>
        <w:t>(Piper et al. 2013)</w:t>
      </w:r>
      <w:r w:rsidR="00573D34">
        <w:rPr>
          <w:rFonts w:ascii="Cambria" w:hAnsi="Cambria" w:cs="Helvetica"/>
          <w:lang w:val="en-US"/>
        </w:rPr>
        <w:fldChar w:fldCharType="end"/>
      </w:r>
      <w:r w:rsidRPr="00FF0EFD">
        <w:rPr>
          <w:rFonts w:ascii="Cambria" w:hAnsi="Cambria" w:cs="Helvetica"/>
          <w:lang w:val="en-US"/>
        </w:rPr>
        <w:t xml:space="preserve"> with default parameters except for -</w:t>
      </w:r>
      <w:proofErr w:type="spellStart"/>
      <w:r w:rsidRPr="00FF0EFD">
        <w:rPr>
          <w:rFonts w:ascii="Cambria" w:hAnsi="Cambria" w:cs="Helvetica"/>
          <w:lang w:val="en-US"/>
        </w:rPr>
        <w:t>fdrlimit</w:t>
      </w:r>
      <w:proofErr w:type="spellEnd"/>
      <w:r w:rsidRPr="00FF0EFD">
        <w:rPr>
          <w:rFonts w:ascii="Cambria" w:hAnsi="Cambria" w:cs="Helvetica"/>
          <w:lang w:val="en-US"/>
        </w:rPr>
        <w:t xml:space="preserve"> set to -5, yielding 90,871 inferred footprints in E11 spinal cord and 88,794 footprints in E11 cortex.</w:t>
      </w:r>
    </w:p>
    <w:p w:rsidR="003F0410" w:rsidRPr="00FF0EFD" w:rsidRDefault="003F0410" w:rsidP="00AA7750">
      <w:pPr>
        <w:spacing w:line="480" w:lineRule="auto"/>
        <w:jc w:val="both"/>
        <w:rPr>
          <w:rFonts w:ascii="Cambria" w:eastAsia="Times New Roman" w:hAnsi="Cambria"/>
          <w:lang w:val="en-GB"/>
        </w:rPr>
      </w:pPr>
    </w:p>
    <w:p w:rsidR="003F0410" w:rsidRPr="00925C19" w:rsidRDefault="003F0410" w:rsidP="003F0410">
      <w:pPr>
        <w:spacing w:line="480" w:lineRule="auto"/>
        <w:jc w:val="both"/>
        <w:rPr>
          <w:rFonts w:eastAsia="Times New Roman"/>
          <w:lang w:val="en-GB"/>
        </w:rPr>
      </w:pPr>
      <w:r w:rsidRPr="00925C19">
        <w:rPr>
          <w:rFonts w:eastAsia="Times New Roman"/>
          <w:b/>
          <w:lang w:val="en-GB"/>
        </w:rPr>
        <w:t>Co-Immunoprecipitation</w:t>
      </w:r>
    </w:p>
    <w:p w:rsidR="003F0410" w:rsidRPr="00925C19" w:rsidRDefault="003F0410" w:rsidP="003F0410">
      <w:pPr>
        <w:spacing w:line="480" w:lineRule="auto"/>
        <w:jc w:val="both"/>
        <w:rPr>
          <w:rFonts w:eastAsia="Times New Roman"/>
          <w:lang w:val="en-GB"/>
        </w:rPr>
      </w:pPr>
      <w:r w:rsidRPr="00925C19">
        <w:rPr>
          <w:rFonts w:eastAsia="Times New Roman"/>
          <w:lang w:val="en-GB"/>
        </w:rPr>
        <w:t>Co-Immunoprecipitation was performed as described in</w:t>
      </w:r>
      <w:r w:rsidR="00C50194" w:rsidRPr="00925C19">
        <w:rPr>
          <w:rFonts w:eastAsia="Times New Roman"/>
          <w:lang w:val="en-GB"/>
        </w:rPr>
        <w:t xml:space="preserve"> </w:t>
      </w:r>
      <w:r w:rsidR="00573D34" w:rsidRPr="00925C19">
        <w:rPr>
          <w:rFonts w:eastAsia="Times New Roman"/>
          <w:lang w:val="en-GB"/>
        </w:rPr>
        <w:fldChar w:fldCharType="begin"/>
      </w:r>
      <w:r w:rsidR="00FF0EFD">
        <w:rPr>
          <w:rFonts w:eastAsia="Times New Roman"/>
          <w:lang w:val="en-GB"/>
        </w:rPr>
        <w:instrText xml:space="preserve"> ADDIN PAPERS2_CITATIONS &lt;citation&gt;&lt;uuid&gt;8DE36431-49DE-4081-B5D0-BBD82FC508B9&lt;/uuid&gt;&lt;priority&gt;0&lt;/priority&gt;&lt;publications&gt;&lt;publication&gt;&lt;uuid&gt;82A0DDBD-6465-40FF-A623-DC16C93D3CC0&lt;/uuid&gt;&lt;volume&gt;9&lt;/volume&gt;&lt;accepted_date&gt;99201411081200000000222000&lt;/accepted_date&gt;&lt;doi&gt;10.1016/j.celrep.2014.11.013&lt;/doi&gt;&lt;startpage&gt;1908&lt;/startpage&gt;&lt;revision_date&gt;99201409251200000000222000&lt;/revision_date&gt;&lt;publication_date&gt;99201412031200000000222000&lt;/publication_date&gt;&lt;url&gt;http://linkinghub.elsevier.com/retrieve/pii/S221112471400967X&lt;/url&gt;&lt;type&gt;400&lt;/type&gt;&lt;title&gt;Sox2 Acts in a Dose-Dependent Fashion to Regulate Proliferation of Cortical Progenitors.&lt;/title&gt;&lt;submission_date&gt;99201402111200000000222000&lt;/submission_date&gt;&lt;number&gt;5&lt;/number&gt;&lt;institution&gt;Department of Cell and Molecular Biology, Ludwig Institute for Cancer Research, Karolinska Institutet, von Eulers väg 5, 171 77 Stockholm, Sweden.&lt;/institution&gt;&lt;subtype&gt;400&lt;/subtype&gt;&lt;endpage&gt;1920&lt;/endpage&gt;&lt;bundle&gt;&lt;publication&gt;&lt;title&gt;Cell reports&lt;/title&gt;&lt;type&gt;-100&lt;/type&gt;&lt;subtype&gt;-100&lt;/subtype&gt;&lt;uuid&gt;DBCB962B-70C1-4520-A7A9-8DB43FDA361E&lt;/uuid&gt;&lt;/publication&gt;&lt;/bundle&gt;&lt;authors&gt;&lt;author&gt;&lt;firstName&gt;Daniel&lt;/firstName&gt;&lt;middleNames&gt;W&lt;/middleNames&gt;&lt;lastName&gt;Hagey&lt;/lastName&gt;&lt;/author&gt;&lt;author&gt;&lt;firstName&gt;Jonas&lt;/firstName&gt;&lt;lastName&gt;Muhr&lt;/lastName&gt;&lt;/author&gt;&lt;/authors&gt;&lt;/publication&gt;&lt;/publications&gt;&lt;cites&gt;&lt;/cites&gt;&lt;/citation&gt;</w:instrText>
      </w:r>
      <w:r w:rsidR="00573D34" w:rsidRPr="00925C19">
        <w:rPr>
          <w:rFonts w:eastAsia="Times New Roman"/>
          <w:lang w:val="en-GB"/>
        </w:rPr>
        <w:fldChar w:fldCharType="separate"/>
      </w:r>
      <w:r w:rsidR="008B3A2B" w:rsidRPr="00925C19">
        <w:rPr>
          <w:rFonts w:ascii="Cambria" w:hAnsi="Cambria" w:cs="Cambria"/>
          <w:lang w:val="en-GB"/>
        </w:rPr>
        <w:t>(Hagey and Muhr 2014)</w:t>
      </w:r>
      <w:r w:rsidR="00573D34" w:rsidRPr="00925C19">
        <w:rPr>
          <w:rFonts w:eastAsia="Times New Roman"/>
          <w:lang w:val="en-GB"/>
        </w:rPr>
        <w:fldChar w:fldCharType="end"/>
      </w:r>
      <w:r w:rsidRPr="00925C19">
        <w:rPr>
          <w:rFonts w:eastAsia="Times New Roman"/>
          <w:lang w:val="en-GB"/>
        </w:rPr>
        <w:t>.</w:t>
      </w:r>
    </w:p>
    <w:p w:rsidR="00761A87" w:rsidRPr="00925C19" w:rsidRDefault="00761A87" w:rsidP="00AA7750">
      <w:pPr>
        <w:spacing w:line="480" w:lineRule="auto"/>
        <w:jc w:val="both"/>
        <w:rPr>
          <w:rFonts w:eastAsia="Times New Roman"/>
          <w:lang w:val="en-GB"/>
        </w:rPr>
      </w:pPr>
    </w:p>
    <w:p w:rsidR="00AA7750" w:rsidRPr="00925C19" w:rsidRDefault="00AA7750" w:rsidP="00AA7750">
      <w:pPr>
        <w:spacing w:line="480" w:lineRule="auto"/>
        <w:jc w:val="both"/>
        <w:rPr>
          <w:rFonts w:eastAsia="Times New Roman"/>
          <w:b/>
          <w:lang w:val="en-GB"/>
        </w:rPr>
      </w:pPr>
      <w:r w:rsidRPr="00925C19">
        <w:rPr>
          <w:rFonts w:eastAsia="Times New Roman"/>
          <w:b/>
          <w:lang w:val="en-GB"/>
        </w:rPr>
        <w:t xml:space="preserve">In </w:t>
      </w:r>
      <w:proofErr w:type="spellStart"/>
      <w:r w:rsidRPr="00925C19">
        <w:rPr>
          <w:rFonts w:eastAsia="Times New Roman"/>
          <w:b/>
          <w:lang w:val="en-GB"/>
        </w:rPr>
        <w:t>utero</w:t>
      </w:r>
      <w:proofErr w:type="spellEnd"/>
      <w:r w:rsidRPr="00925C19">
        <w:rPr>
          <w:rFonts w:eastAsia="Times New Roman"/>
          <w:b/>
          <w:lang w:val="en-GB"/>
        </w:rPr>
        <w:t xml:space="preserve"> electroporation</w:t>
      </w:r>
      <w:r w:rsidR="00834F63">
        <w:rPr>
          <w:rFonts w:eastAsia="Times New Roman"/>
          <w:b/>
          <w:lang w:val="en-GB"/>
        </w:rPr>
        <w:t xml:space="preserve">, </w:t>
      </w:r>
      <w:proofErr w:type="spellStart"/>
      <w:r w:rsidR="00834F63">
        <w:rPr>
          <w:rFonts w:eastAsia="Times New Roman"/>
          <w:b/>
          <w:lang w:val="en-GB"/>
        </w:rPr>
        <w:t>Immunohistochemistry</w:t>
      </w:r>
      <w:proofErr w:type="spellEnd"/>
      <w:r w:rsidR="00834F63">
        <w:rPr>
          <w:rFonts w:eastAsia="Times New Roman"/>
          <w:b/>
          <w:lang w:val="en-GB"/>
        </w:rPr>
        <w:t>,</w:t>
      </w:r>
      <w:r w:rsidRPr="00925C19">
        <w:rPr>
          <w:rFonts w:eastAsia="Times New Roman"/>
          <w:b/>
          <w:lang w:val="en-GB"/>
        </w:rPr>
        <w:t xml:space="preserve"> RNA-</w:t>
      </w:r>
      <w:proofErr w:type="spellStart"/>
      <w:r w:rsidRPr="00925C19">
        <w:rPr>
          <w:rFonts w:eastAsia="Times New Roman"/>
          <w:b/>
          <w:lang w:val="en-GB"/>
        </w:rPr>
        <w:t>seq</w:t>
      </w:r>
      <w:proofErr w:type="spellEnd"/>
      <w:r w:rsidRPr="00925C19">
        <w:rPr>
          <w:rFonts w:eastAsia="Times New Roman"/>
          <w:b/>
          <w:lang w:val="en-GB"/>
        </w:rPr>
        <w:t xml:space="preserve"> and target feature enrichment</w:t>
      </w:r>
    </w:p>
    <w:p w:rsidR="00034C8E" w:rsidRDefault="00AA7750" w:rsidP="00AA7750">
      <w:pPr>
        <w:spacing w:line="480" w:lineRule="auto"/>
        <w:jc w:val="both"/>
        <w:rPr>
          <w:rFonts w:eastAsia="Times New Roman"/>
          <w:lang w:val="en-GB"/>
        </w:rPr>
      </w:pPr>
      <w:r w:rsidRPr="00925C19">
        <w:rPr>
          <w:rFonts w:eastAsia="Times New Roman"/>
          <w:lang w:val="en-GB"/>
        </w:rPr>
        <w:t xml:space="preserve">In </w:t>
      </w:r>
      <w:proofErr w:type="spellStart"/>
      <w:r w:rsidRPr="00925C19">
        <w:rPr>
          <w:rFonts w:eastAsia="Times New Roman"/>
          <w:lang w:val="en-GB"/>
        </w:rPr>
        <w:t>utero</w:t>
      </w:r>
      <w:proofErr w:type="spellEnd"/>
      <w:r w:rsidRPr="00925C19">
        <w:rPr>
          <w:rFonts w:eastAsia="Times New Roman"/>
          <w:lang w:val="en-GB"/>
        </w:rPr>
        <w:t xml:space="preserve"> electroporation, FACS and RNA-</w:t>
      </w:r>
      <w:proofErr w:type="spellStart"/>
      <w:r w:rsidRPr="00925C19">
        <w:rPr>
          <w:rFonts w:eastAsia="Times New Roman"/>
          <w:lang w:val="en-GB"/>
        </w:rPr>
        <w:t>seq</w:t>
      </w:r>
      <w:proofErr w:type="spellEnd"/>
      <w:r w:rsidRPr="00925C19">
        <w:rPr>
          <w:rFonts w:eastAsia="Times New Roman"/>
          <w:lang w:val="en-GB"/>
        </w:rPr>
        <w:t xml:space="preserve"> were performed according to </w:t>
      </w:r>
      <w:r w:rsidR="00573D34" w:rsidRPr="00925C19">
        <w:rPr>
          <w:rFonts w:eastAsia="Times New Roman"/>
          <w:lang w:val="en-GB"/>
        </w:rPr>
        <w:fldChar w:fldCharType="begin"/>
      </w:r>
      <w:r w:rsidR="00FF0EFD">
        <w:rPr>
          <w:rFonts w:eastAsia="Times New Roman"/>
          <w:lang w:val="en-GB"/>
        </w:rPr>
        <w:instrText xml:space="preserve"> ADDIN PAPERS2_CITATIONS &lt;citation&gt;&lt;uuid&gt;185E0B2B-B718-473A-8188-823E7FD6A677&lt;/uuid&gt;&lt;priority&gt;0&lt;/priority&gt;&lt;publications&gt;&lt;publication&gt;&lt;uuid&gt;82A0DDBD-6465-40FF-A623-DC16C93D3CC0&lt;/uuid&gt;&lt;volume&gt;9&lt;/volume&gt;&lt;accepted_date&gt;99201411081200000000222000&lt;/accepted_date&gt;&lt;doi&gt;10.1016/j.celrep.2014.11.013&lt;/doi&gt;&lt;startpage&gt;1908&lt;/startpage&gt;&lt;revision_date&gt;99201409251200000000222000&lt;/revision_date&gt;&lt;publication_date&gt;99201412031200000000222000&lt;/publication_date&gt;&lt;url&gt;http://linkinghub.elsevier.com/retrieve/pii/S221112471400967X&lt;/url&gt;&lt;type&gt;400&lt;/type&gt;&lt;title&gt;Sox2 Acts in a Dose-Dependent Fashion to Regulate Proliferation of Cortical Progenitors.&lt;/title&gt;&lt;submission_date&gt;99201402111200000000222000&lt;/submission_date&gt;&lt;number&gt;5&lt;/number&gt;&lt;institution&gt;Department of Cell and Molecular Biology, Ludwig Institute for Cancer Research, Karolinska Institutet, von Eulers väg 5, 171 77 Stockholm, Sweden.&lt;/institution&gt;&lt;subtype&gt;400&lt;/subtype&gt;&lt;endpage&gt;1920&lt;/endpage&gt;&lt;bundle&gt;&lt;publication&gt;&lt;title&gt;Cell reports&lt;/title&gt;&lt;type&gt;-100&lt;/type&gt;&lt;subtype&gt;-100&lt;/subtype&gt;&lt;uuid&gt;DBCB962B-70C1-4520-A7A9-8DB43FDA361E&lt;/uuid&gt;&lt;/publication&gt;&lt;/bundle&gt;&lt;authors&gt;&lt;author&gt;&lt;firstName&gt;Daniel&lt;/firstName&gt;&lt;middleNames&gt;W&lt;/middleNames&gt;&lt;lastName&gt;Hagey&lt;/lastName&gt;&lt;/author&gt;&lt;author&gt;&lt;firstName&gt;Jonas&lt;/firstName&gt;&lt;lastName&gt;Muhr&lt;/lastName&gt;&lt;/author&gt;&lt;/authors&gt;&lt;/publication&gt;&lt;/publications&gt;&lt;cites&gt;&lt;/cites&gt;&lt;/citation&gt;</w:instrText>
      </w:r>
      <w:r w:rsidR="00573D34" w:rsidRPr="00925C19">
        <w:rPr>
          <w:rFonts w:eastAsia="Times New Roman"/>
          <w:lang w:val="en-GB"/>
        </w:rPr>
        <w:fldChar w:fldCharType="separate"/>
      </w:r>
      <w:r w:rsidR="008B3A2B" w:rsidRPr="00925C19">
        <w:rPr>
          <w:rFonts w:ascii="Cambria" w:hAnsi="Cambria" w:cs="Cambria"/>
          <w:lang w:val="en-GB"/>
        </w:rPr>
        <w:t>(Hagey and Muhr 2014)</w:t>
      </w:r>
      <w:r w:rsidR="00573D34" w:rsidRPr="00925C19">
        <w:rPr>
          <w:rFonts w:eastAsia="Times New Roman"/>
          <w:lang w:val="en-GB"/>
        </w:rPr>
        <w:fldChar w:fldCharType="end"/>
      </w:r>
      <w:r w:rsidRPr="00925C19">
        <w:rPr>
          <w:rFonts w:eastAsia="Times New Roman"/>
          <w:lang w:val="en-GB"/>
        </w:rPr>
        <w:t xml:space="preserve">. </w:t>
      </w:r>
      <w:r w:rsidR="00834F63">
        <w:rPr>
          <w:rFonts w:eastAsia="Times New Roman"/>
          <w:lang w:val="en-GB"/>
        </w:rPr>
        <w:t xml:space="preserve">For </w:t>
      </w:r>
      <w:proofErr w:type="spellStart"/>
      <w:r w:rsidR="00834F63">
        <w:rPr>
          <w:rFonts w:eastAsia="Times New Roman"/>
          <w:lang w:val="en-GB"/>
        </w:rPr>
        <w:t>immunohistochemistry</w:t>
      </w:r>
      <w:proofErr w:type="spellEnd"/>
      <w:r w:rsidR="00834F63">
        <w:rPr>
          <w:rFonts w:eastAsia="Times New Roman"/>
          <w:lang w:val="en-GB"/>
        </w:rPr>
        <w:t>, cortices were prepared and stained as described in (Hagey and Muhr 2014) using primary antibodies against A</w:t>
      </w:r>
      <w:r w:rsidR="008E61B8">
        <w:rPr>
          <w:rFonts w:eastAsia="Times New Roman"/>
          <w:lang w:val="en-GB"/>
        </w:rPr>
        <w:t>SCL1</w:t>
      </w:r>
      <w:r w:rsidR="00834F63">
        <w:rPr>
          <w:rFonts w:eastAsia="Times New Roman"/>
          <w:lang w:val="en-GB"/>
        </w:rPr>
        <w:t xml:space="preserve"> (1:1000; </w:t>
      </w:r>
      <w:proofErr w:type="spellStart"/>
      <w:r w:rsidR="00834F63">
        <w:rPr>
          <w:rFonts w:eastAsia="Times New Roman"/>
          <w:lang w:val="en-GB"/>
        </w:rPr>
        <w:t>CosmoBio</w:t>
      </w:r>
      <w:proofErr w:type="spellEnd"/>
      <w:r w:rsidR="00834F63">
        <w:rPr>
          <w:rFonts w:eastAsia="Times New Roman"/>
          <w:lang w:val="en-GB"/>
        </w:rPr>
        <w:t xml:space="preserve"> SK-T01-003) and P</w:t>
      </w:r>
      <w:r w:rsidR="008E61B8">
        <w:rPr>
          <w:rFonts w:eastAsia="Times New Roman"/>
          <w:lang w:val="en-GB"/>
        </w:rPr>
        <w:t>RDM12</w:t>
      </w:r>
      <w:r w:rsidR="00834F63">
        <w:rPr>
          <w:rFonts w:eastAsia="Times New Roman"/>
          <w:lang w:val="en-GB"/>
        </w:rPr>
        <w:t xml:space="preserve"> (1:500; Millipore ABE95).</w:t>
      </w:r>
      <w:r w:rsidR="00034C8E">
        <w:rPr>
          <w:rFonts w:eastAsia="Times New Roman"/>
          <w:lang w:val="en-GB"/>
        </w:rPr>
        <w:t xml:space="preserve"> Upregulation statistics are based on 3 electroporations from each condition, with image levels normalized in parallel and counting of overlap done by hand.</w:t>
      </w:r>
      <w:r w:rsidR="00834F63">
        <w:rPr>
          <w:rFonts w:eastAsia="Times New Roman"/>
          <w:lang w:val="en-GB"/>
        </w:rPr>
        <w:t xml:space="preserve"> </w:t>
      </w:r>
    </w:p>
    <w:p w:rsidR="00034C8E" w:rsidRDefault="00034C8E" w:rsidP="00AA7750">
      <w:pPr>
        <w:spacing w:line="480" w:lineRule="auto"/>
        <w:jc w:val="both"/>
        <w:rPr>
          <w:rFonts w:eastAsia="Times New Roman"/>
          <w:lang w:val="en-GB"/>
        </w:rPr>
      </w:pPr>
    </w:p>
    <w:p w:rsidR="000873A9" w:rsidRPr="00925C19" w:rsidRDefault="00AA7750" w:rsidP="00AA7750">
      <w:pPr>
        <w:spacing w:line="480" w:lineRule="auto"/>
        <w:jc w:val="both"/>
        <w:rPr>
          <w:rFonts w:eastAsia="Times New Roman"/>
          <w:lang w:val="en-GB"/>
        </w:rPr>
      </w:pPr>
      <w:r w:rsidRPr="00925C19">
        <w:rPr>
          <w:rFonts w:eastAsia="Times New Roman"/>
          <w:lang w:val="en-GB"/>
        </w:rPr>
        <w:t xml:space="preserve">Target gene </w:t>
      </w:r>
      <w:r w:rsidR="00034C8E">
        <w:rPr>
          <w:rFonts w:eastAsia="Times New Roman"/>
          <w:lang w:val="en-GB"/>
        </w:rPr>
        <w:t>de</w:t>
      </w:r>
      <w:r w:rsidRPr="00925C19">
        <w:rPr>
          <w:rFonts w:eastAsia="Times New Roman"/>
          <w:lang w:val="en-GB"/>
        </w:rPr>
        <w:t xml:space="preserve">regulation was determined using </w:t>
      </w:r>
      <w:proofErr w:type="spellStart"/>
      <w:r w:rsidRPr="00925C19">
        <w:rPr>
          <w:rFonts w:eastAsia="Times New Roman"/>
          <w:lang w:val="en-GB"/>
        </w:rPr>
        <w:t>Deseq</w:t>
      </w:r>
      <w:proofErr w:type="spellEnd"/>
      <w:r w:rsidRPr="00925C19">
        <w:rPr>
          <w:rFonts w:eastAsia="Times New Roman"/>
          <w:lang w:val="en-GB"/>
        </w:rPr>
        <w:t>. Genes up- or downregulated greater than four fold, with p-adjust values less than 0.01, as well as genes regulated less than 1.05 fold, with p-adjust values greater than 0.05, were isolated for further analysis.  All enhancers within 50 kb of any of the selected genes were then analyzed for the presence of the various features displayed in Fig</w:t>
      </w:r>
      <w:r w:rsidR="00046321" w:rsidRPr="00925C19">
        <w:rPr>
          <w:rFonts w:eastAsia="Times New Roman"/>
          <w:lang w:val="en-GB"/>
        </w:rPr>
        <w:t xml:space="preserve">. 4 and Supplementary </w:t>
      </w:r>
      <w:r w:rsidR="001577CD" w:rsidRPr="00925C19">
        <w:rPr>
          <w:rFonts w:eastAsia="Times New Roman"/>
          <w:lang w:val="en-GB"/>
        </w:rPr>
        <w:t>f</w:t>
      </w:r>
      <w:r w:rsidR="00034C8E">
        <w:rPr>
          <w:rFonts w:eastAsia="Times New Roman"/>
          <w:lang w:val="en-GB"/>
        </w:rPr>
        <w:t>ig. 7</w:t>
      </w:r>
      <w:bookmarkStart w:id="0" w:name="_GoBack"/>
      <w:bookmarkEnd w:id="0"/>
      <w:r w:rsidRPr="00925C19">
        <w:rPr>
          <w:rFonts w:eastAsia="Times New Roman"/>
          <w:lang w:val="en-GB"/>
        </w:rPr>
        <w:t>.</w:t>
      </w:r>
    </w:p>
    <w:p w:rsidR="006E2432" w:rsidRPr="00925C19" w:rsidRDefault="006E2432" w:rsidP="008F3109">
      <w:pPr>
        <w:widowControl w:val="0"/>
        <w:autoSpaceDE w:val="0"/>
        <w:autoSpaceDN w:val="0"/>
        <w:adjustRightInd w:val="0"/>
        <w:spacing w:line="480" w:lineRule="auto"/>
        <w:jc w:val="both"/>
        <w:rPr>
          <w:rFonts w:cs="Helvetica"/>
          <w:lang w:val="en-GB"/>
        </w:rPr>
      </w:pPr>
    </w:p>
    <w:p w:rsidR="004957EF" w:rsidRPr="00925C19" w:rsidRDefault="004957EF" w:rsidP="008F3109">
      <w:pPr>
        <w:widowControl w:val="0"/>
        <w:autoSpaceDE w:val="0"/>
        <w:autoSpaceDN w:val="0"/>
        <w:adjustRightInd w:val="0"/>
        <w:spacing w:line="480" w:lineRule="auto"/>
        <w:jc w:val="both"/>
        <w:rPr>
          <w:rFonts w:cs="Helvetica"/>
          <w:b/>
          <w:lang w:val="en-GB"/>
        </w:rPr>
      </w:pPr>
      <w:r w:rsidRPr="00925C19">
        <w:rPr>
          <w:rFonts w:cs="Helvetica"/>
          <w:b/>
          <w:lang w:val="en-GB"/>
        </w:rPr>
        <w:t xml:space="preserve">Statistical </w:t>
      </w:r>
      <w:r w:rsidR="001577CD" w:rsidRPr="00925C19">
        <w:rPr>
          <w:rFonts w:cs="Helvetica"/>
          <w:b/>
          <w:lang w:val="en-GB"/>
        </w:rPr>
        <w:t>modelling</w:t>
      </w:r>
      <w:r w:rsidR="00201FC6" w:rsidRPr="00925C19">
        <w:rPr>
          <w:rFonts w:cs="Helvetica"/>
          <w:b/>
          <w:lang w:val="en-GB"/>
        </w:rPr>
        <w:t xml:space="preserve"> </w:t>
      </w:r>
      <w:r w:rsidRPr="00925C19">
        <w:rPr>
          <w:rFonts w:cs="Helvetica"/>
          <w:lang w:val="en-GB"/>
        </w:rPr>
        <w:t xml:space="preserve">To create a data matrix for </w:t>
      </w:r>
      <w:r w:rsidR="00C50194" w:rsidRPr="00925C19">
        <w:rPr>
          <w:rFonts w:cs="Helvetica"/>
          <w:lang w:val="en-GB"/>
        </w:rPr>
        <w:t>modelling</w:t>
      </w:r>
      <w:r w:rsidRPr="00925C19">
        <w:rPr>
          <w:rFonts w:cs="Helvetica"/>
          <w:lang w:val="en-GB"/>
        </w:rPr>
        <w:t xml:space="preserve"> differential expression between spinal cord and cortex samples (abbreviated SC and </w:t>
      </w:r>
      <w:proofErr w:type="spellStart"/>
      <w:r w:rsidRPr="00925C19">
        <w:rPr>
          <w:rFonts w:cs="Helvetica"/>
          <w:lang w:val="en-GB"/>
        </w:rPr>
        <w:t>Ctx</w:t>
      </w:r>
      <w:proofErr w:type="spellEnd"/>
      <w:r w:rsidRPr="00925C19">
        <w:rPr>
          <w:rFonts w:cs="Helvetica"/>
          <w:lang w:val="en-GB"/>
        </w:rPr>
        <w:t xml:space="preserve"> below), we first defined a set of putative enhancers consisting of the union of all </w:t>
      </w:r>
      <w:proofErr w:type="spellStart"/>
      <w:r w:rsidRPr="00925C19">
        <w:rPr>
          <w:rFonts w:cs="Helvetica"/>
          <w:lang w:val="en-GB"/>
        </w:rPr>
        <w:t>DNase-seq</w:t>
      </w:r>
      <w:proofErr w:type="spellEnd"/>
      <w:r w:rsidRPr="00925C19">
        <w:rPr>
          <w:rFonts w:cs="Helvetica"/>
          <w:lang w:val="en-GB"/>
        </w:rPr>
        <w:t xml:space="preserve"> peaks in SC, </w:t>
      </w:r>
      <w:proofErr w:type="spellStart"/>
      <w:r w:rsidRPr="00925C19">
        <w:rPr>
          <w:rFonts w:cs="Helvetica"/>
          <w:lang w:val="en-GB"/>
        </w:rPr>
        <w:t>Ctx</w:t>
      </w:r>
      <w:proofErr w:type="spellEnd"/>
      <w:r w:rsidRPr="00925C19">
        <w:rPr>
          <w:rFonts w:cs="Helvetica"/>
          <w:lang w:val="en-GB"/>
        </w:rPr>
        <w:t xml:space="preserve"> or </w:t>
      </w:r>
      <w:r w:rsidR="00FB3E76" w:rsidRPr="00925C19">
        <w:rPr>
          <w:rFonts w:cs="Helvetica"/>
          <w:lang w:val="en-GB"/>
        </w:rPr>
        <w:t xml:space="preserve">WW6 </w:t>
      </w:r>
      <w:r w:rsidRPr="00925C19">
        <w:rPr>
          <w:rFonts w:cs="Helvetica"/>
          <w:lang w:val="en-GB"/>
        </w:rPr>
        <w:t xml:space="preserve">embryonic stem cells. For each of these putative enhancers, we collected the following </w:t>
      </w:r>
      <w:r w:rsidR="00E67769" w:rsidRPr="00925C19">
        <w:rPr>
          <w:rFonts w:cs="Helvetica"/>
          <w:lang w:val="en-GB"/>
        </w:rPr>
        <w:t>features</w:t>
      </w:r>
      <w:r w:rsidRPr="00925C19">
        <w:rPr>
          <w:rFonts w:cs="Helvetica"/>
          <w:lang w:val="en-GB"/>
        </w:rPr>
        <w:t xml:space="preserve">: </w:t>
      </w:r>
    </w:p>
    <w:p w:rsidR="004957EF" w:rsidRPr="00925C19" w:rsidRDefault="004957EF" w:rsidP="008F3109">
      <w:pPr>
        <w:pStyle w:val="ListParagraph"/>
        <w:widowControl w:val="0"/>
        <w:numPr>
          <w:ilvl w:val="0"/>
          <w:numId w:val="1"/>
        </w:numPr>
        <w:autoSpaceDE w:val="0"/>
        <w:autoSpaceDN w:val="0"/>
        <w:adjustRightInd w:val="0"/>
        <w:spacing w:line="480" w:lineRule="auto"/>
        <w:jc w:val="both"/>
        <w:rPr>
          <w:rFonts w:cs="Helvetica"/>
          <w:lang w:val="en-GB"/>
        </w:rPr>
      </w:pPr>
      <w:r w:rsidRPr="00925C19">
        <w:rPr>
          <w:rFonts w:cs="Helvetica"/>
          <w:lang w:val="en-GB"/>
        </w:rPr>
        <w:t xml:space="preserve">number of </w:t>
      </w:r>
      <w:r w:rsidR="008604FD">
        <w:rPr>
          <w:rFonts w:cs="Helvetica"/>
          <w:lang w:val="en-GB"/>
        </w:rPr>
        <w:t>SOX</w:t>
      </w:r>
      <w:r w:rsidR="00ED5FE3">
        <w:rPr>
          <w:rFonts w:cs="Helvetica"/>
          <w:lang w:val="en-GB"/>
        </w:rPr>
        <w:t>2</w:t>
      </w:r>
      <w:r w:rsidRPr="00925C19">
        <w:rPr>
          <w:rFonts w:cs="Helvetica"/>
          <w:lang w:val="en-GB"/>
        </w:rPr>
        <w:t xml:space="preserve"> peaks in SC and </w:t>
      </w:r>
      <w:proofErr w:type="spellStart"/>
      <w:r w:rsidRPr="00925C19">
        <w:rPr>
          <w:rFonts w:cs="Helvetica"/>
          <w:lang w:val="en-GB"/>
        </w:rPr>
        <w:t>Ctx</w:t>
      </w:r>
      <w:proofErr w:type="spellEnd"/>
      <w:r w:rsidRPr="00925C19">
        <w:rPr>
          <w:rFonts w:cs="Helvetica"/>
          <w:lang w:val="en-GB"/>
        </w:rPr>
        <w:t>,</w:t>
      </w:r>
      <w:r w:rsidR="00590F8B" w:rsidRPr="00925C19">
        <w:rPr>
          <w:rFonts w:cs="Helvetica"/>
          <w:lang w:val="en-GB"/>
        </w:rPr>
        <w:t xml:space="preserve"> (</w:t>
      </w:r>
      <w:r w:rsidR="00590F8B" w:rsidRPr="00925C19">
        <w:rPr>
          <w:rFonts w:cs="Helvetica"/>
          <w:i/>
          <w:lang w:val="en-GB"/>
        </w:rPr>
        <w:t>sc_</w:t>
      </w:r>
      <w:r w:rsidR="008604FD">
        <w:rPr>
          <w:rFonts w:cs="Helvetica"/>
          <w:i/>
          <w:lang w:val="en-GB"/>
        </w:rPr>
        <w:t>SOX</w:t>
      </w:r>
      <w:r w:rsidR="00ED5FE3">
        <w:rPr>
          <w:rFonts w:cs="Helvetica"/>
          <w:i/>
          <w:lang w:val="en-GB"/>
        </w:rPr>
        <w:t>2</w:t>
      </w:r>
      <w:r w:rsidR="00590F8B" w:rsidRPr="00925C19">
        <w:rPr>
          <w:rFonts w:cs="Helvetica"/>
          <w:i/>
          <w:lang w:val="en-GB"/>
        </w:rPr>
        <w:t>no, ctx_</w:t>
      </w:r>
      <w:r w:rsidR="008604FD">
        <w:rPr>
          <w:rFonts w:cs="Helvetica"/>
          <w:i/>
          <w:lang w:val="en-GB"/>
        </w:rPr>
        <w:t>SOX</w:t>
      </w:r>
      <w:r w:rsidR="00ED5FE3">
        <w:rPr>
          <w:rFonts w:cs="Helvetica"/>
          <w:i/>
          <w:lang w:val="en-GB"/>
        </w:rPr>
        <w:t>2</w:t>
      </w:r>
      <w:r w:rsidR="00590F8B" w:rsidRPr="00925C19">
        <w:rPr>
          <w:rFonts w:cs="Helvetica"/>
          <w:i/>
          <w:lang w:val="en-GB"/>
        </w:rPr>
        <w:t>no</w:t>
      </w:r>
      <w:r w:rsidR="00590F8B" w:rsidRPr="00925C19">
        <w:rPr>
          <w:rFonts w:cs="Helvetica"/>
          <w:lang w:val="en-GB"/>
        </w:rPr>
        <w:t>)</w:t>
      </w:r>
    </w:p>
    <w:p w:rsidR="004957EF" w:rsidRPr="00925C19" w:rsidRDefault="004957EF" w:rsidP="008F3109">
      <w:pPr>
        <w:pStyle w:val="ListParagraph"/>
        <w:widowControl w:val="0"/>
        <w:numPr>
          <w:ilvl w:val="0"/>
          <w:numId w:val="1"/>
        </w:numPr>
        <w:autoSpaceDE w:val="0"/>
        <w:autoSpaceDN w:val="0"/>
        <w:adjustRightInd w:val="0"/>
        <w:spacing w:line="480" w:lineRule="auto"/>
        <w:jc w:val="both"/>
        <w:rPr>
          <w:rFonts w:cs="Helvetica"/>
          <w:lang w:val="en-GB"/>
        </w:rPr>
      </w:pPr>
      <w:r w:rsidRPr="00925C19">
        <w:rPr>
          <w:rFonts w:cs="Helvetica"/>
          <w:lang w:val="en-GB"/>
        </w:rPr>
        <w:t xml:space="preserve">sum of </w:t>
      </w:r>
      <w:r w:rsidR="008604FD">
        <w:rPr>
          <w:rFonts w:cs="Helvetica"/>
          <w:lang w:val="en-GB"/>
        </w:rPr>
        <w:t>SOX</w:t>
      </w:r>
      <w:r w:rsidR="00ED5FE3">
        <w:rPr>
          <w:rFonts w:cs="Helvetica"/>
          <w:lang w:val="en-GB"/>
        </w:rPr>
        <w:t>2</w:t>
      </w:r>
      <w:r w:rsidRPr="00925C19">
        <w:rPr>
          <w:rFonts w:cs="Helvetica"/>
          <w:lang w:val="en-GB"/>
        </w:rPr>
        <w:t xml:space="preserve"> peak heights as reported by SISSRs</w:t>
      </w:r>
      <w:r w:rsidR="00590F8B" w:rsidRPr="00925C19">
        <w:rPr>
          <w:rFonts w:cs="Helvetica"/>
          <w:lang w:val="en-GB"/>
        </w:rPr>
        <w:t>, averaged across duplicates (</w:t>
      </w:r>
      <w:r w:rsidR="00590F8B" w:rsidRPr="00925C19">
        <w:rPr>
          <w:rFonts w:cs="Helvetica"/>
          <w:i/>
          <w:lang w:val="en-GB"/>
        </w:rPr>
        <w:t>sc_</w:t>
      </w:r>
      <w:r w:rsidR="008604FD">
        <w:rPr>
          <w:rFonts w:cs="Helvetica"/>
          <w:i/>
          <w:lang w:val="en-GB"/>
        </w:rPr>
        <w:t>SOX</w:t>
      </w:r>
      <w:r w:rsidR="00ED5FE3">
        <w:rPr>
          <w:rFonts w:cs="Helvetica"/>
          <w:i/>
          <w:lang w:val="en-GB"/>
        </w:rPr>
        <w:t>2</w:t>
      </w:r>
      <w:r w:rsidR="00590F8B" w:rsidRPr="00925C19">
        <w:rPr>
          <w:rFonts w:cs="Helvetica"/>
          <w:i/>
          <w:lang w:val="en-GB"/>
        </w:rPr>
        <w:t>score, ctx_</w:t>
      </w:r>
      <w:r w:rsidR="008604FD">
        <w:rPr>
          <w:rFonts w:cs="Helvetica"/>
          <w:i/>
          <w:lang w:val="en-GB"/>
        </w:rPr>
        <w:t>SOX</w:t>
      </w:r>
      <w:r w:rsidR="00ED5FE3">
        <w:rPr>
          <w:rFonts w:cs="Helvetica"/>
          <w:i/>
          <w:lang w:val="en-GB"/>
        </w:rPr>
        <w:t>2</w:t>
      </w:r>
      <w:r w:rsidR="00590F8B" w:rsidRPr="00925C19">
        <w:rPr>
          <w:rFonts w:cs="Helvetica"/>
          <w:i/>
          <w:lang w:val="en-GB"/>
        </w:rPr>
        <w:t>score</w:t>
      </w:r>
      <w:r w:rsidR="00590F8B" w:rsidRPr="00925C19">
        <w:rPr>
          <w:rFonts w:cs="Helvetica"/>
          <w:lang w:val="en-GB"/>
        </w:rPr>
        <w:t>),</w:t>
      </w:r>
      <w:r w:rsidRPr="00925C19">
        <w:rPr>
          <w:rFonts w:cs="Helvetica"/>
          <w:lang w:val="en-GB"/>
        </w:rPr>
        <w:t xml:space="preserve"> </w:t>
      </w:r>
    </w:p>
    <w:p w:rsidR="004957EF" w:rsidRPr="00925C19" w:rsidRDefault="004957EF" w:rsidP="008F3109">
      <w:pPr>
        <w:pStyle w:val="ListParagraph"/>
        <w:widowControl w:val="0"/>
        <w:numPr>
          <w:ilvl w:val="0"/>
          <w:numId w:val="1"/>
        </w:numPr>
        <w:autoSpaceDE w:val="0"/>
        <w:autoSpaceDN w:val="0"/>
        <w:adjustRightInd w:val="0"/>
        <w:spacing w:line="480" w:lineRule="auto"/>
        <w:jc w:val="both"/>
        <w:rPr>
          <w:rFonts w:cs="Helvetica"/>
          <w:color w:val="000000" w:themeColor="text1"/>
          <w:lang w:val="en-GB"/>
        </w:rPr>
      </w:pPr>
      <w:proofErr w:type="spellStart"/>
      <w:r w:rsidRPr="00925C19">
        <w:rPr>
          <w:rFonts w:cs="Helvetica"/>
          <w:lang w:val="en-GB"/>
        </w:rPr>
        <w:t>Hotelling</w:t>
      </w:r>
      <w:proofErr w:type="spellEnd"/>
      <w:r w:rsidRPr="00925C19">
        <w:rPr>
          <w:rFonts w:cs="Helvetica"/>
          <w:lang w:val="en-GB"/>
        </w:rPr>
        <w:t xml:space="preserve"> score (a measure of enrichment) of the </w:t>
      </w:r>
      <w:proofErr w:type="spellStart"/>
      <w:r w:rsidRPr="00925C19">
        <w:rPr>
          <w:rFonts w:cs="Helvetica"/>
          <w:lang w:val="en-GB"/>
        </w:rPr>
        <w:t>DNase-seq</w:t>
      </w:r>
      <w:proofErr w:type="spellEnd"/>
      <w:r w:rsidRPr="00925C19">
        <w:rPr>
          <w:rFonts w:cs="Helvetica"/>
          <w:lang w:val="en-GB"/>
        </w:rPr>
        <w:t xml:space="preserve"> peak as </w:t>
      </w:r>
      <w:r w:rsidRPr="00925C19">
        <w:rPr>
          <w:rFonts w:cs="Helvetica"/>
          <w:color w:val="000000" w:themeColor="text1"/>
          <w:lang w:val="en-GB"/>
        </w:rPr>
        <w:t xml:space="preserve">reported by </w:t>
      </w:r>
      <w:proofErr w:type="spellStart"/>
      <w:r w:rsidRPr="00925C19">
        <w:rPr>
          <w:rFonts w:cs="Helvetica"/>
          <w:color w:val="000000" w:themeColor="text1"/>
          <w:lang w:val="en-GB"/>
        </w:rPr>
        <w:t>DFilter</w:t>
      </w:r>
      <w:proofErr w:type="spellEnd"/>
      <w:r w:rsidR="00590F8B" w:rsidRPr="00925C19">
        <w:rPr>
          <w:rFonts w:cs="Helvetica"/>
          <w:color w:val="000000" w:themeColor="text1"/>
          <w:lang w:val="en-GB"/>
        </w:rPr>
        <w:t xml:space="preserve"> (</w:t>
      </w:r>
      <w:proofErr w:type="spellStart"/>
      <w:r w:rsidR="00590F8B" w:rsidRPr="00925C19">
        <w:rPr>
          <w:rFonts w:cs="Helvetica"/>
          <w:i/>
          <w:color w:val="000000" w:themeColor="text1"/>
          <w:lang w:val="en-GB"/>
        </w:rPr>
        <w:t>sc_dhs</w:t>
      </w:r>
      <w:proofErr w:type="spellEnd"/>
      <w:r w:rsidR="00590F8B" w:rsidRPr="00925C19">
        <w:rPr>
          <w:rFonts w:cs="Helvetica"/>
          <w:i/>
          <w:color w:val="000000" w:themeColor="text1"/>
          <w:lang w:val="en-GB"/>
        </w:rPr>
        <w:t xml:space="preserve">, </w:t>
      </w:r>
      <w:proofErr w:type="spellStart"/>
      <w:r w:rsidR="00590F8B" w:rsidRPr="00925C19">
        <w:rPr>
          <w:rFonts w:cs="Helvetica"/>
          <w:i/>
          <w:color w:val="000000" w:themeColor="text1"/>
          <w:lang w:val="en-GB"/>
        </w:rPr>
        <w:t>ctx_dhs</w:t>
      </w:r>
      <w:proofErr w:type="spellEnd"/>
      <w:r w:rsidR="00590F8B" w:rsidRPr="00925C19">
        <w:rPr>
          <w:rFonts w:cs="Helvetica"/>
          <w:color w:val="000000" w:themeColor="text1"/>
          <w:lang w:val="en-GB"/>
        </w:rPr>
        <w:t>)</w:t>
      </w:r>
    </w:p>
    <w:p w:rsidR="004957EF" w:rsidRPr="00925C19" w:rsidRDefault="00590F8B" w:rsidP="008F3109">
      <w:pPr>
        <w:pStyle w:val="ListParagraph"/>
        <w:widowControl w:val="0"/>
        <w:numPr>
          <w:ilvl w:val="0"/>
          <w:numId w:val="1"/>
        </w:numPr>
        <w:autoSpaceDE w:val="0"/>
        <w:autoSpaceDN w:val="0"/>
        <w:adjustRightInd w:val="0"/>
        <w:spacing w:line="480" w:lineRule="auto"/>
        <w:jc w:val="both"/>
        <w:rPr>
          <w:rFonts w:cs="Helvetica"/>
          <w:color w:val="000000" w:themeColor="text1"/>
          <w:lang w:val="en-GB"/>
        </w:rPr>
      </w:pPr>
      <w:r w:rsidRPr="00925C19">
        <w:rPr>
          <w:rFonts w:cs="Helvetica"/>
          <w:color w:val="000000" w:themeColor="text1"/>
          <w:lang w:val="en-GB"/>
        </w:rPr>
        <w:t>Mean</w:t>
      </w:r>
      <w:r w:rsidR="004957EF" w:rsidRPr="00925C19">
        <w:rPr>
          <w:rFonts w:cs="Helvetica"/>
          <w:color w:val="000000" w:themeColor="text1"/>
          <w:lang w:val="en-GB"/>
        </w:rPr>
        <w:t xml:space="preserve"> conservation across the enhancer </w:t>
      </w:r>
      <w:r w:rsidR="007E4470" w:rsidRPr="00925C19">
        <w:rPr>
          <w:rFonts w:cs="Helvetica"/>
          <w:color w:val="000000" w:themeColor="text1"/>
          <w:lang w:val="en-GB"/>
        </w:rPr>
        <w:t xml:space="preserve">based on a multiple alignment of 30 vertebrate species </w:t>
      </w:r>
      <w:r w:rsidR="004957EF" w:rsidRPr="00925C19">
        <w:rPr>
          <w:rFonts w:cs="Helvetica"/>
          <w:color w:val="000000" w:themeColor="text1"/>
          <w:lang w:val="en-GB"/>
        </w:rPr>
        <w:t xml:space="preserve">as reported </w:t>
      </w:r>
      <w:r w:rsidR="007E4470" w:rsidRPr="00925C19">
        <w:rPr>
          <w:rFonts w:cs="Helvetica"/>
          <w:color w:val="000000" w:themeColor="text1"/>
          <w:lang w:val="en-GB"/>
        </w:rPr>
        <w:t>in</w:t>
      </w:r>
      <w:r w:rsidR="004957EF" w:rsidRPr="00925C19">
        <w:rPr>
          <w:rFonts w:cs="Helvetica"/>
          <w:color w:val="000000" w:themeColor="text1"/>
          <w:lang w:val="en-GB"/>
        </w:rPr>
        <w:t xml:space="preserve"> </w:t>
      </w:r>
      <w:r w:rsidR="007E4470" w:rsidRPr="00925C19">
        <w:rPr>
          <w:rFonts w:cs="Helvetica"/>
          <w:color w:val="000000" w:themeColor="text1"/>
          <w:lang w:val="en-GB"/>
        </w:rPr>
        <w:t xml:space="preserve">the </w:t>
      </w:r>
      <w:r w:rsidR="007E4470" w:rsidRPr="00925C19">
        <w:rPr>
          <w:rFonts w:cs="Helvetica"/>
          <w:i/>
          <w:color w:val="000000" w:themeColor="text1"/>
          <w:lang w:val="en-GB"/>
        </w:rPr>
        <w:t>phylop30way</w:t>
      </w:r>
      <w:r w:rsidR="004957EF" w:rsidRPr="00925C19">
        <w:rPr>
          <w:rFonts w:cs="Helvetica"/>
          <w:color w:val="000000" w:themeColor="text1"/>
          <w:lang w:val="en-GB"/>
        </w:rPr>
        <w:t xml:space="preserve"> </w:t>
      </w:r>
      <w:r w:rsidR="007E4470" w:rsidRPr="00925C19">
        <w:rPr>
          <w:rFonts w:cs="Helvetica"/>
          <w:color w:val="000000" w:themeColor="text1"/>
          <w:lang w:val="en-GB"/>
        </w:rPr>
        <w:t xml:space="preserve">track in the UCSC Genome Browser </w:t>
      </w:r>
      <w:r w:rsidR="00573D34" w:rsidRPr="00925C19">
        <w:rPr>
          <w:rFonts w:cs="Helvetica"/>
          <w:color w:val="000000" w:themeColor="text1"/>
          <w:lang w:val="en-GB"/>
        </w:rPr>
        <w:fldChar w:fldCharType="begin"/>
      </w:r>
      <w:r w:rsidR="00FF0EFD">
        <w:rPr>
          <w:rFonts w:cs="Helvetica"/>
          <w:color w:val="000000" w:themeColor="text1"/>
          <w:lang w:val="en-GB"/>
        </w:rPr>
        <w:instrText xml:space="preserve"> ADDIN PAPERS2_CITATIONS &lt;citation&gt;&lt;uuid&gt;5332642D-E6A9-4A04-9C4E-077FCD3CEC4E&lt;/uuid&gt;&lt;priority&gt;0&lt;/priority&gt;&lt;publications&gt;&lt;publication&gt;&lt;uuid&gt;E51EBAAD-DCBC-475D-B77C-057B6BD1CE65&lt;/uuid&gt;&lt;volume&gt;32&lt;/volume&gt;&lt;doi&gt;10.1093/nar/gkh103&lt;/doi&gt;&lt;startpage&gt;D493&lt;/startpage&gt;&lt;publication_date&gt;99200401011200000000222000&lt;/publication_date&gt;&lt;url&gt;http://nar.oxfordjournals.org/lookup/doi/10.1093/nar/gkh103&lt;/url&gt;&lt;type&gt;400&lt;/type&gt;&lt;title&gt;The UCSC Table Browser data retrieval tool.&lt;/title&gt;&lt;publisher&gt;Oxford University Press&lt;/publisher&gt;&lt;institution&gt;Center for Biomolecular Science and Engineering, University of California Santa Cruz (UCSC), School of Engineering, 1156 High Street, Santa Cruz, CA 95064-1077, USA. donnak@soe.ucsc.edu&lt;/institution&gt;&lt;number&gt;Database issue&lt;/number&gt;&lt;subtype&gt;400&lt;/subtype&gt;&lt;endpage&gt;6&lt;/endpage&gt;&lt;bundle&gt;&lt;publication&gt;&lt;title&gt;Nucleic Acids Research&lt;/title&gt;&lt;type&gt;-100&lt;/type&gt;&lt;subtype&gt;-100&lt;/subtype&gt;&lt;uuid&gt;5BA4B5B6-C849-4733-81DF-F9B28214ECCC&lt;/uuid&gt;&lt;/publication&gt;&lt;/bundle&gt;&lt;authors&gt;&lt;author&gt;&lt;firstName&gt;Donna&lt;/firstName&gt;&lt;lastName&gt;Karolchik&lt;/lastName&gt;&lt;/author&gt;&lt;author&gt;&lt;firstName&gt;Angela&lt;/firstName&gt;&lt;middleNames&gt;S&lt;/middleNames&gt;&lt;lastName&gt;Hinrichs&lt;/lastName&gt;&lt;/author&gt;&lt;author&gt;&lt;firstName&gt;Terrence&lt;/firstName&gt;&lt;middleNames&gt;S&lt;/middleNames&gt;&lt;lastName&gt;Furey&lt;/lastName&gt;&lt;/author&gt;&lt;author&gt;&lt;firstName&gt;Krishna&lt;/firstName&gt;&lt;middleNames&gt;M&lt;/middleNames&gt;&lt;lastName&gt;Roskin&lt;/lastName&gt;&lt;/author&gt;&lt;author&gt;&lt;firstName&gt;Charles&lt;/firstName&gt;&lt;middleNames&gt;W&lt;/middleNames&gt;&lt;lastName&gt;Sugnet&lt;/lastName&gt;&lt;/author&gt;&lt;author&gt;&lt;firstName&gt;David&lt;/firstName&gt;&lt;lastName&gt;Haussler&lt;/lastName&gt;&lt;/author&gt;&lt;author&gt;&lt;firstName&gt;W&lt;/firstName&gt;&lt;middleNames&gt;James&lt;/middleNames&gt;&lt;lastName&gt;Kent&lt;/lastName&gt;&lt;/author&gt;&lt;/authors&gt;&lt;/publication&gt;&lt;/publications&gt;&lt;cites&gt;&lt;/cites&gt;&lt;/citation&gt;</w:instrText>
      </w:r>
      <w:r w:rsidR="00573D34" w:rsidRPr="00925C19">
        <w:rPr>
          <w:rFonts w:cs="Helvetica"/>
          <w:color w:val="000000" w:themeColor="text1"/>
          <w:lang w:val="en-GB"/>
        </w:rPr>
        <w:fldChar w:fldCharType="separate"/>
      </w:r>
      <w:r w:rsidR="008B3A2B" w:rsidRPr="00925C19">
        <w:rPr>
          <w:rFonts w:ascii="Cambria" w:hAnsi="Cambria" w:cs="Cambria"/>
          <w:lang w:val="en-GB"/>
        </w:rPr>
        <w:t>(Karolchik et al. 2004)</w:t>
      </w:r>
      <w:r w:rsidR="00573D34" w:rsidRPr="00925C19">
        <w:rPr>
          <w:rFonts w:cs="Helvetica"/>
          <w:color w:val="000000" w:themeColor="text1"/>
          <w:lang w:val="en-GB"/>
        </w:rPr>
        <w:fldChar w:fldCharType="end"/>
      </w:r>
      <w:r w:rsidR="007E4470" w:rsidRPr="00925C19">
        <w:rPr>
          <w:rFonts w:cs="Helvetica"/>
          <w:color w:val="000000" w:themeColor="text1"/>
          <w:lang w:val="en-GB"/>
        </w:rPr>
        <w:t xml:space="preserve"> </w:t>
      </w:r>
      <w:r w:rsidRPr="00925C19">
        <w:rPr>
          <w:rFonts w:cs="Helvetica"/>
          <w:color w:val="000000" w:themeColor="text1"/>
          <w:lang w:val="en-GB"/>
        </w:rPr>
        <w:t>(</w:t>
      </w:r>
      <w:proofErr w:type="spellStart"/>
      <w:r w:rsidRPr="00925C19">
        <w:rPr>
          <w:rFonts w:cs="Helvetica"/>
          <w:i/>
          <w:color w:val="000000" w:themeColor="text1"/>
          <w:lang w:val="en-GB"/>
        </w:rPr>
        <w:t>meancons</w:t>
      </w:r>
      <w:proofErr w:type="spellEnd"/>
      <w:r w:rsidRPr="00925C19">
        <w:rPr>
          <w:rFonts w:cs="Helvetica"/>
          <w:color w:val="000000" w:themeColor="text1"/>
          <w:lang w:val="en-GB"/>
        </w:rPr>
        <w:t>)</w:t>
      </w:r>
    </w:p>
    <w:p w:rsidR="004957EF" w:rsidRPr="00925C19" w:rsidRDefault="004957EF" w:rsidP="008F3109">
      <w:pPr>
        <w:pStyle w:val="ListParagraph"/>
        <w:widowControl w:val="0"/>
        <w:numPr>
          <w:ilvl w:val="0"/>
          <w:numId w:val="1"/>
        </w:numPr>
        <w:autoSpaceDE w:val="0"/>
        <w:autoSpaceDN w:val="0"/>
        <w:adjustRightInd w:val="0"/>
        <w:spacing w:line="480" w:lineRule="auto"/>
        <w:jc w:val="both"/>
        <w:rPr>
          <w:rFonts w:cs="Helvetica"/>
          <w:color w:val="000000" w:themeColor="text1"/>
          <w:lang w:val="en-GB"/>
        </w:rPr>
      </w:pPr>
      <w:r w:rsidRPr="00925C19">
        <w:rPr>
          <w:rFonts w:cs="Helvetica"/>
          <w:color w:val="000000" w:themeColor="text1"/>
          <w:lang w:val="en-GB"/>
        </w:rPr>
        <w:t xml:space="preserve">Number of </w:t>
      </w:r>
      <w:r w:rsidR="008604FD">
        <w:rPr>
          <w:rFonts w:cs="Helvetica"/>
          <w:color w:val="000000" w:themeColor="text1"/>
          <w:lang w:val="en-GB"/>
        </w:rPr>
        <w:t>HOX</w:t>
      </w:r>
      <w:r w:rsidRPr="00925C19">
        <w:rPr>
          <w:rFonts w:cs="Helvetica"/>
          <w:color w:val="000000" w:themeColor="text1"/>
          <w:lang w:val="en-GB"/>
        </w:rPr>
        <w:t xml:space="preserve"> motif matches as reported by HOMER</w:t>
      </w:r>
      <w:r w:rsidR="00590F8B" w:rsidRPr="00925C19">
        <w:rPr>
          <w:rFonts w:cs="Helvetica"/>
          <w:color w:val="000000" w:themeColor="text1"/>
          <w:lang w:val="en-GB"/>
        </w:rPr>
        <w:t xml:space="preserve"> (</w:t>
      </w:r>
      <w:r w:rsidR="008604FD">
        <w:rPr>
          <w:rFonts w:cs="Helvetica"/>
          <w:i/>
          <w:color w:val="000000" w:themeColor="text1"/>
          <w:lang w:val="en-GB"/>
        </w:rPr>
        <w:t>HOX</w:t>
      </w:r>
      <w:r w:rsidR="00590F8B" w:rsidRPr="00925C19">
        <w:rPr>
          <w:rFonts w:cs="Helvetica"/>
          <w:color w:val="000000" w:themeColor="text1"/>
          <w:lang w:val="en-GB"/>
        </w:rPr>
        <w:t>)</w:t>
      </w:r>
      <w:r w:rsidRPr="00925C19">
        <w:rPr>
          <w:rFonts w:cs="Helvetica"/>
          <w:color w:val="000000" w:themeColor="text1"/>
          <w:lang w:val="en-GB"/>
        </w:rPr>
        <w:t>,</w:t>
      </w:r>
    </w:p>
    <w:p w:rsidR="004957EF" w:rsidRPr="00925C19" w:rsidRDefault="004957EF" w:rsidP="008F3109">
      <w:pPr>
        <w:pStyle w:val="ListParagraph"/>
        <w:widowControl w:val="0"/>
        <w:numPr>
          <w:ilvl w:val="0"/>
          <w:numId w:val="1"/>
        </w:numPr>
        <w:autoSpaceDE w:val="0"/>
        <w:autoSpaceDN w:val="0"/>
        <w:adjustRightInd w:val="0"/>
        <w:spacing w:line="480" w:lineRule="auto"/>
        <w:jc w:val="both"/>
        <w:rPr>
          <w:rFonts w:cs="Helvetica"/>
          <w:color w:val="000000" w:themeColor="text1"/>
          <w:lang w:val="en-GB"/>
        </w:rPr>
      </w:pPr>
      <w:r w:rsidRPr="00925C19">
        <w:rPr>
          <w:rFonts w:cs="Helvetica"/>
          <w:color w:val="000000" w:themeColor="text1"/>
          <w:lang w:val="en-GB"/>
        </w:rPr>
        <w:t xml:space="preserve">Number of </w:t>
      </w:r>
      <w:r w:rsidR="008604FD">
        <w:rPr>
          <w:rFonts w:cs="Helvetica"/>
          <w:color w:val="000000" w:themeColor="text1"/>
          <w:lang w:val="en-GB"/>
        </w:rPr>
        <w:t>LHX</w:t>
      </w:r>
      <w:r w:rsidRPr="00925C19">
        <w:rPr>
          <w:rFonts w:cs="Helvetica"/>
          <w:color w:val="000000" w:themeColor="text1"/>
          <w:lang w:val="en-GB"/>
        </w:rPr>
        <w:t xml:space="preserve"> motif matches as reported by HOMER</w:t>
      </w:r>
      <w:r w:rsidR="00590F8B" w:rsidRPr="00925C19">
        <w:rPr>
          <w:rFonts w:cs="Helvetica"/>
          <w:color w:val="000000" w:themeColor="text1"/>
          <w:lang w:val="en-GB"/>
        </w:rPr>
        <w:t xml:space="preserve"> (</w:t>
      </w:r>
      <w:r w:rsidR="008604FD">
        <w:rPr>
          <w:rFonts w:cs="Helvetica"/>
          <w:i/>
          <w:color w:val="000000" w:themeColor="text1"/>
          <w:lang w:val="en-GB"/>
        </w:rPr>
        <w:t>LHX</w:t>
      </w:r>
      <w:r w:rsidR="00590F8B" w:rsidRPr="00925C19">
        <w:rPr>
          <w:rFonts w:cs="Helvetica"/>
          <w:color w:val="000000" w:themeColor="text1"/>
          <w:lang w:val="en-GB"/>
        </w:rPr>
        <w:t>).</w:t>
      </w:r>
    </w:p>
    <w:p w:rsidR="00201FC6" w:rsidRPr="00925C19" w:rsidRDefault="00201FC6" w:rsidP="00201FC6">
      <w:pPr>
        <w:widowControl w:val="0"/>
        <w:autoSpaceDE w:val="0"/>
        <w:autoSpaceDN w:val="0"/>
        <w:adjustRightInd w:val="0"/>
        <w:spacing w:line="480" w:lineRule="auto"/>
        <w:jc w:val="both"/>
        <w:rPr>
          <w:rFonts w:cs="Helvetica"/>
          <w:color w:val="000000" w:themeColor="text1"/>
          <w:lang w:val="en-GB"/>
        </w:rPr>
      </w:pPr>
    </w:p>
    <w:p w:rsidR="004957EF" w:rsidRPr="00925C19" w:rsidRDefault="00590F8B" w:rsidP="00201FC6">
      <w:pPr>
        <w:widowControl w:val="0"/>
        <w:autoSpaceDE w:val="0"/>
        <w:autoSpaceDN w:val="0"/>
        <w:adjustRightInd w:val="0"/>
        <w:spacing w:line="480" w:lineRule="auto"/>
        <w:jc w:val="both"/>
        <w:rPr>
          <w:rFonts w:cs="Helvetica"/>
          <w:lang w:val="en-GB"/>
        </w:rPr>
      </w:pPr>
      <w:r w:rsidRPr="00925C19">
        <w:rPr>
          <w:rFonts w:cs="Helvetica"/>
          <w:color w:val="000000" w:themeColor="text1"/>
          <w:lang w:val="en-GB"/>
        </w:rPr>
        <w:t xml:space="preserve">We then collected, for each enhancer, all genes that had an (ENSEMBL annotated) transcription start site within 500 </w:t>
      </w:r>
      <w:proofErr w:type="spellStart"/>
      <w:r w:rsidRPr="00925C19">
        <w:rPr>
          <w:rFonts w:cs="Helvetica"/>
          <w:color w:val="000000" w:themeColor="text1"/>
          <w:lang w:val="en-GB"/>
        </w:rPr>
        <w:t>kbp</w:t>
      </w:r>
      <w:proofErr w:type="spellEnd"/>
      <w:r w:rsidRPr="00925C19">
        <w:rPr>
          <w:rFonts w:cs="Helvetica"/>
          <w:color w:val="000000" w:themeColor="text1"/>
          <w:lang w:val="en-GB"/>
        </w:rPr>
        <w:t xml:space="preserve"> from the enhancer. For each such gene, we added a matrix entry (row) with the enhancer ID, the gene ID, the enhancer features listed above (</w:t>
      </w:r>
      <w:r w:rsidRPr="00925C19">
        <w:rPr>
          <w:rFonts w:cs="Helvetica"/>
          <w:i/>
          <w:color w:val="000000" w:themeColor="text1"/>
          <w:lang w:val="en-GB"/>
        </w:rPr>
        <w:t>sc_</w:t>
      </w:r>
      <w:r w:rsidR="008604FD">
        <w:rPr>
          <w:rFonts w:cs="Helvetica"/>
          <w:i/>
          <w:color w:val="000000" w:themeColor="text1"/>
          <w:lang w:val="en-GB"/>
        </w:rPr>
        <w:t>SOX</w:t>
      </w:r>
      <w:r w:rsidR="00ED5FE3">
        <w:rPr>
          <w:rFonts w:cs="Helvetica"/>
          <w:i/>
          <w:color w:val="000000" w:themeColor="text1"/>
          <w:lang w:val="en-GB"/>
        </w:rPr>
        <w:t>2</w:t>
      </w:r>
      <w:r w:rsidRPr="00925C19">
        <w:rPr>
          <w:rFonts w:cs="Helvetica"/>
          <w:i/>
          <w:color w:val="000000" w:themeColor="text1"/>
          <w:lang w:val="en-GB"/>
        </w:rPr>
        <w:t>no</w:t>
      </w:r>
      <w:r w:rsidRPr="00925C19">
        <w:rPr>
          <w:rFonts w:cs="Helvetica"/>
          <w:color w:val="000000" w:themeColor="text1"/>
          <w:lang w:val="en-GB"/>
        </w:rPr>
        <w:t>, etc.), and the RNA-</w:t>
      </w:r>
      <w:proofErr w:type="spellStart"/>
      <w:r w:rsidRPr="00925C19">
        <w:rPr>
          <w:rFonts w:cs="Helvetica"/>
          <w:color w:val="000000" w:themeColor="text1"/>
          <w:lang w:val="en-GB"/>
        </w:rPr>
        <w:t>seq</w:t>
      </w:r>
      <w:proofErr w:type="spellEnd"/>
      <w:r w:rsidRPr="00925C19">
        <w:rPr>
          <w:rFonts w:cs="Helvetica"/>
          <w:color w:val="000000" w:themeColor="text1"/>
          <w:lang w:val="en-GB"/>
        </w:rPr>
        <w:t xml:space="preserve"> expression (log2) fold change</w:t>
      </w:r>
      <w:r w:rsidR="005941D5" w:rsidRPr="00925C19">
        <w:rPr>
          <w:rFonts w:cs="Helvetica"/>
          <w:color w:val="000000" w:themeColor="text1"/>
          <w:lang w:val="en-GB"/>
        </w:rPr>
        <w:t>, as reported by DESeq2,</w:t>
      </w:r>
      <w:r w:rsidRPr="00925C19">
        <w:rPr>
          <w:rFonts w:cs="Helvetica"/>
          <w:color w:val="000000" w:themeColor="text1"/>
          <w:lang w:val="en-GB"/>
        </w:rPr>
        <w:t xml:space="preserve"> for the gene in question. This</w:t>
      </w:r>
      <w:r w:rsidRPr="00925C19">
        <w:rPr>
          <w:rFonts w:cs="Helvetica"/>
          <w:lang w:val="en-GB"/>
        </w:rPr>
        <w:t xml:space="preserve">, accordingly, resulted in a very large intermediate matrix of enhancer-gene pairs. To collapse this matrix into one that has exactly one row per gene, we </w:t>
      </w:r>
      <w:r w:rsidR="00DC5283" w:rsidRPr="00925C19">
        <w:rPr>
          <w:rFonts w:cs="Helvetica"/>
          <w:lang w:val="en-GB"/>
        </w:rPr>
        <w:t>calculated a weighted sum of each feature in all the enhancers that were coupled to the same gene. The weights were based on the distance between the gene and the enhancer through the relationship</w:t>
      </w:r>
    </w:p>
    <w:p w:rsidR="00DC5283" w:rsidRPr="00925C19" w:rsidRDefault="00DC5283" w:rsidP="008F3109">
      <w:pPr>
        <w:widowControl w:val="0"/>
        <w:autoSpaceDE w:val="0"/>
        <w:autoSpaceDN w:val="0"/>
        <w:adjustRightInd w:val="0"/>
        <w:spacing w:line="480" w:lineRule="auto"/>
        <w:ind w:firstLine="720"/>
        <w:jc w:val="both"/>
        <w:rPr>
          <w:rFonts w:cs="Helvetica"/>
          <w:b/>
          <w:lang w:val="en-GB"/>
        </w:rPr>
      </w:pPr>
      <w:proofErr w:type="gramStart"/>
      <w:r w:rsidRPr="00925C19">
        <w:rPr>
          <w:rFonts w:cs="Helvetica"/>
          <w:b/>
          <w:lang w:val="en-GB"/>
        </w:rPr>
        <w:t>weight</w:t>
      </w:r>
      <w:proofErr w:type="gramEnd"/>
      <w:r w:rsidRPr="00925C19">
        <w:rPr>
          <w:rFonts w:cs="Helvetica"/>
          <w:b/>
          <w:lang w:val="en-GB"/>
        </w:rPr>
        <w:t xml:space="preserve"> = exp(-3d/500000)</w:t>
      </w:r>
    </w:p>
    <w:p w:rsidR="00DC5283" w:rsidRPr="00925C19" w:rsidRDefault="00DC5283" w:rsidP="008F3109">
      <w:pPr>
        <w:widowControl w:val="0"/>
        <w:autoSpaceDE w:val="0"/>
        <w:autoSpaceDN w:val="0"/>
        <w:adjustRightInd w:val="0"/>
        <w:spacing w:line="480" w:lineRule="auto"/>
        <w:jc w:val="both"/>
        <w:rPr>
          <w:rFonts w:cs="Helvetica"/>
          <w:lang w:val="en-GB"/>
        </w:rPr>
      </w:pPr>
      <w:proofErr w:type="gramStart"/>
      <w:r w:rsidRPr="00925C19">
        <w:rPr>
          <w:rFonts w:cs="Helvetica"/>
          <w:lang w:val="en-GB"/>
        </w:rPr>
        <w:t>where</w:t>
      </w:r>
      <w:proofErr w:type="gramEnd"/>
      <w:r w:rsidRPr="00925C19">
        <w:rPr>
          <w:rFonts w:cs="Helvetica"/>
          <w:lang w:val="en-GB"/>
        </w:rPr>
        <w:t xml:space="preserve"> d is the distance between the gene and the enhancer, defined as the smallest absolute distance between the gene's TSS and the start or end coordinate of the enhancer region. It is easily verified that an enhancer overlapping the TSS (d=0) would get a weight of 1, an enhancer 50 </w:t>
      </w:r>
      <w:proofErr w:type="spellStart"/>
      <w:r w:rsidRPr="00925C19">
        <w:rPr>
          <w:rFonts w:cs="Helvetica"/>
          <w:lang w:val="en-GB"/>
        </w:rPr>
        <w:t>kpb</w:t>
      </w:r>
      <w:proofErr w:type="spellEnd"/>
      <w:r w:rsidRPr="00925C19">
        <w:rPr>
          <w:rFonts w:cs="Helvetica"/>
          <w:lang w:val="en-GB"/>
        </w:rPr>
        <w:t xml:space="preserve"> from the TSS would get a weight of  ~0.74, and an enhancer 500 </w:t>
      </w:r>
      <w:proofErr w:type="spellStart"/>
      <w:r w:rsidRPr="00925C19">
        <w:rPr>
          <w:rFonts w:cs="Helvetica"/>
          <w:lang w:val="en-GB"/>
        </w:rPr>
        <w:t>kbp</w:t>
      </w:r>
      <w:proofErr w:type="spellEnd"/>
      <w:r w:rsidRPr="00925C19">
        <w:rPr>
          <w:rFonts w:cs="Helvetica"/>
          <w:lang w:val="en-GB"/>
        </w:rPr>
        <w:t xml:space="preserve"> from the TSS would get ~0.05.</w:t>
      </w:r>
    </w:p>
    <w:p w:rsidR="00201FC6" w:rsidRPr="00925C19" w:rsidRDefault="00201FC6" w:rsidP="008F3109">
      <w:pPr>
        <w:widowControl w:val="0"/>
        <w:autoSpaceDE w:val="0"/>
        <w:autoSpaceDN w:val="0"/>
        <w:adjustRightInd w:val="0"/>
        <w:spacing w:line="480" w:lineRule="auto"/>
        <w:jc w:val="both"/>
        <w:rPr>
          <w:rFonts w:cs="Helvetica"/>
          <w:lang w:val="en-GB"/>
        </w:rPr>
      </w:pPr>
    </w:p>
    <w:p w:rsidR="00DC5283" w:rsidRPr="00925C19" w:rsidRDefault="00DC5283" w:rsidP="008F3109">
      <w:pPr>
        <w:widowControl w:val="0"/>
        <w:autoSpaceDE w:val="0"/>
        <w:autoSpaceDN w:val="0"/>
        <w:adjustRightInd w:val="0"/>
        <w:spacing w:line="480" w:lineRule="auto"/>
        <w:jc w:val="both"/>
        <w:rPr>
          <w:rFonts w:cs="Helvetica"/>
          <w:lang w:val="en-GB"/>
        </w:rPr>
      </w:pPr>
      <w:r w:rsidRPr="00925C19">
        <w:rPr>
          <w:rFonts w:cs="Helvetica"/>
          <w:lang w:val="en-GB"/>
        </w:rPr>
        <w:t xml:space="preserve">In this way, we obtained a (gene x feature) matrix where the feature values for each gene were distance-weighted sums of the features described above. This matrix was further pre-processed by taking logarithms of some features (the </w:t>
      </w:r>
      <w:r w:rsidR="008604FD">
        <w:rPr>
          <w:rFonts w:cs="Helvetica"/>
          <w:lang w:val="en-GB"/>
        </w:rPr>
        <w:t>SOX</w:t>
      </w:r>
      <w:r w:rsidR="00ED5FE3">
        <w:rPr>
          <w:rFonts w:cs="Helvetica"/>
          <w:lang w:val="en-GB"/>
        </w:rPr>
        <w:t>2</w:t>
      </w:r>
      <w:r w:rsidRPr="00925C19">
        <w:rPr>
          <w:rFonts w:cs="Helvetica"/>
          <w:lang w:val="en-GB"/>
        </w:rPr>
        <w:t xml:space="preserve"> score featur</w:t>
      </w:r>
      <w:r w:rsidR="007A6E3A" w:rsidRPr="00925C19">
        <w:rPr>
          <w:rFonts w:cs="Helvetica"/>
          <w:lang w:val="en-GB"/>
        </w:rPr>
        <w:t>e</w:t>
      </w:r>
      <w:r w:rsidRPr="00925C19">
        <w:rPr>
          <w:rFonts w:cs="Helvetica"/>
          <w:lang w:val="en-GB"/>
        </w:rPr>
        <w:t xml:space="preserve">s and the DHS features) to get feature values on approximately the same scale ahead of statistical </w:t>
      </w:r>
      <w:r w:rsidR="00C50194" w:rsidRPr="00925C19">
        <w:rPr>
          <w:rFonts w:cs="Helvetica"/>
          <w:lang w:val="en-GB"/>
        </w:rPr>
        <w:t>modelling</w:t>
      </w:r>
      <w:r w:rsidRPr="00925C19">
        <w:rPr>
          <w:rFonts w:cs="Helvetica"/>
          <w:lang w:val="en-GB"/>
        </w:rPr>
        <w:t xml:space="preserve">. In addition, we introduced two derived features: </w:t>
      </w:r>
      <w:r w:rsidR="004625E2" w:rsidRPr="00925C19">
        <w:rPr>
          <w:rFonts w:cs="Helvetica"/>
          <w:i/>
          <w:lang w:val="en-GB"/>
        </w:rPr>
        <w:t>dhs_log2fc</w:t>
      </w:r>
      <w:r w:rsidR="004625E2" w:rsidRPr="00925C19">
        <w:rPr>
          <w:rFonts w:cs="Helvetica"/>
          <w:lang w:val="en-GB"/>
        </w:rPr>
        <w:t xml:space="preserve">, defined as </w:t>
      </w:r>
      <w:proofErr w:type="gramStart"/>
      <w:r w:rsidR="004625E2" w:rsidRPr="00925C19">
        <w:rPr>
          <w:rFonts w:cs="Helvetica"/>
          <w:lang w:val="en-GB"/>
        </w:rPr>
        <w:t>log2(</w:t>
      </w:r>
      <w:proofErr w:type="gramEnd"/>
      <w:r w:rsidR="004625E2" w:rsidRPr="00925C19">
        <w:rPr>
          <w:rFonts w:cs="Helvetica"/>
          <w:lang w:val="en-GB"/>
        </w:rPr>
        <w:t>(</w:t>
      </w:r>
      <w:proofErr w:type="spellStart"/>
      <w:r w:rsidR="004625E2" w:rsidRPr="00925C19">
        <w:rPr>
          <w:rFonts w:cs="Helvetica"/>
          <w:lang w:val="en-GB"/>
        </w:rPr>
        <w:t>sc_dhs+a</w:t>
      </w:r>
      <w:proofErr w:type="spellEnd"/>
      <w:r w:rsidR="004625E2" w:rsidRPr="00925C19">
        <w:rPr>
          <w:rFonts w:cs="Helvetica"/>
          <w:lang w:val="en-GB"/>
        </w:rPr>
        <w:t>)/(</w:t>
      </w:r>
      <w:proofErr w:type="spellStart"/>
      <w:r w:rsidR="004625E2" w:rsidRPr="00925C19">
        <w:rPr>
          <w:rFonts w:cs="Helvetica"/>
          <w:lang w:val="en-GB"/>
        </w:rPr>
        <w:t>ctx_dhs+b</w:t>
      </w:r>
      <w:proofErr w:type="spellEnd"/>
      <w:r w:rsidR="004625E2" w:rsidRPr="00925C19">
        <w:rPr>
          <w:rFonts w:cs="Helvetica"/>
          <w:lang w:val="en-GB"/>
        </w:rPr>
        <w:t xml:space="preserve">)), where a is the smallest nonzero value of </w:t>
      </w:r>
      <w:proofErr w:type="spellStart"/>
      <w:r w:rsidR="004625E2" w:rsidRPr="00925C19">
        <w:rPr>
          <w:rFonts w:cs="Helvetica"/>
          <w:lang w:val="en-GB"/>
        </w:rPr>
        <w:t>sc_dhs</w:t>
      </w:r>
      <w:proofErr w:type="spellEnd"/>
      <w:r w:rsidR="004625E2" w:rsidRPr="00925C19">
        <w:rPr>
          <w:rFonts w:cs="Helvetica"/>
          <w:lang w:val="en-GB"/>
        </w:rPr>
        <w:t xml:space="preserve">, and b is the smallest nonzero value of </w:t>
      </w:r>
      <w:proofErr w:type="spellStart"/>
      <w:r w:rsidR="004625E2" w:rsidRPr="00925C19">
        <w:rPr>
          <w:rFonts w:cs="Helvetica"/>
          <w:lang w:val="en-GB"/>
        </w:rPr>
        <w:t>ctx_dhs</w:t>
      </w:r>
      <w:proofErr w:type="spellEnd"/>
      <w:r w:rsidR="004625E2" w:rsidRPr="00925C19">
        <w:rPr>
          <w:rFonts w:cs="Helvetica"/>
          <w:lang w:val="en-GB"/>
        </w:rPr>
        <w:t xml:space="preserve">, and </w:t>
      </w:r>
      <w:r w:rsidR="008604FD">
        <w:rPr>
          <w:rFonts w:cs="Helvetica"/>
          <w:i/>
          <w:lang w:val="en-GB"/>
        </w:rPr>
        <w:t>SOX</w:t>
      </w:r>
      <w:r w:rsidR="00ED5FE3">
        <w:rPr>
          <w:rFonts w:cs="Helvetica"/>
          <w:i/>
          <w:lang w:val="en-GB"/>
        </w:rPr>
        <w:t>2</w:t>
      </w:r>
      <w:r w:rsidR="004625E2" w:rsidRPr="00925C19">
        <w:rPr>
          <w:rFonts w:cs="Helvetica"/>
          <w:i/>
          <w:lang w:val="en-GB"/>
        </w:rPr>
        <w:t>score_fc</w:t>
      </w:r>
      <w:r w:rsidR="004625E2" w:rsidRPr="00925C19">
        <w:rPr>
          <w:rFonts w:cs="Helvetica"/>
          <w:lang w:val="en-GB"/>
        </w:rPr>
        <w:t>, which is defined in a completely analogous way but for sc_</w:t>
      </w:r>
      <w:r w:rsidR="008604FD">
        <w:rPr>
          <w:rFonts w:cs="Helvetica"/>
          <w:lang w:val="en-GB"/>
        </w:rPr>
        <w:t>SOX</w:t>
      </w:r>
      <w:r w:rsidR="00ED5FE3">
        <w:rPr>
          <w:rFonts w:cs="Helvetica"/>
          <w:lang w:val="en-GB"/>
        </w:rPr>
        <w:t>2</w:t>
      </w:r>
      <w:r w:rsidR="004625E2" w:rsidRPr="00925C19">
        <w:rPr>
          <w:rFonts w:cs="Helvetica"/>
          <w:lang w:val="en-GB"/>
        </w:rPr>
        <w:t>score and ctx_</w:t>
      </w:r>
      <w:r w:rsidR="008604FD">
        <w:rPr>
          <w:rFonts w:cs="Helvetica"/>
          <w:lang w:val="en-GB"/>
        </w:rPr>
        <w:t>SOX</w:t>
      </w:r>
      <w:r w:rsidR="00ED5FE3">
        <w:rPr>
          <w:rFonts w:cs="Helvetica"/>
          <w:lang w:val="en-GB"/>
        </w:rPr>
        <w:t>2</w:t>
      </w:r>
      <w:r w:rsidR="004625E2" w:rsidRPr="00925C19">
        <w:rPr>
          <w:rFonts w:cs="Helvetica"/>
          <w:lang w:val="en-GB"/>
        </w:rPr>
        <w:t>score instead.</w:t>
      </w:r>
      <w:r w:rsidR="007A6E3A" w:rsidRPr="00925C19">
        <w:rPr>
          <w:rFonts w:cs="Helvetica"/>
          <w:lang w:val="en-GB"/>
        </w:rPr>
        <w:t xml:space="preserve"> In addition, we reduced the matrix to contain only those genes (N=4,540) that we considered </w:t>
      </w:r>
      <w:r w:rsidR="008604FD">
        <w:rPr>
          <w:rFonts w:cs="Helvetica"/>
          <w:lang w:val="en-GB"/>
        </w:rPr>
        <w:t>SOX</w:t>
      </w:r>
      <w:r w:rsidR="00ED5FE3">
        <w:rPr>
          <w:rFonts w:cs="Helvetica"/>
          <w:lang w:val="en-GB"/>
        </w:rPr>
        <w:t>2</w:t>
      </w:r>
      <w:r w:rsidR="007A6E3A" w:rsidRPr="00925C19">
        <w:rPr>
          <w:rFonts w:cs="Helvetica"/>
          <w:lang w:val="en-GB"/>
        </w:rPr>
        <w:t xml:space="preserve"> bound (genes that had at least one </w:t>
      </w:r>
      <w:r w:rsidR="008604FD">
        <w:rPr>
          <w:rFonts w:cs="Helvetica"/>
          <w:lang w:val="en-GB"/>
        </w:rPr>
        <w:t>SOX</w:t>
      </w:r>
      <w:r w:rsidR="00ED5FE3">
        <w:rPr>
          <w:rFonts w:cs="Helvetica"/>
          <w:lang w:val="en-GB"/>
        </w:rPr>
        <w:t>2</w:t>
      </w:r>
      <w:r w:rsidR="007A6E3A" w:rsidRPr="00925C19">
        <w:rPr>
          <w:rFonts w:cs="Helvetica"/>
          <w:lang w:val="en-GB"/>
        </w:rPr>
        <w:t xml:space="preserve"> peak for SC or </w:t>
      </w:r>
      <w:proofErr w:type="spellStart"/>
      <w:r w:rsidR="007A6E3A" w:rsidRPr="00925C19">
        <w:rPr>
          <w:rFonts w:cs="Helvetica"/>
          <w:lang w:val="en-GB"/>
        </w:rPr>
        <w:t>Ctx</w:t>
      </w:r>
      <w:proofErr w:type="spellEnd"/>
      <w:r w:rsidR="007A6E3A" w:rsidRPr="00925C19">
        <w:rPr>
          <w:rFonts w:cs="Helvetica"/>
          <w:lang w:val="en-GB"/>
        </w:rPr>
        <w:t xml:space="preserve"> in one of its putative enhancers).</w:t>
      </w:r>
    </w:p>
    <w:p w:rsidR="00201FC6" w:rsidRPr="00925C19" w:rsidRDefault="00201FC6" w:rsidP="00201FC6">
      <w:pPr>
        <w:widowControl w:val="0"/>
        <w:autoSpaceDE w:val="0"/>
        <w:autoSpaceDN w:val="0"/>
        <w:adjustRightInd w:val="0"/>
        <w:spacing w:line="480" w:lineRule="auto"/>
        <w:jc w:val="both"/>
        <w:rPr>
          <w:rFonts w:cs="Helvetica"/>
          <w:lang w:val="en-GB"/>
        </w:rPr>
      </w:pPr>
    </w:p>
    <w:p w:rsidR="00DC5283" w:rsidRPr="00925C19" w:rsidRDefault="004625E2" w:rsidP="00201FC6">
      <w:pPr>
        <w:widowControl w:val="0"/>
        <w:autoSpaceDE w:val="0"/>
        <w:autoSpaceDN w:val="0"/>
        <w:adjustRightInd w:val="0"/>
        <w:spacing w:line="480" w:lineRule="auto"/>
        <w:jc w:val="both"/>
        <w:rPr>
          <w:rFonts w:cs="Helvetica"/>
          <w:lang w:val="en-GB"/>
        </w:rPr>
      </w:pPr>
      <w:r w:rsidRPr="00925C19">
        <w:rPr>
          <w:rFonts w:cs="Helvetica"/>
          <w:lang w:val="en-GB"/>
        </w:rPr>
        <w:t>Using the resulting</w:t>
      </w:r>
      <w:r w:rsidR="00DC5283" w:rsidRPr="00925C19">
        <w:rPr>
          <w:rFonts w:cs="Helvetica"/>
          <w:lang w:val="en-GB"/>
        </w:rPr>
        <w:t xml:space="preserve"> matrix, we </w:t>
      </w:r>
      <w:r w:rsidRPr="00925C19">
        <w:rPr>
          <w:rFonts w:cs="Helvetica"/>
          <w:lang w:val="en-GB"/>
        </w:rPr>
        <w:t xml:space="preserve">first </w:t>
      </w:r>
      <w:r w:rsidR="00C50194" w:rsidRPr="00925C19">
        <w:rPr>
          <w:rFonts w:cs="Helvetica"/>
          <w:lang w:val="en-GB"/>
        </w:rPr>
        <w:t>modelled</w:t>
      </w:r>
      <w:r w:rsidR="00DC5283" w:rsidRPr="00925C19">
        <w:rPr>
          <w:rFonts w:cs="Helvetica"/>
          <w:lang w:val="en-GB"/>
        </w:rPr>
        <w:t xml:space="preserve"> the RNA-</w:t>
      </w:r>
      <w:proofErr w:type="spellStart"/>
      <w:r w:rsidR="00DC5283" w:rsidRPr="00925C19">
        <w:rPr>
          <w:rFonts w:cs="Helvetica"/>
          <w:lang w:val="en-GB"/>
        </w:rPr>
        <w:t>seq</w:t>
      </w:r>
      <w:proofErr w:type="spellEnd"/>
      <w:r w:rsidR="00DC5283" w:rsidRPr="00925C19">
        <w:rPr>
          <w:rFonts w:cs="Helvetica"/>
          <w:lang w:val="en-GB"/>
        </w:rPr>
        <w:t xml:space="preserve"> expression (log2) fold change between SC and </w:t>
      </w:r>
      <w:proofErr w:type="spellStart"/>
      <w:r w:rsidR="00DC5283" w:rsidRPr="00925C19">
        <w:rPr>
          <w:rFonts w:cs="Helvetica"/>
          <w:lang w:val="en-GB"/>
        </w:rPr>
        <w:t>Ctx</w:t>
      </w:r>
      <w:proofErr w:type="spellEnd"/>
      <w:r w:rsidR="00DC5283" w:rsidRPr="00925C19">
        <w:rPr>
          <w:rFonts w:cs="Helvetica"/>
          <w:lang w:val="en-GB"/>
        </w:rPr>
        <w:t xml:space="preserve"> </w:t>
      </w:r>
      <w:r w:rsidRPr="00925C19">
        <w:rPr>
          <w:rFonts w:cs="Helvetica"/>
          <w:lang w:val="en-GB"/>
        </w:rPr>
        <w:t xml:space="preserve">as a function of the other features </w:t>
      </w:r>
      <w:r w:rsidR="00DC5283" w:rsidRPr="00925C19">
        <w:rPr>
          <w:rFonts w:cs="Helvetica"/>
          <w:lang w:val="en-GB"/>
        </w:rPr>
        <w:t xml:space="preserve">using random forest regression and linear </w:t>
      </w:r>
      <w:r w:rsidR="00C50194" w:rsidRPr="00925C19">
        <w:rPr>
          <w:rFonts w:cs="Helvetica"/>
          <w:lang w:val="en-GB"/>
        </w:rPr>
        <w:t>modelling</w:t>
      </w:r>
      <w:r w:rsidR="00DC5283" w:rsidRPr="00925C19">
        <w:rPr>
          <w:rFonts w:cs="Helvetica"/>
          <w:lang w:val="en-GB"/>
        </w:rPr>
        <w:t xml:space="preserve"> with stepwise feature selection in </w:t>
      </w:r>
      <w:r w:rsidR="009C086D" w:rsidRPr="00925C19">
        <w:rPr>
          <w:rFonts w:cs="Helvetica"/>
          <w:lang w:val="en-GB"/>
        </w:rPr>
        <w:t xml:space="preserve">the </w:t>
      </w:r>
      <w:r w:rsidR="00DC5283" w:rsidRPr="00925C19">
        <w:rPr>
          <w:rFonts w:cs="Helvetica"/>
          <w:color w:val="000000" w:themeColor="text1"/>
          <w:lang w:val="en-GB"/>
        </w:rPr>
        <w:t>R</w:t>
      </w:r>
      <w:r w:rsidR="009C086D" w:rsidRPr="00925C19">
        <w:rPr>
          <w:rFonts w:cs="Helvetica"/>
          <w:color w:val="000000" w:themeColor="text1"/>
          <w:lang w:val="en-GB"/>
        </w:rPr>
        <w:t xml:space="preserve"> statistical computing language</w:t>
      </w:r>
      <w:r w:rsidR="00DC5283" w:rsidRPr="00925C19">
        <w:rPr>
          <w:rFonts w:cs="Helvetica"/>
          <w:lang w:val="en-GB"/>
        </w:rPr>
        <w:t xml:space="preserve">. </w:t>
      </w:r>
      <w:r w:rsidRPr="00925C19">
        <w:rPr>
          <w:rFonts w:cs="Helvetica"/>
          <w:lang w:val="en-GB"/>
        </w:rPr>
        <w:t xml:space="preserve">For this and the following models, the data set was divided into a training set and a test set, the latter of which was only used for a final </w:t>
      </w:r>
      <w:r w:rsidRPr="00E80BA1">
        <w:rPr>
          <w:rFonts w:cs="Helvetica"/>
          <w:lang w:val="en-GB"/>
        </w:rPr>
        <w:t xml:space="preserve">evaluation of the model after fitting. For </w:t>
      </w:r>
      <w:r w:rsidR="00357425" w:rsidRPr="00E80BA1">
        <w:rPr>
          <w:rFonts w:cs="Helvetica"/>
          <w:lang w:val="en-GB"/>
        </w:rPr>
        <w:t>modelling</w:t>
      </w:r>
      <w:r w:rsidRPr="00E80BA1">
        <w:rPr>
          <w:rFonts w:cs="Helvetica"/>
          <w:lang w:val="en-GB"/>
        </w:rPr>
        <w:t xml:space="preserve"> the DHS score log2 fold change (</w:t>
      </w:r>
      <w:proofErr w:type="spellStart"/>
      <w:r w:rsidRPr="00E80BA1">
        <w:rPr>
          <w:rFonts w:cs="Helvetica"/>
          <w:i/>
          <w:lang w:val="en-GB"/>
        </w:rPr>
        <w:t>dhs_fc</w:t>
      </w:r>
      <w:proofErr w:type="spellEnd"/>
      <w:r w:rsidRPr="00E80BA1">
        <w:rPr>
          <w:rFonts w:cs="Helvetica"/>
          <w:lang w:val="en-GB"/>
        </w:rPr>
        <w:t xml:space="preserve">) we only used the </w:t>
      </w:r>
      <w:r w:rsidR="008604FD" w:rsidRPr="00E80BA1">
        <w:rPr>
          <w:rFonts w:cs="Helvetica"/>
          <w:lang w:val="en-GB"/>
        </w:rPr>
        <w:t>SOX</w:t>
      </w:r>
      <w:r w:rsidR="00ED5FE3" w:rsidRPr="00E80BA1">
        <w:rPr>
          <w:rFonts w:cs="Helvetica"/>
          <w:lang w:val="en-GB"/>
        </w:rPr>
        <w:t>2</w:t>
      </w:r>
      <w:r w:rsidRPr="00E80BA1">
        <w:rPr>
          <w:rFonts w:cs="Helvetica"/>
          <w:lang w:val="en-GB"/>
        </w:rPr>
        <w:t xml:space="preserve"> related features, </w:t>
      </w:r>
      <w:r w:rsidR="008604FD" w:rsidRPr="00E80BA1">
        <w:rPr>
          <w:rFonts w:cs="Helvetica"/>
          <w:lang w:val="en-GB"/>
        </w:rPr>
        <w:t>HOX</w:t>
      </w:r>
      <w:r w:rsidRPr="00E80BA1">
        <w:rPr>
          <w:rFonts w:cs="Helvetica"/>
          <w:lang w:val="en-GB"/>
        </w:rPr>
        <w:t xml:space="preserve">, </w:t>
      </w:r>
      <w:r w:rsidR="008604FD" w:rsidRPr="00E80BA1">
        <w:rPr>
          <w:rFonts w:cs="Helvetica"/>
          <w:lang w:val="en-GB"/>
        </w:rPr>
        <w:t>LHX</w:t>
      </w:r>
      <w:r w:rsidRPr="00E80BA1">
        <w:rPr>
          <w:rFonts w:cs="Helvetica"/>
          <w:lang w:val="en-GB"/>
        </w:rPr>
        <w:t xml:space="preserve"> and </w:t>
      </w:r>
      <w:proofErr w:type="spellStart"/>
      <w:r w:rsidRPr="00E80BA1">
        <w:rPr>
          <w:rFonts w:cs="Helvetica"/>
          <w:i/>
          <w:lang w:val="en-GB"/>
        </w:rPr>
        <w:t>meancons</w:t>
      </w:r>
      <w:proofErr w:type="spellEnd"/>
      <w:r w:rsidRPr="00E80BA1">
        <w:rPr>
          <w:rFonts w:cs="Helvetica"/>
          <w:i/>
          <w:lang w:val="en-GB"/>
        </w:rPr>
        <w:t xml:space="preserve">, </w:t>
      </w:r>
      <w:r w:rsidRPr="00E80BA1">
        <w:rPr>
          <w:rFonts w:cs="Helvetica"/>
          <w:lang w:val="en-GB"/>
        </w:rPr>
        <w:t xml:space="preserve">and for </w:t>
      </w:r>
      <w:r w:rsidR="00114880" w:rsidRPr="00E80BA1">
        <w:rPr>
          <w:rFonts w:cs="Helvetica"/>
          <w:lang w:val="en-GB"/>
        </w:rPr>
        <w:t>modelling</w:t>
      </w:r>
      <w:r w:rsidRPr="00E80BA1">
        <w:rPr>
          <w:rFonts w:cs="Helvetica"/>
          <w:lang w:val="en-GB"/>
        </w:rPr>
        <w:t xml:space="preserve"> </w:t>
      </w:r>
      <w:r w:rsidR="008604FD" w:rsidRPr="00E80BA1">
        <w:rPr>
          <w:rFonts w:cs="Helvetica"/>
          <w:lang w:val="en-GB"/>
        </w:rPr>
        <w:t>SOX</w:t>
      </w:r>
      <w:r w:rsidR="00ED5FE3" w:rsidRPr="00E80BA1">
        <w:rPr>
          <w:rFonts w:cs="Helvetica"/>
          <w:lang w:val="en-GB"/>
        </w:rPr>
        <w:t>2</w:t>
      </w:r>
      <w:r w:rsidRPr="00E80BA1">
        <w:rPr>
          <w:rFonts w:cs="Helvetica"/>
          <w:lang w:val="en-GB"/>
        </w:rPr>
        <w:t xml:space="preserve"> score log2 fold change (</w:t>
      </w:r>
      <w:r w:rsidR="008604FD" w:rsidRPr="00E80BA1">
        <w:rPr>
          <w:rFonts w:cs="Helvetica"/>
          <w:i/>
          <w:lang w:val="en-GB"/>
        </w:rPr>
        <w:t>SOX</w:t>
      </w:r>
      <w:r w:rsidR="00ED5FE3" w:rsidRPr="00E80BA1">
        <w:rPr>
          <w:rFonts w:cs="Helvetica"/>
          <w:i/>
          <w:lang w:val="en-GB"/>
        </w:rPr>
        <w:t>2</w:t>
      </w:r>
      <w:r w:rsidRPr="00E80BA1">
        <w:rPr>
          <w:rFonts w:cs="Helvetica"/>
          <w:i/>
          <w:lang w:val="en-GB"/>
        </w:rPr>
        <w:t>score_fc</w:t>
      </w:r>
      <w:r w:rsidRPr="00E80BA1">
        <w:rPr>
          <w:rFonts w:cs="Helvetica"/>
          <w:lang w:val="en-GB"/>
        </w:rPr>
        <w:t xml:space="preserve">), we only used </w:t>
      </w:r>
      <w:r w:rsidR="008604FD" w:rsidRPr="00E80BA1">
        <w:rPr>
          <w:rFonts w:cs="Helvetica"/>
          <w:lang w:val="en-GB"/>
        </w:rPr>
        <w:t>HOX</w:t>
      </w:r>
      <w:r w:rsidRPr="00E80BA1">
        <w:rPr>
          <w:rFonts w:cs="Helvetica"/>
          <w:lang w:val="en-GB"/>
        </w:rPr>
        <w:t xml:space="preserve">, </w:t>
      </w:r>
      <w:r w:rsidR="008604FD" w:rsidRPr="00E80BA1">
        <w:rPr>
          <w:rFonts w:cs="Helvetica"/>
          <w:lang w:val="en-GB"/>
        </w:rPr>
        <w:t>LHX</w:t>
      </w:r>
      <w:r w:rsidRPr="00E80BA1">
        <w:rPr>
          <w:rFonts w:cs="Helvetica"/>
          <w:lang w:val="en-GB"/>
        </w:rPr>
        <w:t xml:space="preserve"> and </w:t>
      </w:r>
      <w:proofErr w:type="spellStart"/>
      <w:r w:rsidRPr="00E80BA1">
        <w:rPr>
          <w:rFonts w:cs="Helvetica"/>
          <w:i/>
          <w:lang w:val="en-GB"/>
        </w:rPr>
        <w:t>meancons</w:t>
      </w:r>
      <w:proofErr w:type="spellEnd"/>
      <w:r w:rsidRPr="00E80BA1">
        <w:rPr>
          <w:rFonts w:cs="Helvetica"/>
          <w:lang w:val="en-GB"/>
        </w:rPr>
        <w:t>.</w:t>
      </w:r>
    </w:p>
    <w:p w:rsidR="00BB156E" w:rsidRDefault="00BB156E" w:rsidP="008F3109">
      <w:pPr>
        <w:spacing w:line="480" w:lineRule="auto"/>
        <w:jc w:val="both"/>
        <w:rPr>
          <w:lang w:val="en-GB"/>
        </w:rPr>
      </w:pPr>
    </w:p>
    <w:p w:rsidR="00BB156E" w:rsidRPr="00925C19" w:rsidRDefault="008D5A8C" w:rsidP="00BB156E">
      <w:pPr>
        <w:spacing w:line="480" w:lineRule="auto"/>
        <w:jc w:val="both"/>
        <w:rPr>
          <w:b/>
          <w:lang w:val="en-GB"/>
        </w:rPr>
      </w:pPr>
      <w:r>
        <w:rPr>
          <w:b/>
          <w:lang w:val="en-GB"/>
        </w:rPr>
        <w:t>2.</w:t>
      </w:r>
      <w:r>
        <w:rPr>
          <w:b/>
          <w:lang w:val="en-GB"/>
        </w:rPr>
        <w:tab/>
      </w:r>
      <w:r w:rsidR="003F21EF">
        <w:rPr>
          <w:b/>
          <w:lang w:val="en-GB"/>
        </w:rPr>
        <w:t>Supplemental references</w:t>
      </w:r>
    </w:p>
    <w:p w:rsidR="00FF0EFD" w:rsidRDefault="00573D34" w:rsidP="00FF0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val="en-US"/>
        </w:rPr>
      </w:pPr>
      <w:r w:rsidRPr="00925C19">
        <w:rPr>
          <w:lang w:val="en-GB"/>
        </w:rPr>
        <w:fldChar w:fldCharType="begin"/>
      </w:r>
      <w:r w:rsidR="00BB156E" w:rsidRPr="00925C19">
        <w:rPr>
          <w:lang w:val="en-GB"/>
        </w:rPr>
        <w:instrText xml:space="preserve"> ADDIN PAPERS2_CITATIONS &lt;papers2_bibliography/&gt;</w:instrText>
      </w:r>
      <w:r w:rsidRPr="00925C19">
        <w:rPr>
          <w:lang w:val="en-GB"/>
        </w:rPr>
        <w:fldChar w:fldCharType="separate"/>
      </w:r>
      <w:r w:rsidR="00FF0EFD">
        <w:rPr>
          <w:rFonts w:ascii="Cambria" w:hAnsi="Cambria" w:cs="Cambria"/>
          <w:lang w:val="en-US"/>
        </w:rPr>
        <w:t xml:space="preserve">Hagey DW, Muhr J. 2014. </w:t>
      </w:r>
      <w:r w:rsidR="008604FD">
        <w:rPr>
          <w:rFonts w:ascii="Cambria" w:hAnsi="Cambria" w:cs="Cambria"/>
          <w:lang w:val="en-US"/>
        </w:rPr>
        <w:t>SOX</w:t>
      </w:r>
      <w:r w:rsidR="00ED5FE3">
        <w:rPr>
          <w:rFonts w:ascii="Cambria" w:hAnsi="Cambria" w:cs="Cambria"/>
          <w:lang w:val="en-US"/>
        </w:rPr>
        <w:t>2</w:t>
      </w:r>
      <w:r w:rsidR="00FF0EFD">
        <w:rPr>
          <w:rFonts w:ascii="Cambria" w:hAnsi="Cambria" w:cs="Cambria"/>
          <w:lang w:val="en-US"/>
        </w:rPr>
        <w:t xml:space="preserve"> Acts in a Dose-Dependent Fashion to Regulate Proliferation of Cortical Progenitors. </w:t>
      </w:r>
      <w:r w:rsidR="00FF0EFD">
        <w:rPr>
          <w:rFonts w:ascii="Cambria" w:hAnsi="Cambria" w:cs="Cambria"/>
          <w:i/>
          <w:iCs/>
          <w:lang w:val="en-US"/>
        </w:rPr>
        <w:t>Cell Rep</w:t>
      </w:r>
      <w:r w:rsidR="00FF0EFD">
        <w:rPr>
          <w:rFonts w:ascii="Cambria" w:hAnsi="Cambria" w:cs="Cambria"/>
          <w:lang w:val="en-US"/>
        </w:rPr>
        <w:t xml:space="preserve"> </w:t>
      </w:r>
      <w:r w:rsidR="00FF0EFD">
        <w:rPr>
          <w:rFonts w:ascii="Cambria" w:hAnsi="Cambria" w:cs="Cambria"/>
          <w:b/>
          <w:bCs/>
          <w:lang w:val="en-US"/>
        </w:rPr>
        <w:t>9</w:t>
      </w:r>
      <w:r w:rsidR="00FF0EFD">
        <w:rPr>
          <w:rFonts w:ascii="Cambria" w:hAnsi="Cambria" w:cs="Cambria"/>
          <w:lang w:val="en-US"/>
        </w:rPr>
        <w:t>: 1908–1920.</w:t>
      </w:r>
    </w:p>
    <w:p w:rsidR="00FF0EFD" w:rsidRDefault="00FF0EFD" w:rsidP="00FF0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val="en-US"/>
        </w:rPr>
      </w:pPr>
      <w:r>
        <w:rPr>
          <w:rFonts w:ascii="Cambria" w:hAnsi="Cambria" w:cs="Cambria"/>
          <w:lang w:val="en-US"/>
        </w:rPr>
        <w:t xml:space="preserve">Heinz S, Benner C, Spann N, Bertolino E, Lin YC, Laslo P, Cheng JX, Murre C, Singh H, Glass CK. 2010. Simple combinations of lineage-determining transcription factors prime cis-regulatory elements required for macrophage and B cell identities. </w:t>
      </w:r>
      <w:r>
        <w:rPr>
          <w:rFonts w:ascii="Cambria" w:hAnsi="Cambria" w:cs="Cambria"/>
          <w:i/>
          <w:iCs/>
          <w:lang w:val="en-US"/>
        </w:rPr>
        <w:t>Mol Cell</w:t>
      </w:r>
      <w:r>
        <w:rPr>
          <w:rFonts w:ascii="Cambria" w:hAnsi="Cambria" w:cs="Cambria"/>
          <w:lang w:val="en-US"/>
        </w:rPr>
        <w:t xml:space="preserve"> </w:t>
      </w:r>
      <w:r>
        <w:rPr>
          <w:rFonts w:ascii="Cambria" w:hAnsi="Cambria" w:cs="Cambria"/>
          <w:b/>
          <w:bCs/>
          <w:lang w:val="en-US"/>
        </w:rPr>
        <w:t>38</w:t>
      </w:r>
      <w:r>
        <w:rPr>
          <w:rFonts w:ascii="Cambria" w:hAnsi="Cambria" w:cs="Cambria"/>
          <w:lang w:val="en-US"/>
        </w:rPr>
        <w:t>: 576–589.</w:t>
      </w:r>
    </w:p>
    <w:p w:rsidR="00FF0EFD" w:rsidRDefault="00FF0EFD" w:rsidP="00FF0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val="en-US"/>
        </w:rPr>
      </w:pPr>
      <w:r>
        <w:rPr>
          <w:rFonts w:ascii="Cambria" w:hAnsi="Cambria" w:cs="Cambria"/>
          <w:lang w:val="en-US"/>
        </w:rPr>
        <w:t xml:space="preserve">Karolchik D, Hinrichs AS, Furey TS, Roskin KM, Sugnet CW, Haussler D, Kent WJ. 2004. The UCSC Table Browser data retrieval tool. </w:t>
      </w:r>
      <w:r>
        <w:rPr>
          <w:rFonts w:ascii="Cambria" w:hAnsi="Cambria" w:cs="Cambria"/>
          <w:i/>
          <w:iCs/>
          <w:lang w:val="en-US"/>
        </w:rPr>
        <w:t>Nucleic Acids Research</w:t>
      </w:r>
      <w:r>
        <w:rPr>
          <w:rFonts w:ascii="Cambria" w:hAnsi="Cambria" w:cs="Cambria"/>
          <w:lang w:val="en-US"/>
        </w:rPr>
        <w:t xml:space="preserve"> </w:t>
      </w:r>
      <w:r>
        <w:rPr>
          <w:rFonts w:ascii="Cambria" w:hAnsi="Cambria" w:cs="Cambria"/>
          <w:b/>
          <w:bCs/>
          <w:lang w:val="en-US"/>
        </w:rPr>
        <w:t>32</w:t>
      </w:r>
      <w:r>
        <w:rPr>
          <w:rFonts w:ascii="Cambria" w:hAnsi="Cambria" w:cs="Cambria"/>
          <w:lang w:val="en-US"/>
        </w:rPr>
        <w:t>: D493–6.</w:t>
      </w:r>
    </w:p>
    <w:p w:rsidR="00FF0EFD" w:rsidRDefault="00FF0EFD" w:rsidP="00FF0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rFonts w:ascii="Cambria" w:hAnsi="Cambria" w:cs="Cambria"/>
          <w:lang w:val="en-US"/>
        </w:rPr>
      </w:pPr>
      <w:r>
        <w:rPr>
          <w:rFonts w:ascii="Cambria" w:hAnsi="Cambria" w:cs="Cambria"/>
          <w:lang w:val="en-US"/>
        </w:rPr>
        <w:t xml:space="preserve">Piper J, Elze MC, Cauchy P, Cockerill PN, Bonifer C, Ott S. 2013. Wellington: a novel method for the accurate identification of digital genomic footprints from DNase-seq data. </w:t>
      </w:r>
      <w:r>
        <w:rPr>
          <w:rFonts w:ascii="Cambria" w:hAnsi="Cambria" w:cs="Cambria"/>
          <w:i/>
          <w:iCs/>
          <w:lang w:val="en-US"/>
        </w:rPr>
        <w:t>Nucleic Acids Research</w:t>
      </w:r>
      <w:r>
        <w:rPr>
          <w:rFonts w:ascii="Cambria" w:hAnsi="Cambria" w:cs="Cambria"/>
          <w:lang w:val="en-US"/>
        </w:rPr>
        <w:t xml:space="preserve"> </w:t>
      </w:r>
      <w:r>
        <w:rPr>
          <w:rFonts w:ascii="Cambria" w:hAnsi="Cambria" w:cs="Cambria"/>
          <w:b/>
          <w:bCs/>
          <w:lang w:val="en-US"/>
        </w:rPr>
        <w:t>41</w:t>
      </w:r>
      <w:r>
        <w:rPr>
          <w:rFonts w:ascii="Cambria" w:hAnsi="Cambria" w:cs="Cambria"/>
          <w:lang w:val="en-US"/>
        </w:rPr>
        <w:t>: e201–e201.</w:t>
      </w:r>
    </w:p>
    <w:p w:rsidR="004D707B" w:rsidRPr="00925C19" w:rsidRDefault="00573D34" w:rsidP="00FF0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400" w:hanging="400"/>
        <w:rPr>
          <w:lang w:val="en-GB"/>
        </w:rPr>
      </w:pPr>
      <w:r w:rsidRPr="00925C19">
        <w:rPr>
          <w:lang w:val="en-GB"/>
        </w:rPr>
        <w:fldChar w:fldCharType="end"/>
      </w:r>
    </w:p>
    <w:sectPr w:rsidR="004D707B" w:rsidRPr="00925C19" w:rsidSect="00E658F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Helvetica">
    <w:panose1 w:val="000000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C7B7E"/>
    <w:multiLevelType w:val="hybridMultilevel"/>
    <w:tmpl w:val="A7B8DFDA"/>
    <w:lvl w:ilvl="0" w:tplc="B82040FE">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
  <w:rsids>
    <w:rsidRoot w:val="00642758"/>
    <w:rsid w:val="00012766"/>
    <w:rsid w:val="00025E7B"/>
    <w:rsid w:val="000347EB"/>
    <w:rsid w:val="00034C8E"/>
    <w:rsid w:val="00046321"/>
    <w:rsid w:val="000560E6"/>
    <w:rsid w:val="0006073F"/>
    <w:rsid w:val="00072763"/>
    <w:rsid w:val="000873A9"/>
    <w:rsid w:val="000E1212"/>
    <w:rsid w:val="000E7D94"/>
    <w:rsid w:val="00114880"/>
    <w:rsid w:val="00122CE7"/>
    <w:rsid w:val="00144869"/>
    <w:rsid w:val="001456F1"/>
    <w:rsid w:val="001458C4"/>
    <w:rsid w:val="001577CD"/>
    <w:rsid w:val="00166F62"/>
    <w:rsid w:val="00167243"/>
    <w:rsid w:val="001849DF"/>
    <w:rsid w:val="00187600"/>
    <w:rsid w:val="0019327B"/>
    <w:rsid w:val="001B288C"/>
    <w:rsid w:val="001E5518"/>
    <w:rsid w:val="001F5545"/>
    <w:rsid w:val="0020007B"/>
    <w:rsid w:val="00200E5C"/>
    <w:rsid w:val="00201FC6"/>
    <w:rsid w:val="00214412"/>
    <w:rsid w:val="002707B6"/>
    <w:rsid w:val="00272E7A"/>
    <w:rsid w:val="00283B42"/>
    <w:rsid w:val="00290745"/>
    <w:rsid w:val="00297330"/>
    <w:rsid w:val="002A3D1C"/>
    <w:rsid w:val="002C1A32"/>
    <w:rsid w:val="00306ED1"/>
    <w:rsid w:val="003112AE"/>
    <w:rsid w:val="00314CB1"/>
    <w:rsid w:val="00337E87"/>
    <w:rsid w:val="00356C96"/>
    <w:rsid w:val="00357425"/>
    <w:rsid w:val="00392851"/>
    <w:rsid w:val="003D07E4"/>
    <w:rsid w:val="003E1C9F"/>
    <w:rsid w:val="003F0410"/>
    <w:rsid w:val="003F21EF"/>
    <w:rsid w:val="00457473"/>
    <w:rsid w:val="004625E2"/>
    <w:rsid w:val="00476D02"/>
    <w:rsid w:val="00486CDD"/>
    <w:rsid w:val="004957EF"/>
    <w:rsid w:val="004D1BBA"/>
    <w:rsid w:val="004D24C7"/>
    <w:rsid w:val="004D707B"/>
    <w:rsid w:val="004E4001"/>
    <w:rsid w:val="004E6532"/>
    <w:rsid w:val="004F1895"/>
    <w:rsid w:val="00562903"/>
    <w:rsid w:val="00573D34"/>
    <w:rsid w:val="00590F8B"/>
    <w:rsid w:val="005941D5"/>
    <w:rsid w:val="005A5711"/>
    <w:rsid w:val="005B0E31"/>
    <w:rsid w:val="005C2861"/>
    <w:rsid w:val="005C68F7"/>
    <w:rsid w:val="005E55C9"/>
    <w:rsid w:val="00606A3B"/>
    <w:rsid w:val="0062419D"/>
    <w:rsid w:val="0064048C"/>
    <w:rsid w:val="00642758"/>
    <w:rsid w:val="006558DB"/>
    <w:rsid w:val="00677C94"/>
    <w:rsid w:val="006A6F60"/>
    <w:rsid w:val="006B7484"/>
    <w:rsid w:val="006C089C"/>
    <w:rsid w:val="006E234F"/>
    <w:rsid w:val="006E2432"/>
    <w:rsid w:val="006F63D0"/>
    <w:rsid w:val="007304AB"/>
    <w:rsid w:val="00733989"/>
    <w:rsid w:val="00761A87"/>
    <w:rsid w:val="007A6E3A"/>
    <w:rsid w:val="007B11B5"/>
    <w:rsid w:val="007E4470"/>
    <w:rsid w:val="007E6E8A"/>
    <w:rsid w:val="008008FB"/>
    <w:rsid w:val="00822716"/>
    <w:rsid w:val="00834F63"/>
    <w:rsid w:val="00850864"/>
    <w:rsid w:val="0086001E"/>
    <w:rsid w:val="008604FD"/>
    <w:rsid w:val="008715CB"/>
    <w:rsid w:val="00895B6E"/>
    <w:rsid w:val="0089778E"/>
    <w:rsid w:val="008B3A2B"/>
    <w:rsid w:val="008D5A8C"/>
    <w:rsid w:val="008E476F"/>
    <w:rsid w:val="008E61B8"/>
    <w:rsid w:val="008F3109"/>
    <w:rsid w:val="00923CCF"/>
    <w:rsid w:val="00925C19"/>
    <w:rsid w:val="0093638B"/>
    <w:rsid w:val="009421B7"/>
    <w:rsid w:val="0096023C"/>
    <w:rsid w:val="00996CE6"/>
    <w:rsid w:val="009A2BC7"/>
    <w:rsid w:val="009C086D"/>
    <w:rsid w:val="009F12F3"/>
    <w:rsid w:val="00A004A5"/>
    <w:rsid w:val="00A90851"/>
    <w:rsid w:val="00A90CDC"/>
    <w:rsid w:val="00AA295F"/>
    <w:rsid w:val="00AA7750"/>
    <w:rsid w:val="00AC0033"/>
    <w:rsid w:val="00B06B74"/>
    <w:rsid w:val="00B16AD6"/>
    <w:rsid w:val="00B24606"/>
    <w:rsid w:val="00B51CE9"/>
    <w:rsid w:val="00B52476"/>
    <w:rsid w:val="00B55437"/>
    <w:rsid w:val="00B6529C"/>
    <w:rsid w:val="00B85FF8"/>
    <w:rsid w:val="00BB156E"/>
    <w:rsid w:val="00BE6924"/>
    <w:rsid w:val="00BE768A"/>
    <w:rsid w:val="00BF74F3"/>
    <w:rsid w:val="00C07051"/>
    <w:rsid w:val="00C12805"/>
    <w:rsid w:val="00C36082"/>
    <w:rsid w:val="00C50194"/>
    <w:rsid w:val="00C60917"/>
    <w:rsid w:val="00C8410F"/>
    <w:rsid w:val="00C91256"/>
    <w:rsid w:val="00CA5568"/>
    <w:rsid w:val="00CA6F39"/>
    <w:rsid w:val="00CB0FCA"/>
    <w:rsid w:val="00CC31A6"/>
    <w:rsid w:val="00D20880"/>
    <w:rsid w:val="00D4156F"/>
    <w:rsid w:val="00D80DBE"/>
    <w:rsid w:val="00D80EFE"/>
    <w:rsid w:val="00DC5283"/>
    <w:rsid w:val="00DD2D15"/>
    <w:rsid w:val="00DE7E0A"/>
    <w:rsid w:val="00E05202"/>
    <w:rsid w:val="00E4288D"/>
    <w:rsid w:val="00E56F4C"/>
    <w:rsid w:val="00E656B8"/>
    <w:rsid w:val="00E658FB"/>
    <w:rsid w:val="00E65DEA"/>
    <w:rsid w:val="00E67769"/>
    <w:rsid w:val="00E80BA1"/>
    <w:rsid w:val="00E8443D"/>
    <w:rsid w:val="00E846F4"/>
    <w:rsid w:val="00EA584E"/>
    <w:rsid w:val="00EA7CA0"/>
    <w:rsid w:val="00ED5FE3"/>
    <w:rsid w:val="00EF57DF"/>
    <w:rsid w:val="00F00EA3"/>
    <w:rsid w:val="00F02908"/>
    <w:rsid w:val="00F14C37"/>
    <w:rsid w:val="00F23CDA"/>
    <w:rsid w:val="00F41ADA"/>
    <w:rsid w:val="00F66263"/>
    <w:rsid w:val="00F7261C"/>
    <w:rsid w:val="00F94E45"/>
    <w:rsid w:val="00FB0CBD"/>
    <w:rsid w:val="00FB317D"/>
    <w:rsid w:val="00FB3E76"/>
    <w:rsid w:val="00FF0EFD"/>
  </w:rsids>
  <m:mathPr>
    <m:mathFont m:val="Iskoola Pota"/>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9F"/>
    <w:rPr>
      <w:lang w:val="sv-SE"/>
    </w:rPr>
  </w:style>
  <w:style w:type="paragraph" w:styleId="Heading1">
    <w:name w:val="heading 1"/>
    <w:basedOn w:val="Normal"/>
    <w:link w:val="Heading1Char"/>
    <w:uiPriority w:val="9"/>
    <w:qFormat/>
    <w:rsid w:val="000E7D9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6E2432"/>
  </w:style>
  <w:style w:type="character" w:styleId="Hyperlink">
    <w:name w:val="Hyperlink"/>
    <w:basedOn w:val="DefaultParagraphFont"/>
    <w:uiPriority w:val="99"/>
    <w:unhideWhenUsed/>
    <w:rsid w:val="006E2432"/>
    <w:rPr>
      <w:color w:val="0000FF"/>
      <w:u w:val="single"/>
    </w:rPr>
  </w:style>
  <w:style w:type="character" w:customStyle="1" w:styleId="slug-pub-date">
    <w:name w:val="slug-pub-date"/>
    <w:basedOn w:val="DefaultParagraphFont"/>
    <w:rsid w:val="00822716"/>
  </w:style>
  <w:style w:type="character" w:customStyle="1" w:styleId="slug-vol">
    <w:name w:val="slug-vol"/>
    <w:basedOn w:val="DefaultParagraphFont"/>
    <w:rsid w:val="00822716"/>
  </w:style>
  <w:style w:type="character" w:customStyle="1" w:styleId="slug-issue">
    <w:name w:val="slug-issue"/>
    <w:basedOn w:val="DefaultParagraphFont"/>
    <w:rsid w:val="00822716"/>
  </w:style>
  <w:style w:type="character" w:customStyle="1" w:styleId="slug-pages">
    <w:name w:val="slug-pages"/>
    <w:basedOn w:val="DefaultParagraphFont"/>
    <w:rsid w:val="00822716"/>
  </w:style>
  <w:style w:type="character" w:customStyle="1" w:styleId="Heading1Char">
    <w:name w:val="Heading 1 Char"/>
    <w:basedOn w:val="DefaultParagraphFont"/>
    <w:link w:val="Heading1"/>
    <w:uiPriority w:val="9"/>
    <w:rsid w:val="000E7D94"/>
    <w:rPr>
      <w:rFonts w:ascii="Times" w:hAnsi="Times"/>
      <w:b/>
      <w:bCs/>
      <w:kern w:val="36"/>
      <w:sz w:val="48"/>
      <w:szCs w:val="48"/>
      <w:lang w:val="sv-SE"/>
    </w:rPr>
  </w:style>
  <w:style w:type="paragraph" w:styleId="ListParagraph">
    <w:name w:val="List Paragraph"/>
    <w:basedOn w:val="Normal"/>
    <w:uiPriority w:val="34"/>
    <w:qFormat/>
    <w:rsid w:val="004957EF"/>
    <w:pPr>
      <w:ind w:left="720"/>
      <w:contextualSpacing/>
    </w:pPr>
  </w:style>
  <w:style w:type="paragraph" w:styleId="BalloonText">
    <w:name w:val="Balloon Text"/>
    <w:basedOn w:val="Normal"/>
    <w:link w:val="BalloonTextChar"/>
    <w:uiPriority w:val="99"/>
    <w:semiHidden/>
    <w:unhideWhenUsed/>
    <w:rsid w:val="00337E87"/>
    <w:rPr>
      <w:rFonts w:ascii="Tahoma" w:hAnsi="Tahoma" w:cs="Tahoma"/>
      <w:sz w:val="16"/>
      <w:szCs w:val="16"/>
    </w:rPr>
  </w:style>
  <w:style w:type="character" w:customStyle="1" w:styleId="BalloonTextChar">
    <w:name w:val="Balloon Text Char"/>
    <w:basedOn w:val="DefaultParagraphFont"/>
    <w:link w:val="BalloonText"/>
    <w:uiPriority w:val="99"/>
    <w:semiHidden/>
    <w:rsid w:val="00337E87"/>
    <w:rPr>
      <w:rFonts w:ascii="Tahoma" w:hAnsi="Tahoma" w:cs="Tahoma"/>
      <w:sz w:val="16"/>
      <w:szCs w:val="16"/>
      <w:lang w:val="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v-SE"/>
    </w:rPr>
  </w:style>
  <w:style w:type="paragraph" w:styleId="Heading1">
    <w:name w:val="heading 1"/>
    <w:basedOn w:val="Normal"/>
    <w:link w:val="Heading1Char"/>
    <w:uiPriority w:val="9"/>
    <w:qFormat/>
    <w:rsid w:val="000E7D9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2432"/>
  </w:style>
  <w:style w:type="character" w:styleId="Hyperlink">
    <w:name w:val="Hyperlink"/>
    <w:basedOn w:val="DefaultParagraphFont"/>
    <w:uiPriority w:val="99"/>
    <w:unhideWhenUsed/>
    <w:rsid w:val="006E2432"/>
    <w:rPr>
      <w:color w:val="0000FF"/>
      <w:u w:val="single"/>
    </w:rPr>
  </w:style>
  <w:style w:type="character" w:customStyle="1" w:styleId="slug-pub-date">
    <w:name w:val="slug-pub-date"/>
    <w:basedOn w:val="DefaultParagraphFont"/>
    <w:rsid w:val="00822716"/>
  </w:style>
  <w:style w:type="character" w:customStyle="1" w:styleId="slug-vol">
    <w:name w:val="slug-vol"/>
    <w:basedOn w:val="DefaultParagraphFont"/>
    <w:rsid w:val="00822716"/>
  </w:style>
  <w:style w:type="character" w:customStyle="1" w:styleId="slug-issue">
    <w:name w:val="slug-issue"/>
    <w:basedOn w:val="DefaultParagraphFont"/>
    <w:rsid w:val="00822716"/>
  </w:style>
  <w:style w:type="character" w:customStyle="1" w:styleId="slug-pages">
    <w:name w:val="slug-pages"/>
    <w:basedOn w:val="DefaultParagraphFont"/>
    <w:rsid w:val="00822716"/>
  </w:style>
  <w:style w:type="character" w:customStyle="1" w:styleId="Heading1Char">
    <w:name w:val="Heading 1 Char"/>
    <w:basedOn w:val="DefaultParagraphFont"/>
    <w:link w:val="Heading1"/>
    <w:uiPriority w:val="9"/>
    <w:rsid w:val="000E7D94"/>
    <w:rPr>
      <w:rFonts w:ascii="Times" w:hAnsi="Times"/>
      <w:b/>
      <w:bCs/>
      <w:kern w:val="36"/>
      <w:sz w:val="48"/>
      <w:szCs w:val="48"/>
      <w:lang w:val="sv-SE"/>
    </w:rPr>
  </w:style>
  <w:style w:type="paragraph" w:styleId="ListParagraph">
    <w:name w:val="List Paragraph"/>
    <w:basedOn w:val="Normal"/>
    <w:uiPriority w:val="34"/>
    <w:qFormat/>
    <w:rsid w:val="004957EF"/>
    <w:pPr>
      <w:ind w:left="720"/>
      <w:contextualSpacing/>
    </w:pPr>
  </w:style>
</w:styles>
</file>

<file path=word/webSettings.xml><?xml version="1.0" encoding="utf-8"?>
<w:webSettings xmlns:r="http://schemas.openxmlformats.org/officeDocument/2006/relationships" xmlns:w="http://schemas.openxmlformats.org/wordprocessingml/2006/main">
  <w:divs>
    <w:div w:id="75979443">
      <w:bodyDiv w:val="1"/>
      <w:marLeft w:val="0"/>
      <w:marRight w:val="0"/>
      <w:marTop w:val="0"/>
      <w:marBottom w:val="0"/>
      <w:divBdr>
        <w:top w:val="none" w:sz="0" w:space="0" w:color="auto"/>
        <w:left w:val="none" w:sz="0" w:space="0" w:color="auto"/>
        <w:bottom w:val="none" w:sz="0" w:space="0" w:color="auto"/>
        <w:right w:val="none" w:sz="0" w:space="0" w:color="auto"/>
      </w:divBdr>
    </w:div>
    <w:div w:id="308901912">
      <w:bodyDiv w:val="1"/>
      <w:marLeft w:val="0"/>
      <w:marRight w:val="0"/>
      <w:marTop w:val="0"/>
      <w:marBottom w:val="0"/>
      <w:divBdr>
        <w:top w:val="none" w:sz="0" w:space="0" w:color="auto"/>
        <w:left w:val="none" w:sz="0" w:space="0" w:color="auto"/>
        <w:bottom w:val="none" w:sz="0" w:space="0" w:color="auto"/>
        <w:right w:val="none" w:sz="0" w:space="0" w:color="auto"/>
      </w:divBdr>
    </w:div>
    <w:div w:id="672681272">
      <w:bodyDiv w:val="1"/>
      <w:marLeft w:val="0"/>
      <w:marRight w:val="0"/>
      <w:marTop w:val="0"/>
      <w:marBottom w:val="0"/>
      <w:divBdr>
        <w:top w:val="none" w:sz="0" w:space="0" w:color="auto"/>
        <w:left w:val="none" w:sz="0" w:space="0" w:color="auto"/>
        <w:bottom w:val="none" w:sz="0" w:space="0" w:color="auto"/>
        <w:right w:val="none" w:sz="0" w:space="0" w:color="auto"/>
      </w:divBdr>
    </w:div>
    <w:div w:id="824051089">
      <w:bodyDiv w:val="1"/>
      <w:marLeft w:val="0"/>
      <w:marRight w:val="0"/>
      <w:marTop w:val="0"/>
      <w:marBottom w:val="0"/>
      <w:divBdr>
        <w:top w:val="none" w:sz="0" w:space="0" w:color="auto"/>
        <w:left w:val="none" w:sz="0" w:space="0" w:color="auto"/>
        <w:bottom w:val="none" w:sz="0" w:space="0" w:color="auto"/>
        <w:right w:val="none" w:sz="0" w:space="0" w:color="auto"/>
      </w:divBdr>
    </w:div>
    <w:div w:id="1329362376">
      <w:bodyDiv w:val="1"/>
      <w:marLeft w:val="0"/>
      <w:marRight w:val="0"/>
      <w:marTop w:val="0"/>
      <w:marBottom w:val="0"/>
      <w:divBdr>
        <w:top w:val="none" w:sz="0" w:space="0" w:color="auto"/>
        <w:left w:val="none" w:sz="0" w:space="0" w:color="auto"/>
        <w:bottom w:val="none" w:sz="0" w:space="0" w:color="auto"/>
        <w:right w:val="none" w:sz="0" w:space="0" w:color="auto"/>
      </w:divBdr>
    </w:div>
    <w:div w:id="1433167576">
      <w:bodyDiv w:val="1"/>
      <w:marLeft w:val="0"/>
      <w:marRight w:val="0"/>
      <w:marTop w:val="0"/>
      <w:marBottom w:val="0"/>
      <w:divBdr>
        <w:top w:val="none" w:sz="0" w:space="0" w:color="auto"/>
        <w:left w:val="none" w:sz="0" w:space="0" w:color="auto"/>
        <w:bottom w:val="none" w:sz="0" w:space="0" w:color="auto"/>
        <w:right w:val="none" w:sz="0" w:space="0" w:color="auto"/>
      </w:divBdr>
    </w:div>
    <w:div w:id="1523124745">
      <w:bodyDiv w:val="1"/>
      <w:marLeft w:val="0"/>
      <w:marRight w:val="0"/>
      <w:marTop w:val="0"/>
      <w:marBottom w:val="0"/>
      <w:divBdr>
        <w:top w:val="none" w:sz="0" w:space="0" w:color="auto"/>
        <w:left w:val="none" w:sz="0" w:space="0" w:color="auto"/>
        <w:bottom w:val="none" w:sz="0" w:space="0" w:color="auto"/>
        <w:right w:val="none" w:sz="0" w:space="0" w:color="auto"/>
      </w:divBdr>
      <w:divsChild>
        <w:div w:id="1695576571">
          <w:marLeft w:val="0"/>
          <w:marRight w:val="0"/>
          <w:marTop w:val="0"/>
          <w:marBottom w:val="150"/>
          <w:divBdr>
            <w:top w:val="none" w:sz="0" w:space="0" w:color="auto"/>
            <w:left w:val="none" w:sz="0" w:space="0" w:color="auto"/>
            <w:bottom w:val="none" w:sz="0" w:space="0" w:color="auto"/>
            <w:right w:val="none" w:sz="0" w:space="0" w:color="auto"/>
          </w:divBdr>
        </w:div>
      </w:divsChild>
    </w:div>
    <w:div w:id="1561747182">
      <w:bodyDiv w:val="1"/>
      <w:marLeft w:val="0"/>
      <w:marRight w:val="0"/>
      <w:marTop w:val="0"/>
      <w:marBottom w:val="0"/>
      <w:divBdr>
        <w:top w:val="none" w:sz="0" w:space="0" w:color="auto"/>
        <w:left w:val="none" w:sz="0" w:space="0" w:color="auto"/>
        <w:bottom w:val="none" w:sz="0" w:space="0" w:color="auto"/>
        <w:right w:val="none" w:sz="0" w:space="0" w:color="auto"/>
      </w:divBdr>
    </w:div>
    <w:div w:id="1734279917">
      <w:bodyDiv w:val="1"/>
      <w:marLeft w:val="0"/>
      <w:marRight w:val="0"/>
      <w:marTop w:val="0"/>
      <w:marBottom w:val="0"/>
      <w:divBdr>
        <w:top w:val="none" w:sz="0" w:space="0" w:color="auto"/>
        <w:left w:val="none" w:sz="0" w:space="0" w:color="auto"/>
        <w:bottom w:val="none" w:sz="0" w:space="0" w:color="auto"/>
        <w:right w:val="none" w:sz="0" w:space="0" w:color="auto"/>
      </w:divBdr>
    </w:div>
    <w:div w:id="1760905206">
      <w:bodyDiv w:val="1"/>
      <w:marLeft w:val="0"/>
      <w:marRight w:val="0"/>
      <w:marTop w:val="0"/>
      <w:marBottom w:val="0"/>
      <w:divBdr>
        <w:top w:val="none" w:sz="0" w:space="0" w:color="auto"/>
        <w:left w:val="none" w:sz="0" w:space="0" w:color="auto"/>
        <w:bottom w:val="none" w:sz="0" w:space="0" w:color="auto"/>
        <w:right w:val="none" w:sz="0" w:space="0" w:color="auto"/>
      </w:divBdr>
    </w:div>
    <w:div w:id="2075541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2263</Words>
  <Characters>12904</Characters>
  <Application>Microsoft Macintosh Word</Application>
  <DocSecurity>0</DocSecurity>
  <Lines>107</Lines>
  <Paragraphs>25</Paragraphs>
  <ScaleCrop>false</ScaleCrop>
  <Company>SciLifeLab Stockholm</Company>
  <LinksUpToDate>false</LinksUpToDate>
  <CharactersWithSpaces>15847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Huss</dc:creator>
  <cp:keywords/>
  <dc:description/>
  <cp:lastModifiedBy>Jonas Muhr</cp:lastModifiedBy>
  <cp:revision>34</cp:revision>
  <cp:lastPrinted>2015-11-17T12:43:00Z</cp:lastPrinted>
  <dcterms:created xsi:type="dcterms:W3CDTF">2016-03-15T12:00:00Z</dcterms:created>
  <dcterms:modified xsi:type="dcterms:W3CDTF">2016-04-20T07:37:00Z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id="http://www.zotero.org/styles/genome-research"/&gt;&lt;hasBiblio/&gt;&lt;format class="21"/&gt;&lt;count citations="5" publications="4"/&gt;&lt;/info&gt;PAPERS2_INFO_END</vt:lpwstr>
  </property>
</Properties>
</file>