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D23" w:rsidRPr="004A0D23" w:rsidRDefault="004A0D23" w:rsidP="004A0D23">
      <w:pPr>
        <w:spacing w:after="0" w:line="240" w:lineRule="auto"/>
        <w:jc w:val="center"/>
        <w:rPr>
          <w:rFonts w:ascii="Arial" w:eastAsia="Times New Roman" w:hAnsi="Arial" w:cs="Arial"/>
          <w:b/>
          <w:bCs/>
          <w:color w:val="000000"/>
          <w:sz w:val="28"/>
          <w:szCs w:val="28"/>
        </w:rPr>
      </w:pPr>
      <w:r w:rsidRPr="004A0D23">
        <w:rPr>
          <w:rFonts w:ascii="Arial" w:eastAsia="Times New Roman" w:hAnsi="Arial" w:cs="Arial"/>
          <w:b/>
          <w:bCs/>
          <w:color w:val="000000"/>
          <w:sz w:val="28"/>
          <w:szCs w:val="28"/>
        </w:rPr>
        <w:t>Supplemental Material for</w:t>
      </w:r>
    </w:p>
    <w:p w:rsidR="004A0D23" w:rsidRPr="004A0D23" w:rsidRDefault="004A0D23" w:rsidP="004A0D23">
      <w:pPr>
        <w:spacing w:after="0" w:line="240" w:lineRule="auto"/>
        <w:jc w:val="center"/>
        <w:rPr>
          <w:rFonts w:ascii="Arial" w:eastAsia="Times New Roman" w:hAnsi="Arial" w:cs="Arial"/>
          <w:b/>
          <w:bCs/>
          <w:color w:val="000000"/>
          <w:sz w:val="28"/>
          <w:szCs w:val="28"/>
        </w:rPr>
      </w:pPr>
    </w:p>
    <w:p w:rsidR="004A0D23" w:rsidRPr="004A0D23" w:rsidRDefault="004A0D23" w:rsidP="004A0D23">
      <w:pPr>
        <w:spacing w:after="0" w:line="240" w:lineRule="auto"/>
        <w:jc w:val="center"/>
        <w:rPr>
          <w:rFonts w:ascii="Arial" w:eastAsia="Times New Roman" w:hAnsi="Arial" w:cs="Arial"/>
          <w:sz w:val="28"/>
          <w:szCs w:val="28"/>
        </w:rPr>
      </w:pPr>
      <w:r w:rsidRPr="004A0D23">
        <w:rPr>
          <w:rFonts w:ascii="Arial" w:eastAsia="Times New Roman" w:hAnsi="Arial" w:cs="Arial"/>
          <w:b/>
          <w:bCs/>
          <w:color w:val="000000"/>
          <w:sz w:val="28"/>
          <w:szCs w:val="28"/>
        </w:rPr>
        <w:t xml:space="preserve">Chromosome-scale shotgun assembly using an </w:t>
      </w:r>
      <w:r w:rsidRPr="004A0D23">
        <w:rPr>
          <w:rFonts w:ascii="Arial" w:eastAsia="Times New Roman" w:hAnsi="Arial" w:cs="Arial"/>
          <w:b/>
          <w:bCs/>
          <w:i/>
          <w:iCs/>
          <w:color w:val="000000"/>
          <w:sz w:val="28"/>
          <w:szCs w:val="28"/>
        </w:rPr>
        <w:t>in vitro</w:t>
      </w:r>
      <w:r w:rsidRPr="004A0D23">
        <w:rPr>
          <w:rFonts w:ascii="Arial" w:eastAsia="Times New Roman" w:hAnsi="Arial" w:cs="Arial"/>
          <w:b/>
          <w:bCs/>
          <w:color w:val="000000"/>
          <w:sz w:val="28"/>
          <w:szCs w:val="28"/>
        </w:rPr>
        <w:t xml:space="preserve"> method for long-range linkage</w:t>
      </w:r>
    </w:p>
    <w:p w:rsidR="004A0D23" w:rsidRPr="004A0D23" w:rsidRDefault="004A0D23" w:rsidP="004A0D23">
      <w:pPr>
        <w:spacing w:after="0" w:line="240" w:lineRule="auto"/>
        <w:rPr>
          <w:rFonts w:ascii="Arial" w:eastAsia="Times New Roman" w:hAnsi="Arial" w:cs="Arial"/>
          <w:sz w:val="24"/>
          <w:szCs w:val="24"/>
        </w:rPr>
      </w:pPr>
    </w:p>
    <w:p w:rsidR="004A0D23" w:rsidRPr="004A0D23" w:rsidRDefault="004A0D23" w:rsidP="004A0D23">
      <w:pPr>
        <w:spacing w:after="0" w:line="240" w:lineRule="auto"/>
        <w:rPr>
          <w:rFonts w:ascii="Arial" w:eastAsia="Times New Roman" w:hAnsi="Arial" w:cs="Arial"/>
          <w:sz w:val="24"/>
          <w:szCs w:val="24"/>
        </w:rPr>
      </w:pPr>
    </w:p>
    <w:p w:rsidR="004A0D23" w:rsidRPr="004A0D23" w:rsidRDefault="004A0D23" w:rsidP="004A0D23">
      <w:pPr>
        <w:spacing w:after="0" w:line="240" w:lineRule="auto"/>
        <w:jc w:val="both"/>
        <w:rPr>
          <w:rFonts w:ascii="Arial" w:eastAsia="Times New Roman" w:hAnsi="Arial" w:cs="Arial"/>
          <w:sz w:val="24"/>
          <w:szCs w:val="24"/>
        </w:rPr>
      </w:pPr>
      <w:r w:rsidRPr="004A0D23">
        <w:rPr>
          <w:rFonts w:ascii="Arial" w:eastAsia="Times New Roman" w:hAnsi="Arial" w:cs="Arial"/>
          <w:color w:val="000000"/>
          <w:sz w:val="24"/>
          <w:szCs w:val="24"/>
        </w:rPr>
        <w:t>Nicholas H. Putnam</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Brendan L. O’Connell</w:t>
      </w:r>
      <w:r w:rsidRPr="004A0D23">
        <w:rPr>
          <w:rFonts w:ascii="Arial" w:eastAsia="Times New Roman" w:hAnsi="Arial" w:cs="Arial"/>
          <w:color w:val="000000"/>
          <w:sz w:val="24"/>
          <w:szCs w:val="24"/>
          <w:vertAlign w:val="superscript"/>
        </w:rPr>
        <w:t>*1,2</w:t>
      </w:r>
      <w:r w:rsidRPr="004A0D23">
        <w:rPr>
          <w:rFonts w:ascii="Arial" w:eastAsia="Times New Roman" w:hAnsi="Arial" w:cs="Arial"/>
          <w:color w:val="000000"/>
          <w:sz w:val="24"/>
          <w:szCs w:val="24"/>
        </w:rPr>
        <w:t>, Jonathan C. Stites</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Brandon J. Rice</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Marco Blanchette</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Robert Calef</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Christopher J. Troll</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Andrew Fields</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Paul D. Hartley</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Charles W. Sugnet</w:t>
      </w: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David Haussler</w:t>
      </w:r>
      <w:r w:rsidRPr="004A0D23">
        <w:rPr>
          <w:rFonts w:ascii="Arial" w:eastAsia="Times New Roman" w:hAnsi="Arial" w:cs="Arial"/>
          <w:color w:val="000000"/>
          <w:sz w:val="24"/>
          <w:szCs w:val="24"/>
          <w:vertAlign w:val="superscript"/>
        </w:rPr>
        <w:t>2,3</w:t>
      </w:r>
      <w:r w:rsidRPr="004A0D23">
        <w:rPr>
          <w:rFonts w:ascii="Arial" w:eastAsia="Times New Roman" w:hAnsi="Arial" w:cs="Arial"/>
          <w:color w:val="000000"/>
          <w:sz w:val="24"/>
          <w:szCs w:val="24"/>
        </w:rPr>
        <w:t>, Daniel S. Rokhsar</w:t>
      </w:r>
      <w:r w:rsidRPr="004A0D23">
        <w:rPr>
          <w:rFonts w:ascii="Arial" w:eastAsia="Times New Roman" w:hAnsi="Arial" w:cs="Arial"/>
          <w:color w:val="000000"/>
          <w:sz w:val="24"/>
          <w:szCs w:val="24"/>
          <w:vertAlign w:val="superscript"/>
        </w:rPr>
        <w:t>4</w:t>
      </w:r>
      <w:r w:rsidRPr="004A0D23">
        <w:rPr>
          <w:rFonts w:ascii="Arial" w:eastAsia="Times New Roman" w:hAnsi="Arial" w:cs="Arial"/>
          <w:color w:val="000000"/>
          <w:sz w:val="24"/>
          <w:szCs w:val="24"/>
        </w:rPr>
        <w:t>, and Richard E. Green</w:t>
      </w:r>
      <w:r w:rsidRPr="004A0D23">
        <w:rPr>
          <w:rFonts w:ascii="Arial" w:eastAsia="Times New Roman" w:hAnsi="Arial" w:cs="Arial"/>
          <w:color w:val="000000"/>
          <w:sz w:val="24"/>
          <w:szCs w:val="24"/>
          <w:vertAlign w:val="superscript"/>
        </w:rPr>
        <w:t>1,2</w:t>
      </w:r>
    </w:p>
    <w:p w:rsidR="004A0D23" w:rsidRPr="004A0D23" w:rsidRDefault="004A0D23" w:rsidP="004A0D23">
      <w:pPr>
        <w:spacing w:after="0" w:line="240" w:lineRule="auto"/>
        <w:rPr>
          <w:rFonts w:ascii="Arial" w:eastAsia="Times New Roman" w:hAnsi="Arial" w:cs="Arial"/>
          <w:sz w:val="24"/>
          <w:szCs w:val="24"/>
        </w:rPr>
      </w:pPr>
    </w:p>
    <w:p w:rsidR="004A0D23" w:rsidRPr="004A0D23" w:rsidRDefault="004A0D23" w:rsidP="004A0D23">
      <w:pPr>
        <w:spacing w:after="0" w:line="240" w:lineRule="auto"/>
        <w:rPr>
          <w:rFonts w:ascii="Arial" w:eastAsia="Times New Roman" w:hAnsi="Arial" w:cs="Arial"/>
          <w:sz w:val="24"/>
          <w:szCs w:val="24"/>
        </w:rPr>
      </w:pPr>
    </w:p>
    <w:p w:rsidR="004A0D23" w:rsidRPr="004A0D23" w:rsidRDefault="004A0D23" w:rsidP="004A0D23">
      <w:pPr>
        <w:spacing w:after="0" w:line="240" w:lineRule="auto"/>
        <w:rPr>
          <w:rFonts w:ascii="Arial" w:eastAsia="Times New Roman" w:hAnsi="Arial" w:cs="Arial"/>
          <w:sz w:val="24"/>
          <w:szCs w:val="24"/>
        </w:rPr>
      </w:pPr>
    </w:p>
    <w:p w:rsidR="004A0D23" w:rsidRPr="004A0D23" w:rsidRDefault="004A0D23" w:rsidP="004A0D23">
      <w:pPr>
        <w:spacing w:after="0" w:line="240" w:lineRule="auto"/>
        <w:rPr>
          <w:rFonts w:ascii="Arial" w:eastAsia="Times New Roman" w:hAnsi="Arial" w:cs="Arial"/>
          <w:color w:val="000000"/>
          <w:sz w:val="24"/>
          <w:szCs w:val="24"/>
        </w:rPr>
      </w:pPr>
      <w:r w:rsidRPr="004A0D23">
        <w:rPr>
          <w:rFonts w:ascii="Arial" w:eastAsia="Times New Roman" w:hAnsi="Arial" w:cs="Arial"/>
          <w:color w:val="000000"/>
          <w:sz w:val="24"/>
          <w:szCs w:val="24"/>
          <w:vertAlign w:val="superscript"/>
        </w:rPr>
        <w:t>1</w:t>
      </w:r>
      <w:r w:rsidRPr="004A0D23">
        <w:rPr>
          <w:rFonts w:ascii="Arial" w:eastAsia="Times New Roman" w:hAnsi="Arial" w:cs="Arial"/>
          <w:color w:val="000000"/>
          <w:sz w:val="24"/>
          <w:szCs w:val="24"/>
        </w:rPr>
        <w:t xml:space="preserve">Dovetail Genomics, LLC 2161 Delaware Ave., Suite A2, Santa Cruz CA 95060 </w:t>
      </w:r>
      <w:r w:rsidRPr="004A0D23">
        <w:rPr>
          <w:rFonts w:ascii="Arial" w:eastAsia="Times New Roman" w:hAnsi="Arial" w:cs="Arial"/>
          <w:color w:val="000000"/>
          <w:sz w:val="24"/>
          <w:szCs w:val="24"/>
          <w:vertAlign w:val="superscript"/>
        </w:rPr>
        <w:t>2</w:t>
      </w:r>
      <w:r w:rsidRPr="004A0D23">
        <w:rPr>
          <w:rFonts w:ascii="Arial" w:eastAsia="Times New Roman" w:hAnsi="Arial" w:cs="Arial"/>
          <w:color w:val="000000"/>
          <w:sz w:val="24"/>
          <w:szCs w:val="24"/>
        </w:rPr>
        <w:t>Department of Biomolecular Engineering, University of California, Santa Cruz CA</w:t>
      </w:r>
    </w:p>
    <w:p w:rsidR="004A0D23" w:rsidRPr="004A0D23" w:rsidRDefault="004A0D23" w:rsidP="004A0D23">
      <w:pPr>
        <w:spacing w:after="0" w:line="240" w:lineRule="auto"/>
        <w:rPr>
          <w:rFonts w:ascii="Arial" w:eastAsia="Times New Roman" w:hAnsi="Arial" w:cs="Arial"/>
          <w:color w:val="000000"/>
          <w:sz w:val="24"/>
          <w:szCs w:val="24"/>
        </w:rPr>
      </w:pPr>
      <w:r w:rsidRPr="004A0D23">
        <w:rPr>
          <w:rFonts w:ascii="Arial" w:eastAsia="Times New Roman" w:hAnsi="Arial" w:cs="Arial"/>
          <w:color w:val="000000"/>
          <w:sz w:val="24"/>
          <w:szCs w:val="24"/>
          <w:vertAlign w:val="superscript"/>
        </w:rPr>
        <w:t>3</w:t>
      </w:r>
      <w:r w:rsidRPr="004A0D23">
        <w:rPr>
          <w:rFonts w:ascii="Arial" w:eastAsia="Times New Roman" w:hAnsi="Arial" w:cs="Arial"/>
          <w:color w:val="000000"/>
          <w:sz w:val="24"/>
          <w:szCs w:val="24"/>
        </w:rPr>
        <w:t>UC Santa Cruz Genomics Institute and Howard Hughes Medical Institute, University of California, Santa Cruz</w:t>
      </w:r>
    </w:p>
    <w:p w:rsidR="004A0D23" w:rsidRPr="004A0D23" w:rsidRDefault="004A0D23" w:rsidP="004A0D23">
      <w:pPr>
        <w:spacing w:after="0" w:line="240" w:lineRule="auto"/>
        <w:rPr>
          <w:rFonts w:ascii="Arial" w:eastAsia="Times New Roman" w:hAnsi="Arial" w:cs="Arial"/>
          <w:color w:val="000000"/>
          <w:sz w:val="24"/>
          <w:szCs w:val="24"/>
        </w:rPr>
      </w:pPr>
      <w:r w:rsidRPr="004A0D23">
        <w:rPr>
          <w:rFonts w:ascii="Arial" w:eastAsia="Times New Roman" w:hAnsi="Arial" w:cs="Arial"/>
          <w:color w:val="000000"/>
          <w:sz w:val="24"/>
          <w:szCs w:val="24"/>
          <w:vertAlign w:val="superscript"/>
        </w:rPr>
        <w:t>4</w:t>
      </w:r>
      <w:r w:rsidRPr="004A0D23">
        <w:rPr>
          <w:rFonts w:ascii="Arial" w:eastAsia="Times New Roman" w:hAnsi="Arial" w:cs="Arial"/>
          <w:color w:val="000000"/>
          <w:sz w:val="24"/>
          <w:szCs w:val="24"/>
        </w:rPr>
        <w:t>Department of Molecular and Cell Biology, University of California, Berkeley and Department of Energy Joint Genome Institute, Walnut Creek CA</w:t>
      </w:r>
    </w:p>
    <w:p w:rsidR="004A0D23" w:rsidRPr="004A0D23" w:rsidRDefault="004A0D23" w:rsidP="004A0D23">
      <w:pPr>
        <w:spacing w:after="0" w:line="240" w:lineRule="auto"/>
        <w:rPr>
          <w:rFonts w:ascii="Arial" w:eastAsia="Times New Roman" w:hAnsi="Arial" w:cs="Arial"/>
          <w:sz w:val="24"/>
          <w:szCs w:val="24"/>
        </w:rPr>
      </w:pPr>
      <w:r w:rsidRPr="004A0D23">
        <w:rPr>
          <w:rFonts w:ascii="Arial" w:eastAsia="Times New Roman" w:hAnsi="Arial" w:cs="Arial"/>
          <w:color w:val="000000"/>
          <w:sz w:val="24"/>
          <w:szCs w:val="24"/>
        </w:rPr>
        <w:t>*Equally contributing authors</w:t>
      </w:r>
    </w:p>
    <w:p w:rsidR="004A0D23" w:rsidRPr="004A0D23" w:rsidRDefault="004A0D23">
      <w:pPr>
        <w:rPr>
          <w:rFonts w:ascii="Arial" w:hAnsi="Arial" w:cs="Arial"/>
        </w:rPr>
      </w:pPr>
      <w:r w:rsidRPr="004A0D23">
        <w:rPr>
          <w:rFonts w:ascii="Arial" w:hAnsi="Arial" w:cs="Arial"/>
        </w:rPr>
        <w:br w:type="page"/>
      </w: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r w:rsidRPr="004A0D23">
        <w:rPr>
          <w:rFonts w:ascii="Arial" w:hAnsi="Arial" w:cs="Arial"/>
          <w:noProof/>
        </w:rPr>
        <w:drawing>
          <wp:anchor distT="0" distB="0" distL="114300" distR="114300" simplePos="0" relativeHeight="251658240" behindDoc="0" locked="0" layoutInCell="1" allowOverlap="1" wp14:anchorId="0137F673" wp14:editId="5AF64F46">
            <wp:simplePos x="0" y="0"/>
            <wp:positionH relativeFrom="margin">
              <wp:align>left</wp:align>
            </wp:positionH>
            <wp:positionV relativeFrom="paragraph">
              <wp:posOffset>14393</wp:posOffset>
            </wp:positionV>
            <wp:extent cx="2933700" cy="786511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2933700" cy="7865110"/>
                    </a:xfrm>
                    <a:prstGeom prst="rect">
                      <a:avLst/>
                    </a:prstGeom>
                  </pic:spPr>
                </pic:pic>
              </a:graphicData>
            </a:graphic>
            <wp14:sizeRelH relativeFrom="page">
              <wp14:pctWidth>0</wp14:pctWidth>
            </wp14:sizeRelH>
            <wp14:sizeRelV relativeFrom="page">
              <wp14:pctHeight>0</wp14:pctHeight>
            </wp14:sizeRelV>
          </wp:anchor>
        </w:drawing>
      </w: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jc w:val="both"/>
        <w:rPr>
          <w:rFonts w:ascii="Arial" w:hAnsi="Arial" w:cs="Arial"/>
          <w:b/>
          <w:bCs/>
          <w:sz w:val="24"/>
          <w:szCs w:val="24"/>
        </w:rPr>
      </w:pPr>
      <w:r w:rsidRPr="004A0D23">
        <w:rPr>
          <w:rFonts w:ascii="Arial" w:hAnsi="Arial" w:cs="Arial"/>
          <w:b/>
          <w:bCs/>
          <w:sz w:val="24"/>
          <w:szCs w:val="24"/>
        </w:rPr>
        <w:t>Figure S1: Pulsed field gel</w:t>
      </w:r>
    </w:p>
    <w:p w:rsidR="00044339" w:rsidRPr="004A0D23" w:rsidRDefault="004A0D23" w:rsidP="004A0D23">
      <w:pPr>
        <w:autoSpaceDE w:val="0"/>
        <w:autoSpaceDN w:val="0"/>
        <w:adjustRightInd w:val="0"/>
        <w:spacing w:after="0" w:line="240" w:lineRule="auto"/>
        <w:jc w:val="both"/>
        <w:rPr>
          <w:rFonts w:ascii="Arial" w:hAnsi="Arial" w:cs="Arial"/>
        </w:rPr>
      </w:pPr>
      <w:r w:rsidRPr="004A0D23">
        <w:rPr>
          <w:rFonts w:ascii="Arial" w:hAnsi="Arial" w:cs="Arial"/>
        </w:rPr>
        <w:t>200 ng of human gDNA, gDNA extracted from agarose-embedded cells following the Ultra High Molecular Weight DNA procedure and alligator gDNA were loaded next to 0.25 mm slice of agarose-embedded PFG l ladder and 0.1 μg GeneRuler HR (Thermo Scientific) on a 0.70% SeaKem Gold agarose (Lonza) in 0.5X KBB (Sage Science) and subjected to 16 hours electrophoresis using the 5-430Kb waveform type on a Pippin Pulse electrophoresis system (Sage Science).</w:t>
      </w:r>
    </w:p>
    <w:p w:rsidR="004A0D23" w:rsidRPr="004A0D23" w:rsidRDefault="004A0D23">
      <w:pPr>
        <w:rPr>
          <w:rFonts w:ascii="Arial" w:hAnsi="Arial" w:cs="Arial"/>
        </w:rPr>
      </w:pPr>
      <w:r w:rsidRPr="004A0D23">
        <w:rPr>
          <w:rFonts w:ascii="Arial" w:hAnsi="Arial" w:cs="Arial"/>
        </w:rPr>
        <w:br w:type="page"/>
      </w: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r w:rsidRPr="004A0D23">
        <w:rPr>
          <w:rFonts w:ascii="Arial" w:hAnsi="Arial" w:cs="Arial"/>
          <w:noProof/>
        </w:rPr>
        <w:drawing>
          <wp:anchor distT="0" distB="0" distL="114300" distR="114300" simplePos="0" relativeHeight="251659264" behindDoc="0" locked="0" layoutInCell="1" allowOverlap="1" wp14:anchorId="4CB25D84" wp14:editId="71BA67DE">
            <wp:simplePos x="0" y="0"/>
            <wp:positionH relativeFrom="margin">
              <wp:align>left</wp:align>
            </wp:positionH>
            <wp:positionV relativeFrom="paragraph">
              <wp:posOffset>20320</wp:posOffset>
            </wp:positionV>
            <wp:extent cx="3166745" cy="5765800"/>
            <wp:effectExtent l="0" t="0" r="0" b="635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6745" cy="576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Default="004A0D23" w:rsidP="004A0D23">
      <w:pPr>
        <w:autoSpaceDE w:val="0"/>
        <w:autoSpaceDN w:val="0"/>
        <w:adjustRightInd w:val="0"/>
        <w:spacing w:after="0" w:line="240" w:lineRule="auto"/>
        <w:rPr>
          <w:rFonts w:ascii="Arial" w:hAnsi="Arial" w:cs="Arial"/>
          <w:b/>
          <w:bCs/>
          <w:sz w:val="24"/>
          <w:szCs w:val="24"/>
        </w:rPr>
      </w:pPr>
    </w:p>
    <w:p w:rsidR="004A0D23" w:rsidRPr="004A0D23" w:rsidRDefault="004A0D23" w:rsidP="004A0D23">
      <w:pPr>
        <w:autoSpaceDE w:val="0"/>
        <w:autoSpaceDN w:val="0"/>
        <w:adjustRightInd w:val="0"/>
        <w:spacing w:after="0" w:line="240" w:lineRule="auto"/>
        <w:jc w:val="both"/>
        <w:rPr>
          <w:rFonts w:ascii="Arial" w:hAnsi="Arial" w:cs="Arial"/>
          <w:b/>
          <w:bCs/>
          <w:sz w:val="24"/>
          <w:szCs w:val="24"/>
        </w:rPr>
      </w:pPr>
      <w:r w:rsidRPr="004A0D23">
        <w:rPr>
          <w:rFonts w:ascii="Arial" w:hAnsi="Arial" w:cs="Arial"/>
          <w:b/>
          <w:bCs/>
          <w:sz w:val="24"/>
          <w:szCs w:val="24"/>
        </w:rPr>
        <w:t>Figure S2: Mnase digestion of in vitro chromatin assembly</w:t>
      </w:r>
    </w:p>
    <w:p w:rsidR="004A0D23" w:rsidRPr="004A0D23" w:rsidRDefault="004A0D23" w:rsidP="004A0D23">
      <w:pPr>
        <w:autoSpaceDE w:val="0"/>
        <w:autoSpaceDN w:val="0"/>
        <w:adjustRightInd w:val="0"/>
        <w:spacing w:after="0" w:line="240" w:lineRule="auto"/>
        <w:jc w:val="both"/>
        <w:rPr>
          <w:rFonts w:ascii="Arial" w:hAnsi="Arial" w:cs="Arial"/>
        </w:rPr>
      </w:pPr>
      <w:r w:rsidRPr="004A0D23">
        <w:rPr>
          <w:rFonts w:ascii="Arial" w:hAnsi="Arial" w:cs="Arial"/>
        </w:rPr>
        <w:t>Partial digestion of NA12878 in vitro assembled chromatin by micrococcal nuclease. The dark bands on the ladder correspond to 250bp and 500 bp. 250ng of chromatin was digested for two minutes and four minutes respectively.</w:t>
      </w:r>
    </w:p>
    <w:p w:rsidR="004A0D23" w:rsidRDefault="004A0D23">
      <w:pPr>
        <w:rPr>
          <w:rFonts w:ascii="Arial" w:hAnsi="Arial" w:cs="Arial"/>
        </w:rPr>
      </w:pPr>
      <w:r>
        <w:rPr>
          <w:rFonts w:ascii="Arial" w:hAnsi="Arial" w:cs="Arial"/>
        </w:rPr>
        <w:br w:type="page"/>
      </w:r>
    </w:p>
    <w:p w:rsidR="004A0D23" w:rsidRDefault="004A0D23" w:rsidP="004A0D23">
      <w:pPr>
        <w:autoSpaceDE w:val="0"/>
        <w:autoSpaceDN w:val="0"/>
        <w:adjustRightInd w:val="0"/>
        <w:spacing w:after="0" w:line="240" w:lineRule="auto"/>
        <w:rPr>
          <w:rFonts w:ascii="NimbusSanL-Bold" w:hAnsi="NimbusSanL-Bold" w:cs="NimbusSanL-Bold"/>
          <w:b/>
          <w:bCs/>
          <w:sz w:val="24"/>
          <w:szCs w:val="24"/>
        </w:rPr>
      </w:pPr>
      <w:r>
        <w:rPr>
          <w:rFonts w:ascii="NimbusSanL-Bold" w:hAnsi="NimbusSanL-Bold" w:cs="NimbusSanL-Bold"/>
          <w:b/>
          <w:bCs/>
          <w:sz w:val="24"/>
          <w:szCs w:val="24"/>
        </w:rPr>
        <w:lastRenderedPageBreak/>
        <w:t>Figure S3: Comparison of Chicago versus Hi-C read-pair distributions</w:t>
      </w:r>
    </w:p>
    <w:p w:rsidR="004A0D23" w:rsidRDefault="004A0D23" w:rsidP="004A0D23">
      <w:pPr>
        <w:autoSpaceDE w:val="0"/>
        <w:autoSpaceDN w:val="0"/>
        <w:adjustRightInd w:val="0"/>
        <w:spacing w:after="0" w:line="240" w:lineRule="auto"/>
        <w:jc w:val="both"/>
        <w:rPr>
          <w:rFonts w:ascii="NimbusSanL-Regu" w:hAnsi="NimbusSanL-Regu" w:cs="NimbusSanL-Regu"/>
        </w:rPr>
      </w:pPr>
      <w:r>
        <w:rPr>
          <w:rFonts w:ascii="NimbusSanL-Regu" w:hAnsi="NimbusSanL-Regu" w:cs="NimbusSanL-Regu"/>
        </w:rPr>
        <w:t>A) A dotplot of TCC re</w:t>
      </w:r>
      <w:r w:rsidR="00F120AB">
        <w:rPr>
          <w:rFonts w:ascii="NimbusSanL-Regu" w:hAnsi="NimbusSanL-Regu" w:cs="NimbusSanL-Regu"/>
        </w:rPr>
        <w:t xml:space="preserve">ad pairs </w:t>
      </w:r>
      <w:r w:rsidR="00F120AB">
        <w:rPr>
          <w:rFonts w:ascii="NimbusSanL-Regu" w:hAnsi="NimbusSanL-Regu" w:cs="NimbusSanL-Regu"/>
        </w:rPr>
        <w:fldChar w:fldCharType="begin"/>
      </w:r>
      <w:r w:rsidR="00F120AB">
        <w:rPr>
          <w:rFonts w:ascii="NimbusSanL-Regu" w:hAnsi="NimbusSanL-Regu" w:cs="NimbusSanL-Regu"/>
        </w:rPr>
        <w:instrText xml:space="preserve"> ADDIN EN.CITE &lt;EndNote&gt;&lt;Cite&gt;&lt;Author&gt;Kalhor&lt;/Author&gt;&lt;Year&gt;2012&lt;/Year&gt;&lt;RecNum&gt;31&lt;/RecNum&gt;&lt;DisplayText&gt;(Kalhor et al. 2012)&lt;/DisplayText&gt;&lt;record&gt;&lt;rec-number&gt;31&lt;/rec-number&gt;&lt;foreign-keys&gt;&lt;key app="EN" db-id="95swre59dvzrvvepp55509v9wd0rfadwzpr5" timestamp="1447545907"&gt;31&lt;/key&gt;&lt;/foreign-keys&gt;&lt;ref-type name="Journal Article"&gt;17&lt;/ref-type&gt;&lt;contributors&gt;&lt;authors&gt;&lt;author&gt;Kalhor, R.&lt;/author&gt;&lt;author&gt;Tjong, H.&lt;/author&gt;&lt;author&gt;Jayathilaka, N.&lt;/author&gt;&lt;author&gt;Alber, F.&lt;/author&gt;&lt;author&gt;Chen, L.&lt;/author&gt;&lt;/authors&gt;&lt;/contributors&gt;&lt;auth-address&gt;Molecular and Computational Biology, Department of Biological Sciences, University of Southern California, Los Angeles, California, USA.&lt;/auth-address&gt;&lt;titles&gt;&lt;title&gt;Genome architectures revealed by tethered chromosome conformation capture and population-based modeling&lt;/title&gt;&lt;secondary-title&gt;Nat Biotechnol&lt;/secondary-title&gt;&lt;/titles&gt;&lt;periodical&gt;&lt;full-title&gt;Nat Biotechnol&lt;/full-title&gt;&lt;/periodical&gt;&lt;pages&gt;90-8&lt;/pages&gt;&lt;volume&gt;30&lt;/volume&gt;&lt;number&gt;1&lt;/number&gt;&lt;keywords&gt;&lt;keyword&gt;Cell Line&lt;/keyword&gt;&lt;keyword&gt;Chromatin/*genetics&lt;/keyword&gt;&lt;keyword&gt;Chromatin Assembly and Disassembly/*genetics&lt;/keyword&gt;&lt;keyword&gt;Chromosomes, Human/*genetics&lt;/keyword&gt;&lt;keyword&gt;*Genome, Human&lt;/keyword&gt;&lt;keyword&gt;Humans&lt;/keyword&gt;&lt;keyword&gt;In Situ Hybridization, Fluorescence&lt;/keyword&gt;&lt;keyword&gt;Models, Molecular&lt;/keyword&gt;&lt;keyword&gt;Molecular Conformation&lt;/keyword&gt;&lt;keyword&gt;Signal-To-Noise Ratio&lt;/keyword&gt;&lt;keyword&gt;*Transcription, Genetic&lt;/keyword&gt;&lt;/keywords&gt;&lt;dates&gt;&lt;year&gt;2012&lt;/year&gt;&lt;pub-dates&gt;&lt;date&gt;Jan&lt;/date&gt;&lt;/pub-dates&gt;&lt;/dates&gt;&lt;isbn&gt;1546-1696 (Electronic)&amp;#xD;1087-0156 (Linking)&lt;/isbn&gt;&lt;accession-num&gt;22198700&lt;/accession-num&gt;&lt;urls&gt;&lt;related-urls&gt;&lt;url&gt;http://www.ncbi.nlm.nih.gov/pubmed/22198700&lt;/url&gt;&lt;/related-urls&gt;&lt;/urls&gt;&lt;custom2&gt;PMC3782096&lt;/custom2&gt;&lt;electronic-resource-num&gt;10.1038/nbt.2057&lt;/electronic-resource-num&gt;&lt;/record&gt;&lt;/Cite&gt;&lt;/EndNote&gt;</w:instrText>
      </w:r>
      <w:r w:rsidR="00F120AB">
        <w:rPr>
          <w:rFonts w:ascii="NimbusSanL-Regu" w:hAnsi="NimbusSanL-Regu" w:cs="NimbusSanL-Regu"/>
        </w:rPr>
        <w:fldChar w:fldCharType="separate"/>
      </w:r>
      <w:r w:rsidR="00F120AB">
        <w:rPr>
          <w:rFonts w:ascii="NimbusSanL-Regu" w:hAnsi="NimbusSanL-Regu" w:cs="NimbusSanL-Regu"/>
          <w:noProof/>
        </w:rPr>
        <w:t>(Kalhor et al. 2012)</w:t>
      </w:r>
      <w:r w:rsidR="00F120AB">
        <w:rPr>
          <w:rFonts w:ascii="NimbusSanL-Regu" w:hAnsi="NimbusSanL-Regu" w:cs="NimbusSanL-Regu"/>
        </w:rPr>
        <w:fldChar w:fldCharType="end"/>
      </w:r>
      <w:r>
        <w:rPr>
          <w:rFonts w:ascii="NimbusSanL-Regu" w:hAnsi="NimbusSanL-Regu" w:cs="NimbusSanL-Regu"/>
        </w:rPr>
        <w:t xml:space="preserve"> mapped to a section of hg19 chr1. Read pairs with map quality scores less than 20, marked as PCR duplicates, or with separations of less than 2000 bases were excluded. 20,202 reads are shown. B) A dotplot of Chicago read pairs mapped to a section of hg19 chr1 using the same filters. 20,202 reads are shown.</w:t>
      </w:r>
    </w:p>
    <w:p w:rsidR="004A0D23" w:rsidRDefault="004A0D23" w:rsidP="004A0D23">
      <w:pPr>
        <w:autoSpaceDE w:val="0"/>
        <w:autoSpaceDN w:val="0"/>
        <w:adjustRightInd w:val="0"/>
        <w:spacing w:after="0" w:line="240" w:lineRule="auto"/>
        <w:rPr>
          <w:rFonts w:ascii="NimbusSanL-Regu" w:hAnsi="NimbusSanL-Regu" w:cs="NimbusSanL-Regu"/>
        </w:rPr>
      </w:pPr>
      <w:r w:rsidRPr="004A0D23">
        <w:rPr>
          <w:noProof/>
        </w:rPr>
        <w:drawing>
          <wp:anchor distT="0" distB="0" distL="114300" distR="114300" simplePos="0" relativeHeight="251660288" behindDoc="0" locked="0" layoutInCell="1" allowOverlap="1" wp14:anchorId="6DC2A6A1" wp14:editId="5F7F5942">
            <wp:simplePos x="0" y="0"/>
            <wp:positionH relativeFrom="column">
              <wp:posOffset>1109134</wp:posOffset>
            </wp:positionH>
            <wp:positionV relativeFrom="paragraph">
              <wp:posOffset>165836</wp:posOffset>
            </wp:positionV>
            <wp:extent cx="3880224" cy="3241040"/>
            <wp:effectExtent l="0" t="0" r="6350" b="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880224" cy="3241040"/>
                    </a:xfrm>
                    <a:prstGeom prst="rect">
                      <a:avLst/>
                    </a:prstGeom>
                  </pic:spPr>
                </pic:pic>
              </a:graphicData>
            </a:graphic>
            <wp14:sizeRelH relativeFrom="page">
              <wp14:pctWidth>0</wp14:pctWidth>
            </wp14:sizeRelH>
            <wp14:sizeRelV relativeFrom="page">
              <wp14:pctHeight>0</wp14:pctHeight>
            </wp14:sizeRelV>
          </wp:anchor>
        </w:drawing>
      </w: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r w:rsidRPr="004A0D23">
        <w:rPr>
          <w:noProof/>
        </w:rPr>
        <w:drawing>
          <wp:anchor distT="0" distB="0" distL="114300" distR="114300" simplePos="0" relativeHeight="251661312" behindDoc="0" locked="0" layoutInCell="1" allowOverlap="1">
            <wp:simplePos x="0" y="0"/>
            <wp:positionH relativeFrom="column">
              <wp:posOffset>1117600</wp:posOffset>
            </wp:positionH>
            <wp:positionV relativeFrom="paragraph">
              <wp:posOffset>3068532</wp:posOffset>
            </wp:positionV>
            <wp:extent cx="3937596" cy="3225800"/>
            <wp:effectExtent l="0" t="0" r="635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937596" cy="3225800"/>
                    </a:xfrm>
                    <a:prstGeom prst="rect">
                      <a:avLst/>
                    </a:prstGeom>
                  </pic:spPr>
                </pic:pic>
              </a:graphicData>
            </a:graphic>
            <wp14:sizeRelH relativeFrom="page">
              <wp14:pctWidth>0</wp14:pctWidth>
            </wp14:sizeRelH>
            <wp14:sizeRelV relativeFrom="page">
              <wp14:pctHeight>0</wp14:pctHeight>
            </wp14:sizeRelV>
          </wp:anchor>
        </w:drawing>
      </w:r>
      <w:r>
        <w:rPr>
          <w:rFonts w:ascii="NimbusSanL-Regu" w:hAnsi="NimbusSanL-Regu" w:cs="NimbusSanL-Regu"/>
        </w:rPr>
        <w:t>A</w:t>
      </w: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rsidP="004A0D23">
      <w:pPr>
        <w:autoSpaceDE w:val="0"/>
        <w:autoSpaceDN w:val="0"/>
        <w:adjustRightInd w:val="0"/>
        <w:spacing w:after="0" w:line="240" w:lineRule="auto"/>
        <w:rPr>
          <w:rFonts w:ascii="NimbusSanL-Regu" w:hAnsi="NimbusSanL-Regu" w:cs="NimbusSanL-Regu"/>
        </w:rPr>
      </w:pPr>
      <w:r>
        <w:rPr>
          <w:rFonts w:ascii="NimbusSanL-Regu" w:hAnsi="NimbusSanL-Regu" w:cs="NimbusSanL-Regu"/>
        </w:rPr>
        <w:t>B</w:t>
      </w:r>
    </w:p>
    <w:p w:rsidR="004A0D23" w:rsidRDefault="004A0D23" w:rsidP="004A0D23">
      <w:pPr>
        <w:autoSpaceDE w:val="0"/>
        <w:autoSpaceDN w:val="0"/>
        <w:adjustRightInd w:val="0"/>
        <w:spacing w:after="0" w:line="240" w:lineRule="auto"/>
        <w:rPr>
          <w:rFonts w:ascii="NimbusSanL-Regu" w:hAnsi="NimbusSanL-Regu" w:cs="NimbusSanL-Regu"/>
        </w:rPr>
      </w:pPr>
    </w:p>
    <w:p w:rsidR="004A0D23" w:rsidRDefault="004A0D23">
      <w:pPr>
        <w:rPr>
          <w:rFonts w:ascii="NimbusSanL-Regu" w:hAnsi="NimbusSanL-Regu" w:cs="NimbusSanL-Regu"/>
        </w:rPr>
      </w:pPr>
      <w:r>
        <w:rPr>
          <w:rFonts w:ascii="NimbusSanL-Regu" w:hAnsi="NimbusSanL-Regu" w:cs="NimbusSanL-Regu"/>
        </w:rPr>
        <w:br w:type="page"/>
      </w:r>
    </w:p>
    <w:p w:rsidR="004A0D23" w:rsidRDefault="004A0D23" w:rsidP="004A0D23">
      <w:pPr>
        <w:autoSpaceDE w:val="0"/>
        <w:autoSpaceDN w:val="0"/>
        <w:adjustRightInd w:val="0"/>
        <w:spacing w:after="0" w:line="240" w:lineRule="auto"/>
        <w:rPr>
          <w:rFonts w:ascii="Arial" w:hAnsi="Arial" w:cs="Arial"/>
          <w:b/>
          <w:bCs/>
        </w:rPr>
      </w:pPr>
      <w:r>
        <w:rPr>
          <w:rFonts w:ascii="Arial" w:hAnsi="Arial" w:cs="Arial"/>
          <w:b/>
          <w:bCs/>
        </w:rPr>
        <w:lastRenderedPageBreak/>
        <w:t>Figure S4</w:t>
      </w:r>
      <w:r w:rsidRPr="004A0D23">
        <w:rPr>
          <w:rFonts w:ascii="Arial" w:hAnsi="Arial" w:cs="Arial"/>
          <w:b/>
          <w:bCs/>
        </w:rPr>
        <w:t>: Expected read pair mapping distribution under inversion (homozygous)</w:t>
      </w:r>
    </w:p>
    <w:p w:rsidR="004A0D23" w:rsidRDefault="004A0D23" w:rsidP="004A0D23">
      <w:pPr>
        <w:autoSpaceDE w:val="0"/>
        <w:autoSpaceDN w:val="0"/>
        <w:adjustRightInd w:val="0"/>
        <w:spacing w:after="0" w:line="240" w:lineRule="auto"/>
        <w:rPr>
          <w:rFonts w:ascii="Arial" w:hAnsi="Arial" w:cs="Arial"/>
          <w:b/>
          <w:bCs/>
        </w:rPr>
      </w:pPr>
    </w:p>
    <w:p w:rsidR="004A0D23" w:rsidRDefault="004A0D23" w:rsidP="004A0D23">
      <w:pPr>
        <w:autoSpaceDE w:val="0"/>
        <w:autoSpaceDN w:val="0"/>
        <w:adjustRightInd w:val="0"/>
        <w:spacing w:after="0" w:line="240" w:lineRule="auto"/>
        <w:rPr>
          <w:rFonts w:ascii="Arial" w:hAnsi="Arial" w:cs="Arial"/>
          <w:b/>
          <w:bCs/>
        </w:rPr>
      </w:pPr>
      <w:r w:rsidRPr="004A0D23">
        <w:rPr>
          <w:rFonts w:ascii="Arial" w:hAnsi="Arial" w:cs="Arial"/>
          <w:b/>
          <w:bCs/>
          <w:noProof/>
        </w:rPr>
        <w:drawing>
          <wp:inline distT="0" distB="0" distL="0" distR="0">
            <wp:extent cx="3014345" cy="2506345"/>
            <wp:effectExtent l="0" t="0" r="0" b="825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4345" cy="2506345"/>
                    </a:xfrm>
                    <a:prstGeom prst="rect">
                      <a:avLst/>
                    </a:prstGeom>
                    <a:noFill/>
                    <a:ln>
                      <a:noFill/>
                    </a:ln>
                  </pic:spPr>
                </pic:pic>
              </a:graphicData>
            </a:graphic>
          </wp:inline>
        </w:drawing>
      </w:r>
    </w:p>
    <w:p w:rsidR="004A0D23" w:rsidRDefault="004A0D23" w:rsidP="004A0D23">
      <w:pPr>
        <w:autoSpaceDE w:val="0"/>
        <w:autoSpaceDN w:val="0"/>
        <w:adjustRightInd w:val="0"/>
        <w:spacing w:after="0" w:line="240" w:lineRule="auto"/>
        <w:rPr>
          <w:rFonts w:ascii="Arial" w:hAnsi="Arial" w:cs="Arial"/>
          <w:b/>
          <w:bCs/>
        </w:rPr>
      </w:pPr>
    </w:p>
    <w:p w:rsidR="004A0D23" w:rsidRDefault="004A0D23" w:rsidP="004A0D23">
      <w:pPr>
        <w:autoSpaceDE w:val="0"/>
        <w:autoSpaceDN w:val="0"/>
        <w:adjustRightInd w:val="0"/>
        <w:spacing w:after="0" w:line="240" w:lineRule="auto"/>
        <w:rPr>
          <w:rFonts w:ascii="Arial" w:hAnsi="Arial" w:cs="Arial"/>
          <w:b/>
          <w:bCs/>
        </w:rPr>
      </w:pPr>
    </w:p>
    <w:p w:rsidR="004A0D23" w:rsidRPr="004A0D23" w:rsidRDefault="004A0D23" w:rsidP="004A0D23">
      <w:pPr>
        <w:autoSpaceDE w:val="0"/>
        <w:autoSpaceDN w:val="0"/>
        <w:adjustRightInd w:val="0"/>
        <w:spacing w:after="0" w:line="240" w:lineRule="auto"/>
        <w:rPr>
          <w:rFonts w:ascii="Arial" w:hAnsi="Arial" w:cs="Arial"/>
          <w:b/>
          <w:bCs/>
        </w:rPr>
      </w:pPr>
    </w:p>
    <w:p w:rsidR="004A0D23" w:rsidRDefault="004A0D23" w:rsidP="004A0D23">
      <w:pPr>
        <w:autoSpaceDE w:val="0"/>
        <w:autoSpaceDN w:val="0"/>
        <w:adjustRightInd w:val="0"/>
        <w:spacing w:after="0" w:line="240" w:lineRule="auto"/>
        <w:rPr>
          <w:rFonts w:ascii="Arial" w:hAnsi="Arial" w:cs="Arial"/>
          <w:b/>
          <w:bCs/>
        </w:rPr>
      </w:pPr>
      <w:r>
        <w:rPr>
          <w:rFonts w:ascii="Arial" w:hAnsi="Arial" w:cs="Arial"/>
          <w:b/>
          <w:bCs/>
        </w:rPr>
        <w:t>Figure S5</w:t>
      </w:r>
      <w:r w:rsidRPr="004A0D23">
        <w:rPr>
          <w:rFonts w:ascii="Arial" w:hAnsi="Arial" w:cs="Arial"/>
          <w:b/>
          <w:bCs/>
        </w:rPr>
        <w:t>: Expected read pair mapping distribution under deletion (heterozygous)</w:t>
      </w:r>
    </w:p>
    <w:p w:rsidR="004A0D23" w:rsidRDefault="004A0D23" w:rsidP="004A0D23">
      <w:pPr>
        <w:autoSpaceDE w:val="0"/>
        <w:autoSpaceDN w:val="0"/>
        <w:adjustRightInd w:val="0"/>
        <w:spacing w:after="0" w:line="240" w:lineRule="auto"/>
        <w:rPr>
          <w:rFonts w:ascii="Arial" w:hAnsi="Arial" w:cs="Arial"/>
          <w:b/>
          <w:bCs/>
        </w:rPr>
      </w:pPr>
    </w:p>
    <w:p w:rsidR="004A0D23" w:rsidRDefault="004A0D23" w:rsidP="004A0D23">
      <w:pPr>
        <w:autoSpaceDE w:val="0"/>
        <w:autoSpaceDN w:val="0"/>
        <w:adjustRightInd w:val="0"/>
        <w:spacing w:after="0" w:line="240" w:lineRule="auto"/>
        <w:rPr>
          <w:rFonts w:ascii="Arial" w:hAnsi="Arial" w:cs="Arial"/>
        </w:rPr>
      </w:pPr>
      <w:r w:rsidRPr="004A0D23">
        <w:rPr>
          <w:rFonts w:ascii="Arial" w:hAnsi="Arial" w:cs="Arial"/>
          <w:noProof/>
        </w:rPr>
        <w:drawing>
          <wp:inline distT="0" distB="0" distL="0" distR="0">
            <wp:extent cx="2980055" cy="24892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0055" cy="2489200"/>
                    </a:xfrm>
                    <a:prstGeom prst="rect">
                      <a:avLst/>
                    </a:prstGeom>
                    <a:noFill/>
                    <a:ln>
                      <a:noFill/>
                    </a:ln>
                  </pic:spPr>
                </pic:pic>
              </a:graphicData>
            </a:graphic>
          </wp:inline>
        </w:drawing>
      </w:r>
    </w:p>
    <w:p w:rsidR="004A0D23" w:rsidRDefault="004A0D23">
      <w:pPr>
        <w:rPr>
          <w:rFonts w:ascii="Arial" w:hAnsi="Arial" w:cs="Arial"/>
        </w:rPr>
      </w:pPr>
      <w:r>
        <w:rPr>
          <w:rFonts w:ascii="Arial" w:hAnsi="Arial" w:cs="Arial"/>
        </w:rPr>
        <w:br w:type="page"/>
      </w:r>
    </w:p>
    <w:p w:rsidR="004A0D23" w:rsidRPr="004A0D23" w:rsidRDefault="004A0D23" w:rsidP="004A0D23">
      <w:pPr>
        <w:autoSpaceDE w:val="0"/>
        <w:autoSpaceDN w:val="0"/>
        <w:adjustRightInd w:val="0"/>
        <w:spacing w:after="0" w:line="240" w:lineRule="auto"/>
        <w:rPr>
          <w:rFonts w:ascii="Arial" w:hAnsi="Arial" w:cs="Arial"/>
          <w:b/>
          <w:bCs/>
        </w:rPr>
      </w:pPr>
      <w:r w:rsidRPr="004A0D23">
        <w:rPr>
          <w:rFonts w:ascii="Arial" w:hAnsi="Arial" w:cs="Arial"/>
          <w:b/>
          <w:bCs/>
        </w:rPr>
        <w:lastRenderedPageBreak/>
        <w:t>Table S1: Long-range data used in human assemblies</w:t>
      </w:r>
    </w:p>
    <w:p w:rsidR="004A0D23" w:rsidRDefault="004A0D23" w:rsidP="004A0D23">
      <w:pPr>
        <w:autoSpaceDE w:val="0"/>
        <w:autoSpaceDN w:val="0"/>
        <w:adjustRightInd w:val="0"/>
        <w:spacing w:after="0" w:line="240" w:lineRule="auto"/>
        <w:jc w:val="both"/>
        <w:rPr>
          <w:rFonts w:ascii="Arial" w:hAnsi="Arial" w:cs="Arial"/>
        </w:rPr>
      </w:pPr>
      <w:r w:rsidRPr="004A0D23">
        <w:rPr>
          <w:rFonts w:ascii="Arial" w:hAnsi="Arial" w:cs="Arial"/>
        </w:rPr>
        <w:t>Comparison of long-range data used to construct the human assemblies shown in Table 1 of the main text. “Physical coverage” refers to the total length spanned between read pairs, divided by the genome size, and corresponds to the mean number of read pairs mapped so as to span a randomly selection position in the genome. For Chicago libraries, the reported and estimated physical coverage is for pairs in the range 1 to 50 kbp.</w:t>
      </w:r>
    </w:p>
    <w:p w:rsidR="004A0D23" w:rsidRDefault="004A0D23" w:rsidP="004A0D23">
      <w:pPr>
        <w:autoSpaceDE w:val="0"/>
        <w:autoSpaceDN w:val="0"/>
        <w:adjustRightInd w:val="0"/>
        <w:spacing w:after="0" w:line="240" w:lineRule="auto"/>
        <w:jc w:val="both"/>
        <w:rPr>
          <w:rFonts w:ascii="Arial" w:hAnsi="Arial" w:cs="Arial"/>
        </w:rPr>
      </w:pPr>
    </w:p>
    <w:tbl>
      <w:tblPr>
        <w:tblStyle w:val="TableGrid"/>
        <w:tblW w:w="0" w:type="auto"/>
        <w:tblLook w:val="04A0" w:firstRow="1" w:lastRow="0" w:firstColumn="1" w:lastColumn="0" w:noHBand="0" w:noVBand="1"/>
      </w:tblPr>
      <w:tblGrid>
        <w:gridCol w:w="1870"/>
        <w:gridCol w:w="1870"/>
        <w:gridCol w:w="2195"/>
        <w:gridCol w:w="1800"/>
        <w:gridCol w:w="1615"/>
      </w:tblGrid>
      <w:tr w:rsidR="004A0D23" w:rsidRPr="00F120AB" w:rsidTr="00F120AB">
        <w:tc>
          <w:tcPr>
            <w:tcW w:w="1870" w:type="dxa"/>
            <w:vAlign w:val="center"/>
          </w:tcPr>
          <w:p w:rsidR="004A0D23" w:rsidRPr="00F120AB" w:rsidRDefault="004A0D23" w:rsidP="004A0D23">
            <w:pPr>
              <w:autoSpaceDE w:val="0"/>
              <w:autoSpaceDN w:val="0"/>
              <w:adjustRightInd w:val="0"/>
              <w:jc w:val="center"/>
              <w:rPr>
                <w:rFonts w:ascii="Arial" w:hAnsi="Arial" w:cs="Arial"/>
                <w:b/>
              </w:rPr>
            </w:pPr>
            <w:r w:rsidRPr="00F120AB">
              <w:rPr>
                <w:rFonts w:ascii="Arial" w:hAnsi="Arial" w:cs="Arial"/>
                <w:b/>
              </w:rPr>
              <w:t>Assembly</w:t>
            </w:r>
          </w:p>
        </w:tc>
        <w:tc>
          <w:tcPr>
            <w:tcW w:w="1870" w:type="dxa"/>
            <w:vAlign w:val="center"/>
          </w:tcPr>
          <w:p w:rsidR="004A0D23" w:rsidRPr="00F120AB" w:rsidRDefault="004A0D23" w:rsidP="004A0D23">
            <w:pPr>
              <w:autoSpaceDE w:val="0"/>
              <w:autoSpaceDN w:val="0"/>
              <w:adjustRightInd w:val="0"/>
              <w:jc w:val="center"/>
              <w:rPr>
                <w:rFonts w:ascii="Arial" w:hAnsi="Arial" w:cs="Arial"/>
                <w:b/>
              </w:rPr>
            </w:pPr>
            <w:r w:rsidRPr="00F120AB">
              <w:rPr>
                <w:rFonts w:ascii="Arial" w:hAnsi="Arial" w:cs="Arial"/>
                <w:b/>
              </w:rPr>
              <w:t>Library</w:t>
            </w:r>
          </w:p>
        </w:tc>
        <w:tc>
          <w:tcPr>
            <w:tcW w:w="2195" w:type="dxa"/>
            <w:vAlign w:val="center"/>
          </w:tcPr>
          <w:p w:rsidR="004A0D23" w:rsidRPr="00F120AB" w:rsidRDefault="004A0D23" w:rsidP="004A0D23">
            <w:pPr>
              <w:autoSpaceDE w:val="0"/>
              <w:autoSpaceDN w:val="0"/>
              <w:adjustRightInd w:val="0"/>
              <w:jc w:val="center"/>
              <w:rPr>
                <w:rFonts w:ascii="Arial" w:hAnsi="Arial" w:cs="Arial"/>
                <w:b/>
              </w:rPr>
            </w:pPr>
            <w:r w:rsidRPr="00F120AB">
              <w:rPr>
                <w:rFonts w:ascii="Arial" w:hAnsi="Arial" w:cs="Arial"/>
                <w:b/>
              </w:rPr>
              <w:t>Mean insert</w:t>
            </w:r>
          </w:p>
        </w:tc>
        <w:tc>
          <w:tcPr>
            <w:tcW w:w="1800" w:type="dxa"/>
            <w:vAlign w:val="center"/>
          </w:tcPr>
          <w:p w:rsidR="004A0D23" w:rsidRPr="00F120AB" w:rsidRDefault="004A0D23" w:rsidP="004A0D23">
            <w:pPr>
              <w:autoSpaceDE w:val="0"/>
              <w:autoSpaceDN w:val="0"/>
              <w:adjustRightInd w:val="0"/>
              <w:jc w:val="center"/>
              <w:rPr>
                <w:rFonts w:ascii="Arial" w:hAnsi="Arial" w:cs="Arial"/>
                <w:b/>
              </w:rPr>
            </w:pPr>
            <w:r w:rsidRPr="00F120AB">
              <w:rPr>
                <w:rFonts w:ascii="Arial" w:hAnsi="Arial" w:cs="Arial"/>
                <w:b/>
              </w:rPr>
              <w:t>Raw sequence coverage</w:t>
            </w:r>
          </w:p>
        </w:tc>
        <w:tc>
          <w:tcPr>
            <w:tcW w:w="1615" w:type="dxa"/>
            <w:vAlign w:val="center"/>
          </w:tcPr>
          <w:p w:rsidR="004A0D23" w:rsidRPr="00F120AB" w:rsidRDefault="004A0D23" w:rsidP="004A0D23">
            <w:pPr>
              <w:autoSpaceDE w:val="0"/>
              <w:autoSpaceDN w:val="0"/>
              <w:adjustRightInd w:val="0"/>
              <w:jc w:val="center"/>
              <w:rPr>
                <w:rFonts w:ascii="Arial" w:hAnsi="Arial" w:cs="Arial"/>
                <w:b/>
              </w:rPr>
            </w:pPr>
            <w:r w:rsidRPr="00F120AB">
              <w:rPr>
                <w:rFonts w:ascii="Arial" w:hAnsi="Arial" w:cs="Arial"/>
                <w:b/>
              </w:rPr>
              <w:t>Physical coverage</w:t>
            </w:r>
          </w:p>
        </w:tc>
      </w:tr>
      <w:tr w:rsidR="00F120AB" w:rsidRPr="00F120AB" w:rsidTr="00F120AB">
        <w:tc>
          <w:tcPr>
            <w:tcW w:w="1870" w:type="dxa"/>
            <w:vMerge w:val="restart"/>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APLG</w:t>
            </w: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Shotgun</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155 bp</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51.9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NA</w:t>
            </w:r>
          </w:p>
        </w:tc>
      </w:tr>
      <w:tr w:rsidR="00F120AB" w:rsidRPr="00F120AB" w:rsidTr="00F120AB">
        <w:tc>
          <w:tcPr>
            <w:tcW w:w="1870" w:type="dxa"/>
            <w:vMerge/>
            <w:vAlign w:val="center"/>
          </w:tcPr>
          <w:p w:rsidR="00F120AB" w:rsidRPr="00F120AB" w:rsidRDefault="00F120AB" w:rsidP="004A0D23">
            <w:pPr>
              <w:autoSpaceDE w:val="0"/>
              <w:autoSpaceDN w:val="0"/>
              <w:adjustRightInd w:val="0"/>
              <w:jc w:val="center"/>
              <w:rPr>
                <w:rFonts w:ascii="Arial" w:hAnsi="Arial" w:cs="Arial"/>
              </w:rPr>
            </w:pP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Mate-pair</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2,536 bp</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45.9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249.4 X</w:t>
            </w:r>
          </w:p>
        </w:tc>
      </w:tr>
      <w:tr w:rsidR="00F120AB" w:rsidRPr="00F120AB" w:rsidTr="00F120AB">
        <w:tc>
          <w:tcPr>
            <w:tcW w:w="1870" w:type="dxa"/>
            <w:vMerge/>
            <w:vAlign w:val="center"/>
          </w:tcPr>
          <w:p w:rsidR="00F120AB" w:rsidRPr="00F120AB" w:rsidRDefault="00F120AB" w:rsidP="004A0D23">
            <w:pPr>
              <w:autoSpaceDE w:val="0"/>
              <w:autoSpaceDN w:val="0"/>
              <w:adjustRightInd w:val="0"/>
              <w:jc w:val="center"/>
              <w:rPr>
                <w:rFonts w:ascii="Arial" w:hAnsi="Arial" w:cs="Arial"/>
              </w:rPr>
            </w:pP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Fosmic</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35,295</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5.3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49.5 X</w:t>
            </w:r>
          </w:p>
        </w:tc>
      </w:tr>
      <w:tr w:rsidR="00F120AB" w:rsidRPr="00F120AB" w:rsidTr="00F120AB">
        <w:tc>
          <w:tcPr>
            <w:tcW w:w="1870" w:type="dxa"/>
            <w:vMerge w:val="restart"/>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Meraculous</w:t>
            </w: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Shotgun</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380 bp</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84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NA</w:t>
            </w:r>
          </w:p>
        </w:tc>
      </w:tr>
      <w:tr w:rsidR="00F120AB" w:rsidRPr="00F120AB" w:rsidTr="00F120AB">
        <w:tc>
          <w:tcPr>
            <w:tcW w:w="1870" w:type="dxa"/>
            <w:vMerge/>
            <w:vAlign w:val="center"/>
          </w:tcPr>
          <w:p w:rsidR="00F120AB" w:rsidRPr="00F120AB" w:rsidRDefault="00F120AB" w:rsidP="004A0D23">
            <w:pPr>
              <w:autoSpaceDE w:val="0"/>
              <w:autoSpaceDN w:val="0"/>
              <w:adjustRightInd w:val="0"/>
              <w:jc w:val="center"/>
              <w:rPr>
                <w:rFonts w:ascii="Arial" w:hAnsi="Arial" w:cs="Arial"/>
              </w:rPr>
            </w:pP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Mate-pair</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2,536</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45.9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249.4 X</w:t>
            </w:r>
          </w:p>
        </w:tc>
      </w:tr>
      <w:tr w:rsidR="00F120AB" w:rsidRPr="00F120AB" w:rsidTr="00F120AB">
        <w:tc>
          <w:tcPr>
            <w:tcW w:w="1870" w:type="dxa"/>
            <w:vMerge/>
            <w:vAlign w:val="center"/>
          </w:tcPr>
          <w:p w:rsidR="00F120AB" w:rsidRPr="00F120AB" w:rsidRDefault="00F120AB" w:rsidP="004A0D23">
            <w:pPr>
              <w:autoSpaceDE w:val="0"/>
              <w:autoSpaceDN w:val="0"/>
              <w:adjustRightInd w:val="0"/>
              <w:jc w:val="center"/>
              <w:rPr>
                <w:rFonts w:ascii="Arial" w:hAnsi="Arial" w:cs="Arial"/>
              </w:rPr>
            </w:pP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Fosmid</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35,295</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5.3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49.5X</w:t>
            </w:r>
          </w:p>
        </w:tc>
      </w:tr>
      <w:tr w:rsidR="00F120AB" w:rsidRPr="00F120AB" w:rsidTr="00F120AB">
        <w:tc>
          <w:tcPr>
            <w:tcW w:w="1870" w:type="dxa"/>
            <w:vMerge w:val="restart"/>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Dovetail</w:t>
            </w: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Shotgun</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380 bp</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84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NA</w:t>
            </w:r>
          </w:p>
        </w:tc>
      </w:tr>
      <w:tr w:rsidR="00F120AB" w:rsidRPr="00F120AB" w:rsidTr="00F120AB">
        <w:tc>
          <w:tcPr>
            <w:tcW w:w="1870" w:type="dxa"/>
            <w:vMerge/>
            <w:vAlign w:val="center"/>
          </w:tcPr>
          <w:p w:rsidR="00F120AB" w:rsidRPr="00F120AB" w:rsidRDefault="00F120AB" w:rsidP="004A0D23">
            <w:pPr>
              <w:autoSpaceDE w:val="0"/>
              <w:autoSpaceDN w:val="0"/>
              <w:adjustRightInd w:val="0"/>
              <w:jc w:val="center"/>
              <w:rPr>
                <w:rFonts w:ascii="Arial" w:hAnsi="Arial" w:cs="Arial"/>
              </w:rPr>
            </w:pP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Chicago L1</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NA (150 kb input)</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3.4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11.5 X</w:t>
            </w:r>
          </w:p>
        </w:tc>
      </w:tr>
      <w:tr w:rsidR="00F120AB" w:rsidRPr="00F120AB" w:rsidTr="00F120AB">
        <w:tc>
          <w:tcPr>
            <w:tcW w:w="1870" w:type="dxa"/>
            <w:vMerge/>
            <w:vAlign w:val="center"/>
          </w:tcPr>
          <w:p w:rsidR="00F120AB" w:rsidRPr="00F120AB" w:rsidRDefault="00F120AB" w:rsidP="004A0D23">
            <w:pPr>
              <w:autoSpaceDE w:val="0"/>
              <w:autoSpaceDN w:val="0"/>
              <w:adjustRightInd w:val="0"/>
              <w:jc w:val="center"/>
              <w:rPr>
                <w:rFonts w:ascii="Arial" w:hAnsi="Arial" w:cs="Arial"/>
              </w:rPr>
            </w:pP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Chicago L2</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NA (150 kb input)</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3.7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13.0X</w:t>
            </w:r>
          </w:p>
        </w:tc>
      </w:tr>
      <w:tr w:rsidR="00F120AB" w:rsidRPr="00F120AB" w:rsidTr="00F120AB">
        <w:tc>
          <w:tcPr>
            <w:tcW w:w="1870" w:type="dxa"/>
            <w:vMerge/>
            <w:vAlign w:val="center"/>
          </w:tcPr>
          <w:p w:rsidR="00F120AB" w:rsidRPr="00F120AB" w:rsidRDefault="00F120AB" w:rsidP="004A0D23">
            <w:pPr>
              <w:autoSpaceDE w:val="0"/>
              <w:autoSpaceDN w:val="0"/>
              <w:adjustRightInd w:val="0"/>
              <w:jc w:val="center"/>
              <w:rPr>
                <w:rFonts w:ascii="Arial" w:hAnsi="Arial" w:cs="Arial"/>
              </w:rPr>
            </w:pPr>
          </w:p>
        </w:tc>
        <w:tc>
          <w:tcPr>
            <w:tcW w:w="187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Chicago L3</w:t>
            </w:r>
          </w:p>
        </w:tc>
        <w:tc>
          <w:tcPr>
            <w:tcW w:w="219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NA (</w:t>
            </w:r>
            <w:r w:rsidR="000C1AC5">
              <w:rPr>
                <w:rFonts w:ascii="Arial" w:hAnsi="Arial" w:cs="Arial"/>
              </w:rPr>
              <w:t>~500 kb input; Figure S1</w:t>
            </w:r>
            <w:bookmarkStart w:id="0" w:name="_GoBack"/>
            <w:bookmarkEnd w:id="0"/>
            <w:r w:rsidRPr="00F120AB">
              <w:rPr>
                <w:rFonts w:ascii="Arial" w:hAnsi="Arial" w:cs="Arial"/>
              </w:rPr>
              <w:t>)</w:t>
            </w:r>
          </w:p>
        </w:tc>
        <w:tc>
          <w:tcPr>
            <w:tcW w:w="1800"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11.8 X</w:t>
            </w:r>
          </w:p>
        </w:tc>
        <w:tc>
          <w:tcPr>
            <w:tcW w:w="1615" w:type="dxa"/>
            <w:vAlign w:val="center"/>
          </w:tcPr>
          <w:p w:rsidR="00F120AB" w:rsidRPr="00F120AB" w:rsidRDefault="00F120AB" w:rsidP="004A0D23">
            <w:pPr>
              <w:autoSpaceDE w:val="0"/>
              <w:autoSpaceDN w:val="0"/>
              <w:adjustRightInd w:val="0"/>
              <w:jc w:val="center"/>
              <w:rPr>
                <w:rFonts w:ascii="Arial" w:hAnsi="Arial" w:cs="Arial"/>
              </w:rPr>
            </w:pPr>
            <w:r w:rsidRPr="00F120AB">
              <w:rPr>
                <w:rFonts w:ascii="Arial" w:hAnsi="Arial" w:cs="Arial"/>
              </w:rPr>
              <w:t>17.0X</w:t>
            </w:r>
          </w:p>
        </w:tc>
      </w:tr>
    </w:tbl>
    <w:p w:rsidR="004A0D23" w:rsidRDefault="004A0D23" w:rsidP="004A0D23">
      <w:pPr>
        <w:autoSpaceDE w:val="0"/>
        <w:autoSpaceDN w:val="0"/>
        <w:adjustRightInd w:val="0"/>
        <w:spacing w:after="0" w:line="240" w:lineRule="auto"/>
        <w:jc w:val="both"/>
        <w:rPr>
          <w:rFonts w:ascii="Arial" w:hAnsi="Arial" w:cs="Arial"/>
        </w:rPr>
      </w:pPr>
    </w:p>
    <w:p w:rsidR="00F120AB" w:rsidRDefault="00F120AB" w:rsidP="00F120AB">
      <w:pPr>
        <w:autoSpaceDE w:val="0"/>
        <w:autoSpaceDN w:val="0"/>
        <w:adjustRightInd w:val="0"/>
        <w:spacing w:after="0" w:line="240" w:lineRule="auto"/>
        <w:rPr>
          <w:rFonts w:ascii="NimbusSanL-Bold" w:hAnsi="NimbusSanL-Bold" w:cs="NimbusSanL-Bold"/>
          <w:b/>
          <w:bCs/>
          <w:sz w:val="24"/>
          <w:szCs w:val="24"/>
        </w:rPr>
      </w:pPr>
      <w:r>
        <w:rPr>
          <w:rFonts w:ascii="NimbusSanL-Bold" w:hAnsi="NimbusSanL-Bold" w:cs="NimbusSanL-Bold"/>
          <w:b/>
          <w:bCs/>
          <w:sz w:val="24"/>
          <w:szCs w:val="24"/>
        </w:rPr>
        <w:t>Misjoined scaffold alignments</w:t>
      </w:r>
    </w:p>
    <w:p w:rsidR="00F120AB" w:rsidRDefault="00F120AB" w:rsidP="00F120AB">
      <w:pPr>
        <w:autoSpaceDE w:val="0"/>
        <w:autoSpaceDN w:val="0"/>
        <w:adjustRightInd w:val="0"/>
        <w:spacing w:after="0" w:line="240" w:lineRule="auto"/>
        <w:jc w:val="both"/>
        <w:rPr>
          <w:rFonts w:ascii="NimbusSanL-Regu" w:hAnsi="NimbusSanL-Regu" w:cs="NimbusSanL-Regu"/>
        </w:rPr>
      </w:pPr>
      <w:r>
        <w:rPr>
          <w:rFonts w:ascii="NimbusSanL-Regu" w:hAnsi="NimbusSanL-Regu" w:cs="NimbusSanL-Regu"/>
        </w:rPr>
        <w:t xml:space="preserve">The following pages show alignments to the GRCh38 reference sequence for each of the scaffolds containing one of the 68 global misjoins listed in Table 1 for HiRise assembly (MERAC PE + HiRise 1.0). Alignments were performed with the BLAST 2.2.26 megablast command with word size 100 and minimum percent identity 99 </w:t>
      </w:r>
      <w:r>
        <w:rPr>
          <w:rFonts w:ascii="NimbusSanL-Regu" w:hAnsi="NimbusSanL-Regu" w:cs="NimbusSanL-Regu"/>
        </w:rPr>
        <w:fldChar w:fldCharType="begin"/>
      </w:r>
      <w:r>
        <w:rPr>
          <w:rFonts w:ascii="NimbusSanL-Regu" w:hAnsi="NimbusSanL-Regu" w:cs="NimbusSanL-Regu"/>
        </w:rPr>
        <w:instrText xml:space="preserve"> ADDIN EN.CITE &lt;EndNote&gt;&lt;Cite&gt;&lt;Author&gt;Camacho&lt;/Author&gt;&lt;Year&gt;2009&lt;/Year&gt;&lt;RecNum&gt;45&lt;/RecNum&gt;&lt;DisplayText&gt;(Camacho et al. 2009)&lt;/DisplayText&gt;&lt;record&gt;&lt;rec-number&gt;45&lt;/rec-number&gt;&lt;foreign-keys&gt;&lt;key app="EN" db-id="95swre59dvzrvvepp55509v9wd0rfadwzpr5" timestamp="1447553052"&gt;45&lt;/key&gt;&lt;/foreign-keys&gt;&lt;ref-type name="Journal Article"&gt;17&lt;/ref-type&gt;&lt;contributors&gt;&lt;authors&gt;&lt;author&gt;Camacho, C.&lt;/author&gt;&lt;author&gt;Coulouris, G.&lt;/author&gt;&lt;author&gt;Avagyan, V.&lt;/author&gt;&lt;author&gt;Ma, N.&lt;/author&gt;&lt;author&gt;Papadopoulos, J.&lt;/author&gt;&lt;author&gt;Bealer, K.&lt;/author&gt;&lt;author&gt;Madden, T. L.&lt;/author&gt;&lt;/authors&gt;&lt;/contributors&gt;&lt;auth-address&gt;National Center for Biotechnology Information, National Library of Medicine, National Institutes of Health, Building 38A, 8600 Rockville Pike, Bethesda, MD 20894, USA. camacho@ncbi.nlm.nih.gov&lt;/auth-address&gt;&lt;titles&gt;&lt;title&gt;BLAST+: architecture and applications&lt;/title&gt;&lt;secondary-title&gt;BMC Bioinformatics&lt;/secondary-title&gt;&lt;/titles&gt;&lt;periodical&gt;&lt;full-title&gt;BMC Bioinformatics&lt;/full-title&gt;&lt;/periodical&gt;&lt;pages&gt;421&lt;/pages&gt;&lt;volume&gt;10&lt;/volume&gt;&lt;keywords&gt;&lt;keyword&gt;Computational Biology/*methods&lt;/keyword&gt;&lt;keyword&gt;Databases, Genetic&lt;/keyword&gt;&lt;keyword&gt;Sequence Alignment&lt;/keyword&gt;&lt;keyword&gt;*Software&lt;/keyword&gt;&lt;/keywords&gt;&lt;dates&gt;&lt;year&gt;2009&lt;/year&gt;&lt;/dates&gt;&lt;isbn&gt;1471-2105 (Electronic)&amp;#xD;1471-2105 (Linking)&lt;/isbn&gt;&lt;accession-num&gt;20003500&lt;/accession-num&gt;&lt;urls&gt;&lt;related-urls&gt;&lt;url&gt;http://www.ncbi.nlm.nih.gov/pubmed/20003500&lt;/url&gt;&lt;/related-urls&gt;&lt;/urls&gt;&lt;custom2&gt;PMC2803857&lt;/custom2&gt;&lt;electronic-resource-num&gt;10.1186/1471-2105-10-421&lt;/electronic-resource-num&gt;&lt;/record&gt;&lt;/Cite&gt;&lt;/EndNote&gt;</w:instrText>
      </w:r>
      <w:r>
        <w:rPr>
          <w:rFonts w:ascii="NimbusSanL-Regu" w:hAnsi="NimbusSanL-Regu" w:cs="NimbusSanL-Regu"/>
        </w:rPr>
        <w:fldChar w:fldCharType="separate"/>
      </w:r>
      <w:r>
        <w:rPr>
          <w:rFonts w:ascii="NimbusSanL-Regu" w:hAnsi="NimbusSanL-Regu" w:cs="NimbusSanL-Regu"/>
          <w:noProof/>
        </w:rPr>
        <w:t>(Camacho et al. 2009)</w:t>
      </w:r>
      <w:r>
        <w:rPr>
          <w:rFonts w:ascii="NimbusSanL-Regu" w:hAnsi="NimbusSanL-Regu" w:cs="NimbusSanL-Regu"/>
        </w:rPr>
        <w:fldChar w:fldCharType="end"/>
      </w:r>
      <w:r>
        <w:rPr>
          <w:rFonts w:ascii="NimbusSanL-Regu" w:hAnsi="NimbusSanL-Regu" w:cs="NimbusSanL-Regu"/>
        </w:rPr>
        <w:t>.</w:t>
      </w:r>
    </w:p>
    <w:p w:rsidR="00F120AB" w:rsidRDefault="00F120AB" w:rsidP="00F120AB">
      <w:pPr>
        <w:autoSpaceDE w:val="0"/>
        <w:autoSpaceDN w:val="0"/>
        <w:adjustRightInd w:val="0"/>
        <w:spacing w:after="0" w:line="240" w:lineRule="auto"/>
        <w:jc w:val="both"/>
        <w:rPr>
          <w:rFonts w:ascii="NimbusSanL-Regu" w:hAnsi="NimbusSanL-Regu" w:cs="NimbusSanL-Regu"/>
        </w:rPr>
      </w:pP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4868545" cy="3496945"/>
            <wp:effectExtent l="0" t="0" r="8255"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68545" cy="349694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lastRenderedPageBreak/>
        <w:drawing>
          <wp:inline distT="0" distB="0" distL="0" distR="0">
            <wp:extent cx="4385945" cy="351345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5945" cy="351345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5943600" cy="284309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843099"/>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lastRenderedPageBreak/>
        <w:drawing>
          <wp:inline distT="0" distB="0" distL="0" distR="0">
            <wp:extent cx="2946400" cy="3581400"/>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46400" cy="3581400"/>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4385945" cy="3573145"/>
            <wp:effectExtent l="0" t="0" r="0" b="82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85945" cy="357314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lastRenderedPageBreak/>
        <w:drawing>
          <wp:inline distT="0" distB="0" distL="0" distR="0">
            <wp:extent cx="5943600" cy="3337427"/>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37427"/>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3378200" cy="351345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78200" cy="351345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lastRenderedPageBreak/>
        <w:drawing>
          <wp:inline distT="0" distB="0" distL="0" distR="0">
            <wp:extent cx="2946400" cy="3632200"/>
            <wp:effectExtent l="0" t="0" r="635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6400" cy="3632200"/>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3344545" cy="3488055"/>
            <wp:effectExtent l="0" t="0" r="825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44545" cy="348805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lastRenderedPageBreak/>
        <w:drawing>
          <wp:inline distT="0" distB="0" distL="0" distR="0">
            <wp:extent cx="3860800" cy="3547745"/>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60800" cy="354774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3378200" cy="354774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78200" cy="354774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lastRenderedPageBreak/>
        <w:drawing>
          <wp:inline distT="0" distB="0" distL="0" distR="0">
            <wp:extent cx="3403600" cy="3683000"/>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03600" cy="3683000"/>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3928745" cy="3556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928745" cy="3556000"/>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lastRenderedPageBreak/>
        <w:drawing>
          <wp:inline distT="0" distB="0" distL="0" distR="0">
            <wp:extent cx="5359400" cy="358140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9400" cy="3581400"/>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5943600" cy="3272033"/>
            <wp:effectExtent l="0" t="0" r="0" b="508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3272033"/>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lastRenderedPageBreak/>
        <w:drawing>
          <wp:inline distT="0" distB="0" distL="0" distR="0">
            <wp:extent cx="4318000" cy="3538855"/>
            <wp:effectExtent l="0" t="0" r="635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18000" cy="353885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rPr>
      </w:pPr>
      <w:r w:rsidRPr="00F120AB">
        <w:rPr>
          <w:rFonts w:ascii="NimbusSanL-Regu" w:hAnsi="NimbusSanL-Regu" w:cs="NimbusSanL-Regu"/>
          <w:noProof/>
        </w:rPr>
        <w:drawing>
          <wp:inline distT="0" distB="0" distL="0" distR="0">
            <wp:extent cx="3835400" cy="351345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35400" cy="3513455"/>
                    </a:xfrm>
                    <a:prstGeom prst="rect">
                      <a:avLst/>
                    </a:prstGeom>
                    <a:noFill/>
                    <a:ln>
                      <a:noFill/>
                    </a:ln>
                  </pic:spPr>
                </pic:pic>
              </a:graphicData>
            </a:graphic>
          </wp:inline>
        </w:drawing>
      </w:r>
    </w:p>
    <w:p w:rsidR="00F120AB" w:rsidRDefault="00F120AB" w:rsidP="00F120AB">
      <w:pPr>
        <w:autoSpaceDE w:val="0"/>
        <w:autoSpaceDN w:val="0"/>
        <w:adjustRightInd w:val="0"/>
        <w:spacing w:after="0" w:line="240" w:lineRule="auto"/>
        <w:jc w:val="both"/>
        <w:rPr>
          <w:rFonts w:ascii="NimbusSanL-Regu" w:hAnsi="NimbusSanL-Regu" w:cs="NimbusSanL-Regu"/>
          <w:b/>
        </w:rPr>
      </w:pPr>
    </w:p>
    <w:p w:rsidR="00252794" w:rsidRDefault="00252794" w:rsidP="00F120AB">
      <w:pPr>
        <w:autoSpaceDE w:val="0"/>
        <w:autoSpaceDN w:val="0"/>
        <w:adjustRightInd w:val="0"/>
        <w:spacing w:after="0" w:line="240" w:lineRule="auto"/>
        <w:jc w:val="both"/>
        <w:rPr>
          <w:rFonts w:ascii="NimbusSanL-Regu" w:hAnsi="NimbusSanL-Regu" w:cs="NimbusSanL-Regu"/>
          <w:b/>
        </w:rPr>
      </w:pPr>
    </w:p>
    <w:p w:rsidR="00252794" w:rsidRDefault="00252794" w:rsidP="00F120AB">
      <w:pPr>
        <w:autoSpaceDE w:val="0"/>
        <w:autoSpaceDN w:val="0"/>
        <w:adjustRightInd w:val="0"/>
        <w:spacing w:after="0" w:line="240" w:lineRule="auto"/>
        <w:jc w:val="both"/>
        <w:rPr>
          <w:rFonts w:ascii="NimbusSanL-Regu" w:hAnsi="NimbusSanL-Regu" w:cs="NimbusSanL-Regu"/>
          <w:b/>
        </w:rPr>
      </w:pPr>
    </w:p>
    <w:p w:rsidR="00252794" w:rsidRDefault="00252794" w:rsidP="00F120AB">
      <w:pPr>
        <w:autoSpaceDE w:val="0"/>
        <w:autoSpaceDN w:val="0"/>
        <w:adjustRightInd w:val="0"/>
        <w:spacing w:after="0" w:line="240" w:lineRule="auto"/>
        <w:jc w:val="both"/>
        <w:rPr>
          <w:rFonts w:ascii="NimbusSanL-Regu" w:hAnsi="NimbusSanL-Regu" w:cs="NimbusSanL-Regu"/>
          <w:b/>
        </w:rPr>
      </w:pPr>
    </w:p>
    <w:p w:rsidR="00252794" w:rsidRDefault="00252794" w:rsidP="00F120AB">
      <w:pPr>
        <w:autoSpaceDE w:val="0"/>
        <w:autoSpaceDN w:val="0"/>
        <w:adjustRightInd w:val="0"/>
        <w:spacing w:after="0" w:line="240" w:lineRule="auto"/>
        <w:jc w:val="both"/>
        <w:rPr>
          <w:rFonts w:ascii="NimbusSanL-Regu" w:hAnsi="NimbusSanL-Regu" w:cs="NimbusSanL-Regu"/>
          <w:b/>
        </w:rPr>
      </w:pPr>
    </w:p>
    <w:p w:rsidR="00252794" w:rsidRDefault="00252794" w:rsidP="00F120AB">
      <w:pPr>
        <w:autoSpaceDE w:val="0"/>
        <w:autoSpaceDN w:val="0"/>
        <w:adjustRightInd w:val="0"/>
        <w:spacing w:after="0" w:line="240" w:lineRule="auto"/>
        <w:jc w:val="both"/>
        <w:rPr>
          <w:rFonts w:ascii="NimbusSanL-Regu" w:hAnsi="NimbusSanL-Regu" w:cs="NimbusSanL-Regu"/>
          <w:b/>
        </w:rPr>
      </w:pPr>
    </w:p>
    <w:p w:rsidR="00252794" w:rsidRDefault="00252794" w:rsidP="00F120AB">
      <w:pPr>
        <w:autoSpaceDE w:val="0"/>
        <w:autoSpaceDN w:val="0"/>
        <w:adjustRightInd w:val="0"/>
        <w:spacing w:after="0" w:line="240" w:lineRule="auto"/>
        <w:jc w:val="both"/>
        <w:rPr>
          <w:rFonts w:ascii="NimbusSanL-Regu" w:hAnsi="NimbusSanL-Regu" w:cs="NimbusSanL-Regu"/>
          <w:b/>
        </w:rPr>
      </w:pPr>
    </w:p>
    <w:p w:rsidR="00F120AB" w:rsidRPr="00F120AB" w:rsidRDefault="00F120AB" w:rsidP="00F120AB">
      <w:pPr>
        <w:autoSpaceDE w:val="0"/>
        <w:autoSpaceDN w:val="0"/>
        <w:adjustRightInd w:val="0"/>
        <w:spacing w:after="0" w:line="240" w:lineRule="auto"/>
        <w:jc w:val="both"/>
        <w:rPr>
          <w:rFonts w:ascii="NimbusSanL-Regu" w:hAnsi="NimbusSanL-Regu" w:cs="NimbusSanL-Regu"/>
          <w:b/>
        </w:rPr>
      </w:pPr>
      <w:r>
        <w:rPr>
          <w:rFonts w:ascii="NimbusSanL-Regu" w:hAnsi="NimbusSanL-Regu" w:cs="NimbusSanL-Regu"/>
          <w:b/>
        </w:rPr>
        <w:lastRenderedPageBreak/>
        <w:t>References</w:t>
      </w:r>
    </w:p>
    <w:p w:rsidR="00F120AB" w:rsidRPr="00F120AB" w:rsidRDefault="00F120AB" w:rsidP="00F120AB">
      <w:pPr>
        <w:pStyle w:val="EndNoteBibliography"/>
        <w:spacing w:after="0"/>
        <w:ind w:left="720" w:hanging="720"/>
      </w:pPr>
      <w:r>
        <w:rPr>
          <w:rFonts w:ascii="NimbusSanL-Regu" w:hAnsi="NimbusSanL-Regu" w:cs="NimbusSanL-Regu"/>
        </w:rPr>
        <w:fldChar w:fldCharType="begin"/>
      </w:r>
      <w:r>
        <w:rPr>
          <w:rFonts w:ascii="NimbusSanL-Regu" w:hAnsi="NimbusSanL-Regu" w:cs="NimbusSanL-Regu"/>
        </w:rPr>
        <w:instrText xml:space="preserve"> ADDIN EN.REFLIST </w:instrText>
      </w:r>
      <w:r>
        <w:rPr>
          <w:rFonts w:ascii="NimbusSanL-Regu" w:hAnsi="NimbusSanL-Regu" w:cs="NimbusSanL-Regu"/>
        </w:rPr>
        <w:fldChar w:fldCharType="separate"/>
      </w:r>
      <w:r w:rsidRPr="00F120AB">
        <w:t xml:space="preserve">Camacho C, Coulouris G, Avagyan V, Ma N, Papadopoulos J, Bealer K, Madden TL. 2009. BLAST+: architecture and applications. </w:t>
      </w:r>
      <w:r w:rsidRPr="00F120AB">
        <w:rPr>
          <w:i/>
        </w:rPr>
        <w:t>BMC Bioinformatics</w:t>
      </w:r>
      <w:r w:rsidRPr="00F120AB">
        <w:t xml:space="preserve"> </w:t>
      </w:r>
      <w:r w:rsidRPr="00F120AB">
        <w:rPr>
          <w:b/>
        </w:rPr>
        <w:t>10</w:t>
      </w:r>
      <w:r w:rsidRPr="00F120AB">
        <w:t>: 421.</w:t>
      </w:r>
    </w:p>
    <w:p w:rsidR="00F120AB" w:rsidRPr="00F120AB" w:rsidRDefault="00F120AB" w:rsidP="00F120AB">
      <w:pPr>
        <w:pStyle w:val="EndNoteBibliography"/>
        <w:ind w:left="720" w:hanging="720"/>
      </w:pPr>
      <w:r w:rsidRPr="00F120AB">
        <w:t xml:space="preserve">Kalhor R, Tjong H, Jayathilaka N, Alber F, Chen L. 2012. Genome architectures revealed by tethered chromosome conformation capture and population-based modeling. </w:t>
      </w:r>
      <w:r w:rsidRPr="00F120AB">
        <w:rPr>
          <w:i/>
        </w:rPr>
        <w:t>Nat Biotechnol</w:t>
      </w:r>
      <w:r w:rsidRPr="00F120AB">
        <w:t xml:space="preserve"> </w:t>
      </w:r>
      <w:r w:rsidRPr="00F120AB">
        <w:rPr>
          <w:b/>
        </w:rPr>
        <w:t>30</w:t>
      </w:r>
      <w:r w:rsidRPr="00F120AB">
        <w:t>: 90-98.</w:t>
      </w:r>
    </w:p>
    <w:p w:rsidR="00F120AB" w:rsidRPr="00F120AB" w:rsidRDefault="00F120AB" w:rsidP="00F120AB">
      <w:pPr>
        <w:autoSpaceDE w:val="0"/>
        <w:autoSpaceDN w:val="0"/>
        <w:adjustRightInd w:val="0"/>
        <w:spacing w:after="0" w:line="240" w:lineRule="auto"/>
        <w:jc w:val="both"/>
        <w:rPr>
          <w:rFonts w:ascii="NimbusSanL-Regu" w:hAnsi="NimbusSanL-Regu" w:cs="NimbusSanL-Regu"/>
        </w:rPr>
      </w:pPr>
      <w:r>
        <w:rPr>
          <w:rFonts w:ascii="NimbusSanL-Regu" w:hAnsi="NimbusSanL-Regu" w:cs="NimbusSanL-Regu"/>
        </w:rPr>
        <w:fldChar w:fldCharType="end"/>
      </w:r>
    </w:p>
    <w:sectPr w:rsidR="00F120AB" w:rsidRPr="00F12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0AFF" w:usb1="00007843" w:usb2="00000001" w:usb3="00000000" w:csb0="000001BF" w:csb1="00000000"/>
  </w:font>
  <w:font w:name="Arial">
    <w:panose1 w:val="020B0604020202020204"/>
    <w:charset w:val="00"/>
    <w:family w:val="swiss"/>
    <w:pitch w:val="variable"/>
    <w:sig w:usb0="E0002AFF" w:usb1="C0007843" w:usb2="00000009" w:usb3="00000000" w:csb0="000001FF" w:csb1="00000000"/>
  </w:font>
  <w:font w:name="NimbusSanL-Bold">
    <w:panose1 w:val="00000000000000000000"/>
    <w:charset w:val="00"/>
    <w:family w:val="swiss"/>
    <w:notTrueType/>
    <w:pitch w:val="default"/>
    <w:sig w:usb0="00000003" w:usb1="00000000" w:usb2="00000000" w:usb3="00000000" w:csb0="00000001" w:csb1="00000000"/>
  </w:font>
  <w:font w:name="NimbusSanL-Regu">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5swre59dvzrvvepp55509v9wd0rfadwzpr5&quot;&gt;chicago-refs&lt;record-ids&gt;&lt;item&gt;31&lt;/item&gt;&lt;item&gt;45&lt;/item&gt;&lt;/record-ids&gt;&lt;/item&gt;&lt;/Libraries&gt;"/>
  </w:docVars>
  <w:rsids>
    <w:rsidRoot w:val="004A0D23"/>
    <w:rsid w:val="00001A38"/>
    <w:rsid w:val="00015BDB"/>
    <w:rsid w:val="00044339"/>
    <w:rsid w:val="00044937"/>
    <w:rsid w:val="0004689A"/>
    <w:rsid w:val="000630DA"/>
    <w:rsid w:val="000653D6"/>
    <w:rsid w:val="00067AF3"/>
    <w:rsid w:val="000769B8"/>
    <w:rsid w:val="000839A1"/>
    <w:rsid w:val="00084232"/>
    <w:rsid w:val="000900D6"/>
    <w:rsid w:val="000A7FF1"/>
    <w:rsid w:val="000C1AC5"/>
    <w:rsid w:val="000E03AF"/>
    <w:rsid w:val="000E1594"/>
    <w:rsid w:val="000E228C"/>
    <w:rsid w:val="000E708B"/>
    <w:rsid w:val="000F1C52"/>
    <w:rsid w:val="000F24EB"/>
    <w:rsid w:val="000F6449"/>
    <w:rsid w:val="000F66D9"/>
    <w:rsid w:val="0010332B"/>
    <w:rsid w:val="00125673"/>
    <w:rsid w:val="001374F1"/>
    <w:rsid w:val="00150957"/>
    <w:rsid w:val="00162AF1"/>
    <w:rsid w:val="001755FC"/>
    <w:rsid w:val="00184836"/>
    <w:rsid w:val="001A0144"/>
    <w:rsid w:val="001B11D7"/>
    <w:rsid w:val="001D3F57"/>
    <w:rsid w:val="001D77CB"/>
    <w:rsid w:val="001F27B2"/>
    <w:rsid w:val="002054EF"/>
    <w:rsid w:val="002060D2"/>
    <w:rsid w:val="00210684"/>
    <w:rsid w:val="0022204F"/>
    <w:rsid w:val="0022219C"/>
    <w:rsid w:val="00223B93"/>
    <w:rsid w:val="00227390"/>
    <w:rsid w:val="002427E1"/>
    <w:rsid w:val="00252794"/>
    <w:rsid w:val="00252E2B"/>
    <w:rsid w:val="002611AB"/>
    <w:rsid w:val="002767B1"/>
    <w:rsid w:val="00277CC1"/>
    <w:rsid w:val="00290F49"/>
    <w:rsid w:val="002A5A49"/>
    <w:rsid w:val="002B1E1F"/>
    <w:rsid w:val="002C6014"/>
    <w:rsid w:val="002D4893"/>
    <w:rsid w:val="002E007C"/>
    <w:rsid w:val="002F4826"/>
    <w:rsid w:val="002F6889"/>
    <w:rsid w:val="002F6C03"/>
    <w:rsid w:val="0031516C"/>
    <w:rsid w:val="003358AA"/>
    <w:rsid w:val="00335DD2"/>
    <w:rsid w:val="003449ED"/>
    <w:rsid w:val="003519CC"/>
    <w:rsid w:val="0035613A"/>
    <w:rsid w:val="0036251F"/>
    <w:rsid w:val="00384141"/>
    <w:rsid w:val="003872FD"/>
    <w:rsid w:val="0039129C"/>
    <w:rsid w:val="00394B50"/>
    <w:rsid w:val="0039660A"/>
    <w:rsid w:val="003A1F9C"/>
    <w:rsid w:val="003B3A01"/>
    <w:rsid w:val="003B6D3C"/>
    <w:rsid w:val="003D3ACD"/>
    <w:rsid w:val="003D6097"/>
    <w:rsid w:val="003F0F33"/>
    <w:rsid w:val="00411432"/>
    <w:rsid w:val="004223E9"/>
    <w:rsid w:val="00423D37"/>
    <w:rsid w:val="00457A43"/>
    <w:rsid w:val="004706B9"/>
    <w:rsid w:val="0048049E"/>
    <w:rsid w:val="004A07A5"/>
    <w:rsid w:val="004A0D23"/>
    <w:rsid w:val="004B044D"/>
    <w:rsid w:val="004B53CF"/>
    <w:rsid w:val="004C5BB3"/>
    <w:rsid w:val="004D3BC3"/>
    <w:rsid w:val="004D5249"/>
    <w:rsid w:val="004D6058"/>
    <w:rsid w:val="004F076B"/>
    <w:rsid w:val="005009BE"/>
    <w:rsid w:val="0051096D"/>
    <w:rsid w:val="00542998"/>
    <w:rsid w:val="00572465"/>
    <w:rsid w:val="005855DA"/>
    <w:rsid w:val="00590943"/>
    <w:rsid w:val="00596E45"/>
    <w:rsid w:val="005A7979"/>
    <w:rsid w:val="005B15CE"/>
    <w:rsid w:val="005D1D5B"/>
    <w:rsid w:val="005D464B"/>
    <w:rsid w:val="005E3CF7"/>
    <w:rsid w:val="005E48A8"/>
    <w:rsid w:val="006064A1"/>
    <w:rsid w:val="00653BFE"/>
    <w:rsid w:val="006562F4"/>
    <w:rsid w:val="00664EF4"/>
    <w:rsid w:val="006848B3"/>
    <w:rsid w:val="00692BE5"/>
    <w:rsid w:val="00722E36"/>
    <w:rsid w:val="00746226"/>
    <w:rsid w:val="00757726"/>
    <w:rsid w:val="0077389B"/>
    <w:rsid w:val="007A523A"/>
    <w:rsid w:val="007B6CD8"/>
    <w:rsid w:val="007C0E26"/>
    <w:rsid w:val="007C1A2E"/>
    <w:rsid w:val="007C5A08"/>
    <w:rsid w:val="007E121E"/>
    <w:rsid w:val="007E1FC5"/>
    <w:rsid w:val="007F079C"/>
    <w:rsid w:val="007F1A68"/>
    <w:rsid w:val="007F749E"/>
    <w:rsid w:val="0080132D"/>
    <w:rsid w:val="008023D8"/>
    <w:rsid w:val="00817943"/>
    <w:rsid w:val="00843FA9"/>
    <w:rsid w:val="00846AFF"/>
    <w:rsid w:val="00852572"/>
    <w:rsid w:val="0087040E"/>
    <w:rsid w:val="00895688"/>
    <w:rsid w:val="008A06FB"/>
    <w:rsid w:val="008D08CA"/>
    <w:rsid w:val="008F2AD1"/>
    <w:rsid w:val="009010C7"/>
    <w:rsid w:val="00905C11"/>
    <w:rsid w:val="00911F5D"/>
    <w:rsid w:val="00915766"/>
    <w:rsid w:val="00925D86"/>
    <w:rsid w:val="00941F70"/>
    <w:rsid w:val="00972D86"/>
    <w:rsid w:val="00995E3E"/>
    <w:rsid w:val="009A3290"/>
    <w:rsid w:val="009B2DBF"/>
    <w:rsid w:val="009B6332"/>
    <w:rsid w:val="009C2BE3"/>
    <w:rsid w:val="009E512B"/>
    <w:rsid w:val="00A06449"/>
    <w:rsid w:val="00A10602"/>
    <w:rsid w:val="00A15BD1"/>
    <w:rsid w:val="00A42863"/>
    <w:rsid w:val="00A45CC2"/>
    <w:rsid w:val="00A463D6"/>
    <w:rsid w:val="00A638E6"/>
    <w:rsid w:val="00A834E1"/>
    <w:rsid w:val="00A93C19"/>
    <w:rsid w:val="00A960CE"/>
    <w:rsid w:val="00AA687E"/>
    <w:rsid w:val="00AB7229"/>
    <w:rsid w:val="00AC52EB"/>
    <w:rsid w:val="00AD0A55"/>
    <w:rsid w:val="00AD1514"/>
    <w:rsid w:val="00AE0235"/>
    <w:rsid w:val="00AE36BC"/>
    <w:rsid w:val="00B12D85"/>
    <w:rsid w:val="00B147EC"/>
    <w:rsid w:val="00B2459B"/>
    <w:rsid w:val="00B4226D"/>
    <w:rsid w:val="00B44D7E"/>
    <w:rsid w:val="00B677B7"/>
    <w:rsid w:val="00B7271C"/>
    <w:rsid w:val="00B73542"/>
    <w:rsid w:val="00B81E8A"/>
    <w:rsid w:val="00B83489"/>
    <w:rsid w:val="00BE2890"/>
    <w:rsid w:val="00BE5FC0"/>
    <w:rsid w:val="00C000F7"/>
    <w:rsid w:val="00C01EFB"/>
    <w:rsid w:val="00C0206A"/>
    <w:rsid w:val="00C32597"/>
    <w:rsid w:val="00C369EF"/>
    <w:rsid w:val="00C8173B"/>
    <w:rsid w:val="00CA22FD"/>
    <w:rsid w:val="00CA5349"/>
    <w:rsid w:val="00CA6262"/>
    <w:rsid w:val="00CE3E38"/>
    <w:rsid w:val="00CE6165"/>
    <w:rsid w:val="00CE67E0"/>
    <w:rsid w:val="00D61E77"/>
    <w:rsid w:val="00D65CDC"/>
    <w:rsid w:val="00D66D24"/>
    <w:rsid w:val="00D82782"/>
    <w:rsid w:val="00DB0A99"/>
    <w:rsid w:val="00DB2789"/>
    <w:rsid w:val="00DD4A57"/>
    <w:rsid w:val="00E238A2"/>
    <w:rsid w:val="00E3341C"/>
    <w:rsid w:val="00E61B13"/>
    <w:rsid w:val="00E8285B"/>
    <w:rsid w:val="00E857B3"/>
    <w:rsid w:val="00EB1C0B"/>
    <w:rsid w:val="00EC04EC"/>
    <w:rsid w:val="00EC5C65"/>
    <w:rsid w:val="00EC7BEA"/>
    <w:rsid w:val="00EE2594"/>
    <w:rsid w:val="00EE4011"/>
    <w:rsid w:val="00EF379E"/>
    <w:rsid w:val="00F00848"/>
    <w:rsid w:val="00F120AB"/>
    <w:rsid w:val="00F27512"/>
    <w:rsid w:val="00F31CE9"/>
    <w:rsid w:val="00F5429F"/>
    <w:rsid w:val="00F640BE"/>
    <w:rsid w:val="00F83EED"/>
    <w:rsid w:val="00F876EC"/>
    <w:rsid w:val="00F911A7"/>
    <w:rsid w:val="00F92CDD"/>
    <w:rsid w:val="00FB53C4"/>
    <w:rsid w:val="00FD2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759568-6281-4C80-89BC-CF61050E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0D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D23"/>
    <w:pPr>
      <w:ind w:left="720"/>
      <w:contextualSpacing/>
    </w:pPr>
  </w:style>
  <w:style w:type="table" w:styleId="TableGrid">
    <w:name w:val="Table Grid"/>
    <w:basedOn w:val="TableNormal"/>
    <w:uiPriority w:val="39"/>
    <w:rsid w:val="004A0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120A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120AB"/>
    <w:rPr>
      <w:rFonts w:ascii="Calibri" w:hAnsi="Calibri"/>
      <w:noProof/>
    </w:rPr>
  </w:style>
  <w:style w:type="paragraph" w:customStyle="1" w:styleId="EndNoteBibliography">
    <w:name w:val="EndNote Bibliography"/>
    <w:basedOn w:val="Normal"/>
    <w:link w:val="EndNoteBibliographyChar"/>
    <w:rsid w:val="00F120AB"/>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F120AB"/>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image" Target="media/image23.emf"/><Relationship Id="rId3" Type="http://schemas.openxmlformats.org/officeDocument/2006/relationships/webSettings" Target="webSettings.xml"/><Relationship Id="rId21" Type="http://schemas.openxmlformats.org/officeDocument/2006/relationships/image" Target="media/image18.emf"/><Relationship Id="rId7" Type="http://schemas.openxmlformats.org/officeDocument/2006/relationships/image" Target="media/image4.png"/><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image" Target="media/image22.emf"/><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emf"/><Relationship Id="rId24" Type="http://schemas.openxmlformats.org/officeDocument/2006/relationships/image" Target="media/image21.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28" Type="http://schemas.openxmlformats.org/officeDocument/2006/relationships/theme" Target="theme/theme1.xml"/><Relationship Id="rId10" Type="http://schemas.openxmlformats.org/officeDocument/2006/relationships/image" Target="media/image7.emf"/><Relationship Id="rId19" Type="http://schemas.openxmlformats.org/officeDocument/2006/relationships/image" Target="media/image16.emf"/><Relationship Id="rId4" Type="http://schemas.openxmlformats.org/officeDocument/2006/relationships/image" Target="media/image1.png"/><Relationship Id="rId9" Type="http://schemas.openxmlformats.org/officeDocument/2006/relationships/image" Target="media/image6.emf"/><Relationship Id="rId14" Type="http://schemas.openxmlformats.org/officeDocument/2006/relationships/image" Target="media/image11.emf"/><Relationship Id="rId22" Type="http://schemas.openxmlformats.org/officeDocument/2006/relationships/image" Target="media/image19.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Green</dc:creator>
  <cp:keywords/>
  <dc:description/>
  <cp:lastModifiedBy>Ed Green</cp:lastModifiedBy>
  <cp:revision>3</cp:revision>
  <dcterms:created xsi:type="dcterms:W3CDTF">2015-11-15T21:08:00Z</dcterms:created>
  <dcterms:modified xsi:type="dcterms:W3CDTF">2015-11-17T04:08:00Z</dcterms:modified>
</cp:coreProperties>
</file>