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DC6" w:rsidRPr="00672A03" w:rsidRDefault="00D31DC6">
      <w:pPr>
        <w:rPr>
          <w:b/>
          <w:sz w:val="24"/>
          <w:szCs w:val="24"/>
        </w:rPr>
      </w:pPr>
      <w:bookmarkStart w:id="0" w:name="_GoBack"/>
      <w:bookmarkEnd w:id="0"/>
      <w:r w:rsidRPr="00672A03">
        <w:rPr>
          <w:b/>
          <w:sz w:val="24"/>
          <w:szCs w:val="24"/>
        </w:rPr>
        <w:t>Supplementary figures and tables</w:t>
      </w:r>
    </w:p>
    <w:p w:rsidR="00D31DC6" w:rsidRDefault="00D31DC6"/>
    <w:p w:rsidR="00D31DC6" w:rsidRDefault="00D31DC6"/>
    <w:p w:rsidR="00D31DC6" w:rsidRDefault="00D31DC6"/>
    <w:p w:rsidR="00D31DC6" w:rsidRDefault="00D31DC6"/>
    <w:p w:rsidR="00D31DC6" w:rsidRDefault="00D31DC6"/>
    <w:p w:rsidR="008E702A" w:rsidRDefault="00672A03">
      <w:r>
        <w:rPr>
          <w:noProof/>
        </w:rPr>
        <w:pict>
          <v:shapetype id="_x0000_t202" coordsize="21600,21600" o:spt="202" path="m,l,21600r21600,l21600,xe">
            <v:stroke joinstyle="miter"/>
            <v:path gradientshapeok="t" o:connecttype="rect"/>
          </v:shapetype>
          <v:shape id="TextBox 7" o:spid="_x0000_s1032" type="#_x0000_t202" style="position:absolute;margin-left:211.2pt;margin-top:-44.7pt;width:24.2pt;height:29.15pt;z-index:25166540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PpdMMA&#10;AADaAAAADwAAAGRycy9kb3ducmV2LnhtbESP0WrCQBRE3wv9h+UWfGs2ihZNXaVEBd9s037AJXub&#10;TZO9G7JrjH69Wyj0cZiZM8x6O9pWDNT72rGCaZKCIC6drrlS8PV5eF6C8AFZY+uYFFzJw3bz+LDG&#10;TLsLf9BQhEpECPsMFZgQukxKXxqy6BPXEUfv2/UWQ5R9JXWPlwi3rZyl6Yu0WHNcMNhRbqhsirNV&#10;sEztqWlWs3dv57fpwuQ7t+9+lJo8jW+vIAKN4T/81z5qBSv4vRJv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PpdMMAAADaAAAADwAAAAAAAAAAAAAAAACYAgAAZHJzL2Rv&#10;d25yZXYueG1sUEsFBgAAAAAEAAQA9QAAAIgDAAAAAA==&#10;" filled="f" stroked="f">
            <v:textbox style="mso-next-textbox:#TextBox 7;mso-fit-shape-to-text:t">
              <w:txbxContent>
                <w:p w:rsidR="008E702A" w:rsidRDefault="008E702A" w:rsidP="008E702A">
                  <w:pPr>
                    <w:pStyle w:val="a5"/>
                    <w:spacing w:before="0" w:beforeAutospacing="0" w:after="0" w:afterAutospacing="0"/>
                  </w:pPr>
                  <w:r>
                    <w:rPr>
                      <w:rFonts w:asciiTheme="minorHAnsi" w:hAnsi="Calibri" w:cstheme="minorBidi"/>
                      <w:color w:val="000000" w:themeColor="text1"/>
                      <w:kern w:val="24"/>
                      <w:sz w:val="36"/>
                      <w:szCs w:val="36"/>
                    </w:rPr>
                    <w:t>B</w:t>
                  </w:r>
                </w:p>
              </w:txbxContent>
            </v:textbox>
          </v:shape>
        </w:pict>
      </w:r>
      <w:r>
        <w:rPr>
          <w:noProof/>
        </w:rPr>
        <w:pict>
          <v:shape id="TextBox 6" o:spid="_x0000_s1031" type="#_x0000_t202" style="position:absolute;margin-left:-73.05pt;margin-top:-44.7pt;width:25pt;height:29.1pt;z-index:2516643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9M78IA&#10;AADaAAAADwAAAGRycy9kb3ducmV2LnhtbESP0WrCQBRE3wv9h+UKvtVNxBYbXUOxCn1r1X7AJXvN&#10;xmTvhuw2iX59t1DwcZg5M8w6H20jeup85VhBOktAEBdOV1wq+D7tn5YgfEDW2DgmBVfykG8eH9aY&#10;aTfwgfpjKEUsYZ+hAhNCm0npC0MW/cy1xNE7u85iiLIrpe5wiOW2kfMkeZEWK44LBlvaGirq449V&#10;sEzsZ12/zr+8XdzSZ7N9d7v2otR0Mr6tQAQawz38T3/oyMHflX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n0zvwgAAANoAAAAPAAAAAAAAAAAAAAAAAJgCAABkcnMvZG93&#10;bnJldi54bWxQSwUGAAAAAAQABAD1AAAAhwMAAAAA&#10;" filled="f" stroked="f">
            <v:textbox style="mso-next-textbox:#TextBox 6;mso-fit-shape-to-text:t">
              <w:txbxContent>
                <w:p w:rsidR="008E702A" w:rsidRDefault="008E702A" w:rsidP="008E702A">
                  <w:pPr>
                    <w:pStyle w:val="a5"/>
                    <w:spacing w:before="0" w:beforeAutospacing="0" w:after="0" w:afterAutospacing="0"/>
                  </w:pPr>
                  <w:r>
                    <w:rPr>
                      <w:rFonts w:asciiTheme="minorHAnsi" w:hAnsi="Calibri" w:cstheme="minorBidi"/>
                      <w:color w:val="000000" w:themeColor="text1"/>
                      <w:kern w:val="24"/>
                      <w:sz w:val="36"/>
                      <w:szCs w:val="36"/>
                    </w:rPr>
                    <w:t>A</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alt="fig3_to_R_merge_sign_in.png" style="position:absolute;margin-left:231pt;margin-top:-36.15pt;width:244.45pt;height:122.5pt;z-index:25166336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E+93EAAAA2gAAAA8AAABkcnMvZG93bnJldi54bWxEj0FrwkAUhO+C/2F5Qm91Y8Eq0VVEEIJC&#10;obaIx2f2maxm36bZrYn/3i0UPA4z8w0zX3a2EjdqvHGsYDRMQBDnThsuFHx/bV6nIHxA1lg5JgV3&#10;8rBc9HtzTLVr+ZNu+1CICGGfooIyhDqV0uclWfRDVxNH7+waiyHKppC6wTbCbSXfkuRdWjQcF0qs&#10;aV1Sft3/WgXb7DhuT2uTnSYfP+YwOlx2591FqZdBt5qBCNSFZ/i/nWkFE/i7Em+AXD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DE+93EAAAA2gAAAA8AAAAAAAAAAAAAAAAA&#10;nwIAAGRycy9kb3ducmV2LnhtbFBLBQYAAAAABAAEAPcAAACQAwAAAAA=&#10;">
            <v:imagedata r:id="rId6" o:title="fig3_to_R_merge_sign_in"/>
            <v:path arrowok="t"/>
          </v:shape>
        </w:pict>
      </w:r>
      <w:r>
        <w:rPr>
          <w:noProof/>
        </w:rPr>
        <w:pict>
          <v:shape id="Picture 4" o:spid="_x0000_s1029" type="#_x0000_t75" alt="Ex fig1B.png" style="position:absolute;margin-left:-48.05pt;margin-top:-36.15pt;width:244.5pt;height:122.5pt;z-index:25166233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2sJDCAAAA2gAAAA8AAABkcnMvZG93bnJldi54bWxEj0GLwjAUhO8L/ofwBG9rqgeRahTRXREU&#10;llURvD2aZ1ttXmoTNf57s7DgcZiZb5jxNJhK3KlxpWUFvW4CgjizuuRcwX73/TkE4TyyxsoyKXiS&#10;g+mk9THGVNsH/9J963MRIexSVFB4X6dSuqwgg65ra+LonWxj0EfZ5FI3+IhwU8l+kgykwZLjQoE1&#10;zQvKLtubUbA4XjcHv7Qbt/zZX7PjVzDrc1Cq0w6zEQhPwb/D/+2VVjCAvyvxBsjJ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NrCQwgAAANoAAAAPAAAAAAAAAAAAAAAAAJ8C&#10;AABkcnMvZG93bnJldi54bWxQSwUGAAAAAAQABAD3AAAAjgMAAAAA&#10;">
            <v:imagedata r:id="rId7" o:title="Ex fig1B"/>
            <v:path arrowok="t"/>
          </v:shape>
        </w:pict>
      </w:r>
    </w:p>
    <w:p w:rsidR="008E702A" w:rsidRPr="008E702A" w:rsidRDefault="008E702A" w:rsidP="008E702A"/>
    <w:p w:rsidR="008E702A" w:rsidRPr="008E702A" w:rsidRDefault="008E702A" w:rsidP="008E702A"/>
    <w:p w:rsidR="008E702A" w:rsidRPr="008E702A" w:rsidRDefault="008E702A" w:rsidP="008E702A"/>
    <w:p w:rsidR="008E702A" w:rsidRPr="008E702A" w:rsidRDefault="008E702A" w:rsidP="008E702A"/>
    <w:p w:rsidR="008E702A" w:rsidRPr="008E702A" w:rsidRDefault="00237BA5" w:rsidP="008E702A">
      <w:r>
        <w:rPr>
          <w:noProof/>
        </w:rPr>
        <w:drawing>
          <wp:anchor distT="0" distB="0" distL="114300" distR="114300" simplePos="0" relativeHeight="251669504" behindDoc="0" locked="0" layoutInCell="1" allowOverlap="1" wp14:anchorId="7D4AEC04" wp14:editId="3E4D544F">
            <wp:simplePos x="0" y="0"/>
            <wp:positionH relativeFrom="column">
              <wp:posOffset>-595630</wp:posOffset>
            </wp:positionH>
            <wp:positionV relativeFrom="paragraph">
              <wp:posOffset>300355</wp:posOffset>
            </wp:positionV>
            <wp:extent cx="3347085" cy="1305560"/>
            <wp:effectExtent l="0" t="0" r="0" b="0"/>
            <wp:wrapTopAndBottom/>
            <wp:docPr id="3" name="Рисунок 3" descr="C:\VOVA\Users\Vova\study\Apobec\ms\Nature draft\Apobec v3\APO_9d\Final lap\lap final\Science trans medicine\Response\fig3_to_R_merge_sign_he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VOVA\Users\Vova\study\Apobec\ms\Nature draft\Apobec v3\APO_9d\Final lap\lap final\Science trans medicine\Response\fig3_to_R_merge_sign_hel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7085" cy="1305560"/>
                    </a:xfrm>
                    <a:prstGeom prst="rect">
                      <a:avLst/>
                    </a:prstGeom>
                    <a:noFill/>
                    <a:ln>
                      <a:noFill/>
                    </a:ln>
                  </pic:spPr>
                </pic:pic>
              </a:graphicData>
            </a:graphic>
            <wp14:sizeRelH relativeFrom="page">
              <wp14:pctWidth>0</wp14:pctWidth>
            </wp14:sizeRelH>
            <wp14:sizeRelV relativeFrom="page">
              <wp14:pctHeight>0</wp14:pctHeight>
            </wp14:sizeRelV>
          </wp:anchor>
        </w:drawing>
      </w:r>
      <w:r w:rsidR="00672A03">
        <w:rPr>
          <w:noProof/>
        </w:rPr>
        <w:pict>
          <v:shape id="Picture 1" o:spid="_x0000_s1027" type="#_x0000_t75" alt="bin_verification.png" style="position:absolute;margin-left:230.95pt;margin-top:12.85pt;width:244.5pt;height:122.45pt;z-index:251660288;visibility:visible;mso-position-horizontal-relative:text;mso-position-vertical-relative:text"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ak3CAAAA2gAAAA8AAABkcnMvZG93bnJldi54bWxEj0+LwjAUxO8LfofwBG9rqoKs1SgiKIKy&#10;4p+Dx0fybIvNS22i1m+/EYQ9DjPzG2Yya2wpHlT7wrGCXjcBQaydKThTcDouv39A+IBssHRMCl7k&#10;YTZtfU0wNe7Je3ocQiYihH2KCvIQqlRKr3Oy6LuuIo7exdUWQ5R1Jk2Nzwi3pewnyVBaLDgu5FjR&#10;Iid9PdytgmRz1MV2N2q2l19cVbovb/68U6rTbuZjEIGa8B/+tNdGwQDeV+INkNM/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w/mpNwgAAANoAAAAPAAAAAAAAAAAAAAAAAJ8C&#10;AABkcnMvZG93bnJldi54bWxQSwUGAAAAAAQABAD3AAAAjgMAAAAA&#10;">
            <v:imagedata r:id="rId9" o:title="bin_verification"/>
            <v:path arrowok="t"/>
          </v:shape>
        </w:pict>
      </w:r>
      <w:r w:rsidR="00672A03">
        <w:rPr>
          <w:noProof/>
        </w:rPr>
        <w:pict>
          <v:shape id="TextBox 9" o:spid="_x0000_s1034" type="#_x0000_t202" style="position:absolute;margin-left:211.2pt;margin-top:7.2pt;width:25.8pt;height:29.1pt;z-index:251667456;visibility:visible;mso-wrap-style:none;mso-position-horizontal-relative:text;mso-position-vertical-relative:tex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xfQMAA&#10;AADbAAAADwAAAGRycy9kb3ducmV2LnhtbERP24rCMBB9F/yHMAu+aVpxxa1GES+wb972A4ZmbLpt&#10;JqWJ2t2vNwsLvs3hXGex6mwt7tT60rGCdJSAIM6dLrlQ8HXZD2cgfEDWWDsmBT/kYbXs9xaYaffg&#10;E93PoRAxhH2GCkwITSalzw1Z9CPXEEfu6lqLIcK2kLrFRwy3tRwnyVRaLDk2GGxoYyivzjerYJbY&#10;Q1V9jI/eTn7Td7PZul3zrdTgrVvPQQTqwkv87/7UcX4Kf7/E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xfQMAAAADbAAAADwAAAAAAAAAAAAAAAACYAgAAZHJzL2Rvd25y&#10;ZXYueG1sUEsFBgAAAAAEAAQA9QAAAIUDAAAAAA==&#10;" filled="f" stroked="f">
            <v:textbox style="mso-next-textbox:#TextBox 9;mso-fit-shape-to-text:t">
              <w:txbxContent>
                <w:p w:rsidR="008E702A" w:rsidRDefault="008E702A" w:rsidP="008E702A">
                  <w:pPr>
                    <w:pStyle w:val="a5"/>
                    <w:spacing w:before="0" w:beforeAutospacing="0" w:after="0" w:afterAutospacing="0"/>
                  </w:pPr>
                  <w:r>
                    <w:rPr>
                      <w:rFonts w:asciiTheme="minorHAnsi" w:hAnsi="Calibri" w:cstheme="minorBidi"/>
                      <w:color w:val="000000" w:themeColor="text1"/>
                      <w:kern w:val="24"/>
                      <w:sz w:val="36"/>
                      <w:szCs w:val="36"/>
                    </w:rPr>
                    <w:t>D</w:t>
                  </w:r>
                </w:p>
              </w:txbxContent>
            </v:textbox>
          </v:shape>
        </w:pict>
      </w:r>
      <w:r w:rsidR="00672A03">
        <w:rPr>
          <w:noProof/>
        </w:rPr>
        <w:pict>
          <v:shape id="TextBox 8" o:spid="_x0000_s1033" type="#_x0000_t202" style="position:absolute;margin-left:-73.05pt;margin-top:7.2pt;width:24pt;height:29.15pt;z-index:251666432;visibility:visible;mso-wrap-style:none;mso-position-horizontal-relative:text;mso-position-vertical-relative:tex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D628QA&#10;AADbAAAADwAAAGRycy9kb3ducmV2LnhtbESPzW7CQAyE75V4h5WReisbUFtBYEGItlJvLT8PYGVN&#10;NiTrjbJbCDx9fUDiZmvGM58Xq9436kxdrAIbGI8yUMRFsBWXBg77r5cpqJiQLTaBycCVIqyWg6cF&#10;5jZceEvnXSqVhHDM0YBLqc21joUjj3EUWmLRjqHzmGTtSm07vEi4b/Qky961x4qlwWFLG0dFvfvz&#10;BqaZ/6nr2eQ3+tfb+M1tPsJnezLmediv56AS9elhvl9/W8EXev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A+tvEAAAA2wAAAA8AAAAAAAAAAAAAAAAAmAIAAGRycy9k&#10;b3ducmV2LnhtbFBLBQYAAAAABAAEAPUAAACJAwAAAAA=&#10;" filled="f" stroked="f">
            <v:textbox style="mso-next-textbox:#TextBox 8;mso-fit-shape-to-text:t">
              <w:txbxContent>
                <w:p w:rsidR="008E702A" w:rsidRDefault="008E702A" w:rsidP="008E702A">
                  <w:pPr>
                    <w:pStyle w:val="a5"/>
                    <w:spacing w:before="0" w:beforeAutospacing="0" w:after="0" w:afterAutospacing="0"/>
                  </w:pPr>
                  <w:r>
                    <w:rPr>
                      <w:rFonts w:asciiTheme="minorHAnsi" w:hAnsi="Calibri" w:cstheme="minorBidi"/>
                      <w:color w:val="000000" w:themeColor="text1"/>
                      <w:kern w:val="24"/>
                      <w:sz w:val="36"/>
                      <w:szCs w:val="36"/>
                    </w:rPr>
                    <w:t>C</w:t>
                  </w:r>
                </w:p>
              </w:txbxContent>
            </v:textbox>
          </v:shape>
        </w:pict>
      </w:r>
    </w:p>
    <w:p w:rsidR="008E702A" w:rsidRPr="008E702A" w:rsidRDefault="00672A03" w:rsidP="008E702A">
      <w:r>
        <w:rPr>
          <w:noProof/>
        </w:rPr>
        <w:pict>
          <v:shape id="Надпись 2" o:spid="_x0000_s1049" type="#_x0000_t202" style="position:absolute;margin-left:-66.85pt;margin-top:120.6pt;width:21.65pt;height:32pt;z-index:25167155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R0JDYkECAABUBAAADgAA&#10;AAAAAAAAAAAAAAAuAgAAZHJzL2Uyb0RvYy54bWxQSwECLQAUAAYACAAAACEA/S8y1tsAAAAFAQAA&#10;DwAAAAAAAAAAAAAAAACbBAAAZHJzL2Rvd25yZXYueG1sUEsFBgAAAAAEAAQA8wAAAKMFAAAAAA==&#10;" filled="f" stroked="f">
            <v:textbox>
              <w:txbxContent>
                <w:p w:rsidR="00237BA5" w:rsidRPr="00672A03" w:rsidRDefault="00237BA5">
                  <w:pPr>
                    <w:rPr>
                      <w:sz w:val="36"/>
                      <w:szCs w:val="36"/>
                      <w:lang w:val="ru-RU"/>
                    </w:rPr>
                  </w:pPr>
                  <w:r w:rsidRPr="00672A03">
                    <w:rPr>
                      <w:sz w:val="36"/>
                      <w:szCs w:val="36"/>
                    </w:rPr>
                    <w:t>F</w:t>
                  </w:r>
                </w:p>
              </w:txbxContent>
            </v:textbox>
          </v:shape>
        </w:pict>
      </w:r>
      <w:r>
        <w:rPr>
          <w:noProof/>
        </w:rPr>
        <w:pict>
          <v:shape id="Picture 2" o:spid="_x0000_s1028" type="#_x0000_t75" alt="bin_verification_TCGA.png" style="position:absolute;margin-left:-42.6pt;margin-top:121.9pt;width:244.45pt;height:122.45pt;z-index:25166131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oSinFAAAA2gAAAA8AAABkcnMvZG93bnJldi54bWxEj0FrwkAUhO8F/8PyhN7qxtYajdmIiEKp&#10;VtAWvD6zzyQ0+zZkV03/vVso9DjMzDdMOu9MLa7UusqyguEgAkGcW11xoeDrc/00AeE8ssbaMin4&#10;IQfzrPeQYqLtjfd0PfhCBAi7BBWU3jeJlC4vyaAb2IY4eGfbGvRBtoXULd4C3NTyOYrG0mDFYaHE&#10;hpYl5d+Hi1GwddHqdBzt853Z2s043kzjl/cPpR773WIGwlPn/8N/7Tet4BV+r4QbILM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J6EopxQAAANoAAAAPAAAAAAAAAAAAAAAA&#10;AJ8CAABkcnMvZG93bnJldi54bWxQSwUGAAAAAAQABAD3AAAAkQMAAAAA&#10;">
            <v:imagedata r:id="rId10" o:title="bin_verification_TCGA"/>
            <v:path arrowok="t"/>
          </v:shape>
        </w:pict>
      </w:r>
    </w:p>
    <w:p w:rsidR="008E702A" w:rsidRPr="008E702A" w:rsidRDefault="008E702A" w:rsidP="008E702A"/>
    <w:p w:rsidR="008E702A" w:rsidRPr="008E702A" w:rsidRDefault="008E702A" w:rsidP="008E702A"/>
    <w:p w:rsidR="008E702A" w:rsidRPr="008E702A" w:rsidRDefault="008E702A" w:rsidP="008E702A"/>
    <w:p w:rsidR="008E702A" w:rsidRPr="008E702A" w:rsidRDefault="008E702A" w:rsidP="008E702A"/>
    <w:p w:rsidR="008E702A" w:rsidRPr="008E702A" w:rsidRDefault="008E702A" w:rsidP="008E702A"/>
    <w:p w:rsidR="008E702A" w:rsidRPr="008E702A" w:rsidRDefault="008E702A" w:rsidP="008E702A"/>
    <w:p w:rsidR="008E702A" w:rsidRPr="008E702A" w:rsidRDefault="008E702A" w:rsidP="008E702A"/>
    <w:p w:rsidR="008E702A" w:rsidRPr="008E702A" w:rsidRDefault="008E702A" w:rsidP="008E702A"/>
    <w:p w:rsidR="00237BA5" w:rsidRDefault="00237BA5" w:rsidP="00476498">
      <w:pPr>
        <w:spacing w:line="360" w:lineRule="auto"/>
        <w:jc w:val="both"/>
        <w:rPr>
          <w:rFonts w:ascii="Times New Roman" w:hAnsi="Times New Roman" w:cs="Times New Roman"/>
          <w:noProof/>
        </w:rPr>
      </w:pPr>
    </w:p>
    <w:p w:rsidR="00476498" w:rsidRDefault="00476498" w:rsidP="00476498">
      <w:pPr>
        <w:spacing w:line="360" w:lineRule="auto"/>
        <w:jc w:val="both"/>
        <w:rPr>
          <w:rFonts w:ascii="Times New Roman" w:hAnsi="Times New Roman" w:cs="Times New Roman"/>
          <w:noProof/>
        </w:rPr>
      </w:pPr>
      <w:r>
        <w:rPr>
          <w:rFonts w:ascii="Times New Roman" w:hAnsi="Times New Roman" w:cs="Times New Roman"/>
          <w:noProof/>
        </w:rPr>
        <w:t xml:space="preserve">Supplementary figure </w:t>
      </w:r>
      <w:r w:rsidR="00D31DC6">
        <w:rPr>
          <w:rFonts w:ascii="Times New Roman" w:hAnsi="Times New Roman" w:cs="Times New Roman"/>
          <w:noProof/>
        </w:rPr>
        <w:t>1</w:t>
      </w:r>
      <w:r>
        <w:rPr>
          <w:rFonts w:ascii="Times New Roman" w:hAnsi="Times New Roman" w:cs="Times New Roman"/>
          <w:noProof/>
        </w:rPr>
        <w:t>. The ratio of the mutation rates on the reference and non-reference strands as a function of the propensity of the replication fork to replicate the reference strand as lagging or leading.  Horizontal axis, genome split by fp values into 9 bins from low fp (bin 1) to high fp (bin 9) (A, B</w:t>
      </w:r>
      <w:r w:rsidR="00237BA5">
        <w:rPr>
          <w:rFonts w:ascii="Times New Roman" w:hAnsi="Times New Roman" w:cs="Times New Roman"/>
          <w:noProof/>
        </w:rPr>
        <w:t>,C</w:t>
      </w:r>
      <w:r>
        <w:rPr>
          <w:rFonts w:ascii="Times New Roman" w:hAnsi="Times New Roman" w:cs="Times New Roman"/>
          <w:noProof/>
        </w:rPr>
        <w:t>); or tumors grouped by r</w:t>
      </w:r>
      <w:r>
        <w:rPr>
          <w:rFonts w:ascii="Times New Roman" w:hAnsi="Times New Roman" w:cs="Times New Roman"/>
          <w:noProof/>
          <w:vertAlign w:val="subscript"/>
        </w:rPr>
        <w:t xml:space="preserve">apo </w:t>
      </w:r>
      <w:r>
        <w:rPr>
          <w:rFonts w:ascii="Times New Roman" w:hAnsi="Times New Roman" w:cs="Times New Roman"/>
          <w:noProof/>
        </w:rPr>
        <w:t>into 5 bins (D</w:t>
      </w:r>
      <w:r w:rsidR="00237BA5">
        <w:rPr>
          <w:rFonts w:ascii="Times New Roman" w:hAnsi="Times New Roman" w:cs="Times New Roman"/>
          <w:noProof/>
        </w:rPr>
        <w:t>, F</w:t>
      </w:r>
      <w:r>
        <w:rPr>
          <w:rFonts w:ascii="Times New Roman" w:hAnsi="Times New Roman" w:cs="Times New Roman"/>
          <w:noProof/>
        </w:rPr>
        <w:t>). Vertical bars represent 95% confidence interval. WGS (B, C</w:t>
      </w:r>
      <w:r w:rsidR="006437B6">
        <w:rPr>
          <w:rFonts w:ascii="Times New Roman" w:hAnsi="Times New Roman" w:cs="Times New Roman"/>
          <w:noProof/>
        </w:rPr>
        <w:t>, D</w:t>
      </w:r>
      <w:r>
        <w:rPr>
          <w:rFonts w:ascii="Times New Roman" w:hAnsi="Times New Roman" w:cs="Times New Roman"/>
          <w:noProof/>
        </w:rPr>
        <w:t xml:space="preserve">) and WES (A, </w:t>
      </w:r>
      <w:r w:rsidR="006437B6">
        <w:rPr>
          <w:rFonts w:ascii="Times New Roman" w:hAnsi="Times New Roman" w:cs="Times New Roman"/>
          <w:noProof/>
        </w:rPr>
        <w:t>F</w:t>
      </w:r>
      <w:r>
        <w:rPr>
          <w:rFonts w:ascii="Times New Roman" w:hAnsi="Times New Roman" w:cs="Times New Roman"/>
          <w:noProof/>
        </w:rPr>
        <w:t>) datasets.</w:t>
      </w:r>
    </w:p>
    <w:p w:rsidR="00476498" w:rsidRDefault="00476498" w:rsidP="008E702A">
      <w:pPr>
        <w:rPr>
          <w:rFonts w:ascii="Times New Roman" w:hAnsi="Times New Roman" w:cs="Times New Roman"/>
          <w:noProof/>
        </w:rPr>
      </w:pPr>
    </w:p>
    <w:p w:rsidR="008E702A" w:rsidRDefault="008E702A">
      <w:pPr>
        <w:spacing w:after="200" w:line="276" w:lineRule="auto"/>
        <w:rPr>
          <w:rFonts w:ascii="Times New Roman" w:hAnsi="Times New Roman" w:cs="Times New Roman"/>
          <w:noProof/>
        </w:rPr>
      </w:pPr>
      <w:r>
        <w:rPr>
          <w:rFonts w:ascii="Times New Roman" w:hAnsi="Times New Roman" w:cs="Times New Roman"/>
          <w:noProof/>
        </w:rPr>
        <w:br w:type="page"/>
      </w:r>
    </w:p>
    <w:p w:rsidR="008E702A" w:rsidRDefault="008E702A" w:rsidP="008E702A">
      <w:pPr>
        <w:rPr>
          <w:rFonts w:ascii="Times New Roman" w:hAnsi="Times New Roman" w:cs="Times New Roman"/>
          <w:noProof/>
        </w:rPr>
      </w:pPr>
      <w:r>
        <w:rPr>
          <w:rFonts w:ascii="Times New Roman" w:hAnsi="Times New Roman" w:cs="Times New Roman"/>
          <w:noProof/>
        </w:rPr>
        <w:lastRenderedPageBreak/>
        <w:drawing>
          <wp:inline distT="0" distB="0" distL="0" distR="0" wp14:anchorId="257BC497" wp14:editId="1831A5DB">
            <wp:extent cx="4181938" cy="2097547"/>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0492" cy="2101837"/>
                    </a:xfrm>
                    <a:prstGeom prst="rect">
                      <a:avLst/>
                    </a:prstGeom>
                    <a:noFill/>
                  </pic:spPr>
                </pic:pic>
              </a:graphicData>
            </a:graphic>
          </wp:inline>
        </w:drawing>
      </w:r>
    </w:p>
    <w:p w:rsidR="00476498" w:rsidRDefault="00476498" w:rsidP="00476498">
      <w:pPr>
        <w:spacing w:line="360" w:lineRule="auto"/>
        <w:jc w:val="both"/>
        <w:rPr>
          <w:rFonts w:ascii="Times New Roman" w:hAnsi="Times New Roman" w:cs="Times New Roman"/>
          <w:noProof/>
        </w:rPr>
      </w:pPr>
      <w:r>
        <w:rPr>
          <w:rFonts w:ascii="Times New Roman" w:hAnsi="Times New Roman" w:cs="Times New Roman"/>
          <w:noProof/>
        </w:rPr>
        <w:t xml:space="preserve">Supplementary figure </w:t>
      </w:r>
      <w:r w:rsidR="00D31DC6">
        <w:rPr>
          <w:rFonts w:ascii="Times New Roman" w:hAnsi="Times New Roman" w:cs="Times New Roman"/>
          <w:noProof/>
        </w:rPr>
        <w:t>2</w:t>
      </w:r>
      <w:r>
        <w:rPr>
          <w:rFonts w:ascii="Times New Roman" w:hAnsi="Times New Roman" w:cs="Times New Roman"/>
          <w:noProof/>
        </w:rPr>
        <w:t>. Mutation rates as a function of replication time (rt), relative to the mutation rate in the early rt bin. Horizontal axis: genome split into 10 bins of equal size from early to late rt. Tp</w:t>
      </w:r>
      <w:r>
        <w:rPr>
          <w:rFonts w:ascii="Times New Roman" w:hAnsi="Times New Roman" w:cs="Times New Roman"/>
          <w:noProof/>
          <w:u w:val="single"/>
        </w:rPr>
        <w:t>C</w:t>
      </w:r>
      <w:r>
        <w:rPr>
          <w:rFonts w:ascii="Times New Roman" w:hAnsi="Times New Roman" w:cs="Times New Roman"/>
          <w:noProof/>
        </w:rPr>
        <w:t>pN→Tp</w:t>
      </w:r>
      <w:r>
        <w:rPr>
          <w:rFonts w:ascii="Times New Roman" w:hAnsi="Times New Roman" w:cs="Times New Roman"/>
          <w:noProof/>
          <w:u w:val="single"/>
        </w:rPr>
        <w:t>A</w:t>
      </w:r>
      <w:r>
        <w:rPr>
          <w:rFonts w:ascii="Times New Roman" w:hAnsi="Times New Roman" w:cs="Times New Roman"/>
          <w:noProof/>
        </w:rPr>
        <w:t>pN mutations are not associated with Mismatch Repair (MMR) deficiency</w:t>
      </w:r>
      <w:r>
        <w:rPr>
          <w:rFonts w:ascii="Times New Roman" w:hAnsi="Times New Roman" w:cs="Times New Roman"/>
          <w:noProof/>
        </w:rPr>
        <w:fldChar w:fldCharType="begin"/>
      </w:r>
      <w:r w:rsidR="009E4E1B">
        <w:rPr>
          <w:rFonts w:ascii="Times New Roman" w:hAnsi="Times New Roman" w:cs="Times New Roman"/>
          <w:noProof/>
        </w:rPr>
        <w:instrText xml:space="preserve"> ADDIN ZOTERO_ITEM CSL_CITATION {"citationID":"2hgeb3r802","properties":{"formattedCitation":"{\\rtf \\i (8)\\i0{}}","plainCitation":"(8)"},"citationItems":[{"id":230,"uris":["http://zotero.org/users/local/GcmxlYxi/items/HP8886DX"],"uri":["http://zotero.org/users/local/GcmxlYxi/items/HP8886DX"],"itemData":{"id":230,"type":"article-journal","title":"Differential DNA mismatch repair underlies mutation rate variation across the human genome","container-title":"Nature","source":"PubMed","abstract":"Cancer genome sequencing has revealed considerable variation in somatic mutation rates across the human genome, with mutation rates elevated in heterochromatic late replicating regions and reduced in early replicating euchromatin. Multiple mechanisms have been suggested to underlie this, but the actual cause is unknown. Here we identify variable DNA mismatch repair (MMR) as the basis of this variation. Analysing </w:instrText>
      </w:r>
      <w:r w:rsidR="009E4E1B">
        <w:rPr>
          <w:rFonts w:ascii="Cambria Math" w:hAnsi="Cambria Math" w:cs="Cambria Math"/>
          <w:noProof/>
        </w:rPr>
        <w:instrText>∼</w:instrText>
      </w:r>
      <w:r w:rsidR="009E4E1B">
        <w:rPr>
          <w:rFonts w:ascii="Times New Roman" w:hAnsi="Times New Roman" w:cs="Times New Roman"/>
          <w:noProof/>
        </w:rPr>
        <w:instrText xml:space="preserve">17 million single-nucleotide variants from the genomes of 652 tumours, we show that regional autosomal mutation rates at megabase resolution are largely stable across cancer types, with differences related to changes in replication timing and gene expression. However, mutations arising after the inactivation of MMR are no longer enriched in late replicating heterochromatin relative to early replicating euchromatin. Thus, differential DNA repair and not differential mutation supply is the primary cause of the large-scale regional mutation rate variation across the human genome.","DOI":"10.1038/nature14173","ISSN":"1476-4687","note":"PMID: 25707793","journalAbbreviation":"Nature","language":"ENG","author":[{"family":"Supek","given":"Fran"},{"family":"Lehner","given":"Ben"}],"issued":{"date-parts":[["2015",2,23]]},"PMID":"25707793"}}],"schema":"https://github.com/citation-style-language/schema/raw/master/csl-citation.json"} </w:instrText>
      </w:r>
      <w:r>
        <w:rPr>
          <w:rFonts w:ascii="Times New Roman" w:hAnsi="Times New Roman" w:cs="Times New Roman"/>
          <w:noProof/>
        </w:rPr>
        <w:fldChar w:fldCharType="separate"/>
      </w:r>
      <w:r w:rsidR="009E4E1B" w:rsidRPr="00672A03">
        <w:rPr>
          <w:rFonts w:ascii="Times New Roman" w:hAnsi="Times New Roman" w:cs="Times New Roman"/>
          <w:i/>
          <w:iCs/>
          <w:szCs w:val="24"/>
        </w:rPr>
        <w:t>(8)</w:t>
      </w:r>
      <w:r>
        <w:rPr>
          <w:rFonts w:ascii="Times New Roman" w:hAnsi="Times New Roman" w:cs="Times New Roman"/>
          <w:noProof/>
        </w:rPr>
        <w:fldChar w:fldCharType="end"/>
      </w:r>
      <w:r>
        <w:rPr>
          <w:rFonts w:ascii="Times New Roman" w:hAnsi="Times New Roman" w:cs="Times New Roman"/>
          <w:noProof/>
        </w:rPr>
        <w:t xml:space="preserve">. Vertical bars represent 95% confidence intervals. </w:t>
      </w:r>
    </w:p>
    <w:p w:rsidR="00476498" w:rsidRDefault="00476498" w:rsidP="008E702A">
      <w:pPr>
        <w:rPr>
          <w:rFonts w:ascii="Times New Roman" w:hAnsi="Times New Roman" w:cs="Times New Roman"/>
          <w:noProof/>
        </w:rPr>
      </w:pPr>
    </w:p>
    <w:p w:rsidR="008E702A" w:rsidRDefault="008E702A">
      <w:pPr>
        <w:spacing w:after="200" w:line="276" w:lineRule="auto"/>
        <w:rPr>
          <w:rFonts w:ascii="Times New Roman" w:hAnsi="Times New Roman" w:cs="Times New Roman"/>
          <w:noProof/>
        </w:rPr>
      </w:pPr>
      <w:r>
        <w:rPr>
          <w:rFonts w:ascii="Times New Roman" w:hAnsi="Times New Roman" w:cs="Times New Roman"/>
          <w:noProof/>
        </w:rPr>
        <w:br w:type="page"/>
      </w:r>
    </w:p>
    <w:p w:rsidR="00877091" w:rsidRPr="008E702A" w:rsidRDefault="00877091" w:rsidP="00877091">
      <w:pPr>
        <w:rPr>
          <w:rFonts w:ascii="Times New Roman" w:hAnsi="Times New Roman" w:cs="Times New Roman"/>
          <w:noProof/>
        </w:rPr>
      </w:pPr>
      <w:r>
        <w:rPr>
          <w:rFonts w:ascii="Times New Roman" w:hAnsi="Times New Roman" w:cs="Times New Roman"/>
          <w:noProof/>
        </w:rPr>
        <w:lastRenderedPageBreak/>
        <w:drawing>
          <wp:inline distT="0" distB="0" distL="0" distR="0" wp14:anchorId="45A7734F" wp14:editId="43FF7BCF">
            <wp:extent cx="3689406" cy="2044162"/>
            <wp:effectExtent l="0" t="0" r="635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93359" cy="2046352"/>
                    </a:xfrm>
                    <a:prstGeom prst="rect">
                      <a:avLst/>
                    </a:prstGeom>
                    <a:noFill/>
                  </pic:spPr>
                </pic:pic>
              </a:graphicData>
            </a:graphic>
          </wp:inline>
        </w:drawing>
      </w:r>
    </w:p>
    <w:p w:rsidR="00877091" w:rsidRPr="008E702A" w:rsidRDefault="00877091" w:rsidP="00877091"/>
    <w:p w:rsidR="00476498" w:rsidRDefault="00476498" w:rsidP="00476498">
      <w:pPr>
        <w:spacing w:line="360" w:lineRule="auto"/>
        <w:jc w:val="both"/>
        <w:rPr>
          <w:rFonts w:ascii="Times New Roman" w:hAnsi="Times New Roman" w:cs="Times New Roman"/>
          <w:noProof/>
        </w:rPr>
      </w:pPr>
      <w:r>
        <w:rPr>
          <w:rFonts w:ascii="Times New Roman" w:hAnsi="Times New Roman" w:cs="Times New Roman"/>
          <w:noProof/>
        </w:rPr>
        <w:t xml:space="preserve">Supplementary figure </w:t>
      </w:r>
      <w:r w:rsidR="00D31DC6">
        <w:rPr>
          <w:rFonts w:ascii="Times New Roman" w:hAnsi="Times New Roman" w:cs="Times New Roman"/>
          <w:noProof/>
        </w:rPr>
        <w:t>3</w:t>
      </w:r>
      <w:r>
        <w:rPr>
          <w:rFonts w:ascii="Times New Roman" w:hAnsi="Times New Roman" w:cs="Times New Roman"/>
          <w:noProof/>
        </w:rPr>
        <w:t>. Distribution of genomic and exomic nucleotides across rt.</w:t>
      </w:r>
    </w:p>
    <w:p w:rsidR="00476498" w:rsidRDefault="00476498" w:rsidP="00877091">
      <w:pPr>
        <w:rPr>
          <w:rFonts w:ascii="Times New Roman" w:hAnsi="Times New Roman" w:cs="Times New Roman"/>
          <w:noProof/>
        </w:rPr>
      </w:pPr>
    </w:p>
    <w:p w:rsidR="001C260C" w:rsidRDefault="008E702A" w:rsidP="001C260C">
      <w:pPr>
        <w:spacing w:line="360" w:lineRule="auto"/>
        <w:jc w:val="both"/>
      </w:pPr>
      <w:r>
        <w:br w:type="page"/>
      </w:r>
    </w:p>
    <w:p w:rsidR="001C260C" w:rsidRDefault="001C260C" w:rsidP="001C260C">
      <w:pPr>
        <w:spacing w:line="360" w:lineRule="auto"/>
        <w:jc w:val="both"/>
      </w:pPr>
      <w:r>
        <w:rPr>
          <w:noProof/>
        </w:rPr>
        <w:lastRenderedPageBreak/>
        <w:drawing>
          <wp:inline distT="0" distB="0" distL="0" distR="0" wp14:anchorId="194221DE" wp14:editId="1919F341">
            <wp:extent cx="4104088" cy="2044800"/>
            <wp:effectExtent l="0" t="0" r="0" b="0"/>
            <wp:docPr id="1" name="Рисунок 1" descr="C:\VOVA\Users\Vova\study\Apobec\ms\Nature draft\Apobec v3\APO_9d\Final lap\Figures\extended\exon_bias_rich_rt_C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VOVA\Users\Vova\study\Apobec\ms\Nature draft\Apobec v3\APO_9d\Final lap\Figures\extended\exon_bias_rich_rt_CpG.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04088" cy="2044800"/>
                    </a:xfrm>
                    <a:prstGeom prst="rect">
                      <a:avLst/>
                    </a:prstGeom>
                    <a:noFill/>
                    <a:ln>
                      <a:noFill/>
                    </a:ln>
                  </pic:spPr>
                </pic:pic>
              </a:graphicData>
            </a:graphic>
          </wp:inline>
        </w:drawing>
      </w:r>
    </w:p>
    <w:p w:rsidR="001C260C" w:rsidRDefault="001C260C" w:rsidP="001C260C">
      <w:pPr>
        <w:spacing w:line="360" w:lineRule="auto"/>
        <w:jc w:val="both"/>
        <w:rPr>
          <w:rFonts w:ascii="Times New Roman" w:hAnsi="Times New Roman" w:cs="Times New Roman"/>
          <w:noProof/>
        </w:rPr>
      </w:pPr>
      <w:r>
        <w:rPr>
          <w:rFonts w:ascii="Times New Roman" w:hAnsi="Times New Roman" w:cs="Times New Roman"/>
          <w:noProof/>
        </w:rPr>
        <w:t xml:space="preserve">Supplementary figure </w:t>
      </w:r>
      <w:r w:rsidR="00D31DC6">
        <w:rPr>
          <w:rFonts w:ascii="Times New Roman" w:hAnsi="Times New Roman" w:cs="Times New Roman"/>
          <w:noProof/>
        </w:rPr>
        <w:t>4</w:t>
      </w:r>
      <w:r>
        <w:rPr>
          <w:rFonts w:ascii="Times New Roman" w:hAnsi="Times New Roman" w:cs="Times New Roman"/>
          <w:noProof/>
        </w:rPr>
        <w:t>. Mutations (CpG sitest excluded) in early vs. late replicating regions. Horizontal axis: genome split into 10 bins of equal size from early to late rt. Percentage of mutations in exons that fall into this bin (among all mutations in the genome) as a function of rt. In sum, 2.</w:t>
      </w:r>
      <w:r w:rsidR="003063FF">
        <w:rPr>
          <w:rFonts w:ascii="Times New Roman" w:hAnsi="Times New Roman" w:cs="Times New Roman"/>
          <w:noProof/>
        </w:rPr>
        <w:t>8</w:t>
      </w:r>
      <w:r>
        <w:rPr>
          <w:rFonts w:ascii="Times New Roman" w:hAnsi="Times New Roman" w:cs="Times New Roman"/>
          <w:noProof/>
        </w:rPr>
        <w:t xml:space="preserve">% of mutations in APOrich tumors, and only </w:t>
      </w:r>
      <w:r w:rsidR="00EF28EE">
        <w:rPr>
          <w:rFonts w:ascii="Times New Roman" w:hAnsi="Times New Roman" w:cs="Times New Roman"/>
          <w:noProof/>
        </w:rPr>
        <w:t>2</w:t>
      </w:r>
      <w:r>
        <w:rPr>
          <w:rFonts w:ascii="Times New Roman" w:hAnsi="Times New Roman" w:cs="Times New Roman"/>
          <w:noProof/>
        </w:rPr>
        <w:t>.</w:t>
      </w:r>
      <w:r w:rsidR="003063FF">
        <w:rPr>
          <w:rFonts w:ascii="Times New Roman" w:hAnsi="Times New Roman" w:cs="Times New Roman"/>
          <w:noProof/>
        </w:rPr>
        <w:t>1</w:t>
      </w:r>
      <w:r>
        <w:rPr>
          <w:rFonts w:ascii="Times New Roman" w:hAnsi="Times New Roman" w:cs="Times New Roman"/>
          <w:noProof/>
        </w:rPr>
        <w:t xml:space="preserve">% of mutations in APOpoor tumors, fall into exons. Vertical bars represent 95% confidence interval. </w:t>
      </w:r>
    </w:p>
    <w:p w:rsidR="00D31DC6" w:rsidRDefault="00D31DC6">
      <w:pPr>
        <w:spacing w:after="200" w:line="276" w:lineRule="auto"/>
      </w:pPr>
      <w:r>
        <w:br w:type="page"/>
      </w:r>
    </w:p>
    <w:p w:rsidR="001C260C" w:rsidRDefault="001C260C">
      <w:pPr>
        <w:spacing w:after="200" w:line="276" w:lineRule="auto"/>
      </w:pPr>
    </w:p>
    <w:p w:rsidR="00D31DC6" w:rsidRPr="00A505A0" w:rsidRDefault="00D31DC6" w:rsidP="00D31DC6">
      <w:pPr>
        <w:spacing w:line="360" w:lineRule="auto"/>
        <w:jc w:val="both"/>
        <w:rPr>
          <w:rFonts w:ascii="Times New Roman" w:hAnsi="Times New Roman" w:cs="Times New Roman"/>
          <w:b/>
        </w:rPr>
      </w:pPr>
      <w:proofErr w:type="gramStart"/>
      <w:r>
        <w:rPr>
          <w:rFonts w:ascii="Times New Roman" w:hAnsi="Times New Roman" w:cs="Times New Roman"/>
          <w:b/>
        </w:rPr>
        <w:t>Supplementary Table 3.</w:t>
      </w:r>
      <w:proofErr w:type="gramEnd"/>
      <w:r>
        <w:rPr>
          <w:rFonts w:ascii="Times New Roman" w:hAnsi="Times New Roman" w:cs="Times New Roman"/>
          <w:b/>
        </w:rPr>
        <w:t xml:space="preserve"> Replication timing is conservative among different tissues</w:t>
      </w:r>
    </w:p>
    <w:tbl>
      <w:tblPr>
        <w:tblStyle w:val="-5"/>
        <w:tblW w:w="0" w:type="auto"/>
        <w:tblLook w:val="04A0" w:firstRow="1" w:lastRow="0" w:firstColumn="1" w:lastColumn="0" w:noHBand="0" w:noVBand="1"/>
      </w:tblPr>
      <w:tblGrid>
        <w:gridCol w:w="4952"/>
        <w:gridCol w:w="4953"/>
      </w:tblGrid>
      <w:tr w:rsidR="00D31DC6" w:rsidRPr="00A505A0" w:rsidTr="00A505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Pr>
          <w:p w:rsidR="00D31DC6" w:rsidRPr="00A505A0" w:rsidRDefault="00D31DC6" w:rsidP="00A505A0">
            <w:pPr>
              <w:rPr>
                <w:sz w:val="16"/>
                <w:szCs w:val="16"/>
              </w:rPr>
            </w:pPr>
            <w:r w:rsidRPr="00A505A0">
              <w:rPr>
                <w:sz w:val="16"/>
                <w:szCs w:val="16"/>
              </w:rPr>
              <w:t>Cell type</w:t>
            </w:r>
          </w:p>
        </w:tc>
        <w:tc>
          <w:tcPr>
            <w:tcW w:w="4953" w:type="dxa"/>
          </w:tcPr>
          <w:p w:rsidR="00D31DC6" w:rsidRPr="00A505A0" w:rsidRDefault="00D31DC6" w:rsidP="00A505A0">
            <w:pPr>
              <w:cnfStyle w:val="100000000000" w:firstRow="1" w:lastRow="0" w:firstColumn="0" w:lastColumn="0" w:oddVBand="0" w:evenVBand="0" w:oddHBand="0" w:evenHBand="0" w:firstRowFirstColumn="0" w:firstRowLastColumn="0" w:lastRowFirstColumn="0" w:lastRowLastColumn="0"/>
              <w:rPr>
                <w:sz w:val="16"/>
                <w:szCs w:val="16"/>
              </w:rPr>
            </w:pPr>
            <w:proofErr w:type="spellStart"/>
            <w:r w:rsidRPr="00A505A0">
              <w:rPr>
                <w:sz w:val="16"/>
                <w:szCs w:val="16"/>
              </w:rPr>
              <w:t>spearmans`s</w:t>
            </w:r>
            <w:proofErr w:type="spellEnd"/>
            <w:r w:rsidRPr="00A505A0">
              <w:rPr>
                <w:sz w:val="16"/>
                <w:szCs w:val="16"/>
              </w:rPr>
              <w:t xml:space="preserve"> ρ</w:t>
            </w:r>
          </w:p>
        </w:tc>
      </w:tr>
      <w:tr w:rsidR="00D31DC6" w:rsidRPr="00A505A0" w:rsidTr="00A50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Pr>
          <w:p w:rsidR="00D31DC6" w:rsidRPr="00A505A0" w:rsidRDefault="00D31DC6" w:rsidP="00A505A0">
            <w:pPr>
              <w:rPr>
                <w:sz w:val="16"/>
                <w:szCs w:val="16"/>
              </w:rPr>
            </w:pPr>
            <w:proofErr w:type="spellStart"/>
            <w:r w:rsidRPr="00A505A0">
              <w:rPr>
                <w:sz w:val="16"/>
                <w:szCs w:val="16"/>
              </w:rPr>
              <w:t>Nhek</w:t>
            </w:r>
            <w:proofErr w:type="spellEnd"/>
            <w:r w:rsidRPr="00A505A0">
              <w:rPr>
                <w:sz w:val="16"/>
                <w:szCs w:val="16"/>
              </w:rPr>
              <w:t xml:space="preserve"> (keratinocytes)</w:t>
            </w:r>
          </w:p>
        </w:tc>
        <w:tc>
          <w:tcPr>
            <w:tcW w:w="4953" w:type="dxa"/>
          </w:tcPr>
          <w:p w:rsidR="00D31DC6" w:rsidRPr="00A505A0" w:rsidRDefault="00D31DC6" w:rsidP="00A505A0">
            <w:pPr>
              <w:cnfStyle w:val="000000100000" w:firstRow="0" w:lastRow="0" w:firstColumn="0" w:lastColumn="0" w:oddVBand="0" w:evenVBand="0" w:oddHBand="1" w:evenHBand="0" w:firstRowFirstColumn="0" w:firstRowLastColumn="0" w:lastRowFirstColumn="0" w:lastRowLastColumn="0"/>
              <w:rPr>
                <w:sz w:val="16"/>
                <w:szCs w:val="16"/>
              </w:rPr>
            </w:pPr>
            <w:r w:rsidRPr="00A505A0">
              <w:rPr>
                <w:sz w:val="16"/>
                <w:szCs w:val="16"/>
              </w:rPr>
              <w:t>0.81</w:t>
            </w:r>
          </w:p>
        </w:tc>
      </w:tr>
      <w:tr w:rsidR="00D31DC6" w:rsidRPr="00A505A0" w:rsidTr="00A505A0">
        <w:tc>
          <w:tcPr>
            <w:cnfStyle w:val="001000000000" w:firstRow="0" w:lastRow="0" w:firstColumn="1" w:lastColumn="0" w:oddVBand="0" w:evenVBand="0" w:oddHBand="0" w:evenHBand="0" w:firstRowFirstColumn="0" w:firstRowLastColumn="0" w:lastRowFirstColumn="0" w:lastRowLastColumn="0"/>
            <w:tcW w:w="4952" w:type="dxa"/>
          </w:tcPr>
          <w:p w:rsidR="00D31DC6" w:rsidRPr="00A505A0" w:rsidRDefault="00D31DC6" w:rsidP="00A505A0">
            <w:pPr>
              <w:rPr>
                <w:sz w:val="16"/>
                <w:szCs w:val="16"/>
              </w:rPr>
            </w:pPr>
            <w:proofErr w:type="spellStart"/>
            <w:r w:rsidRPr="00A505A0">
              <w:rPr>
                <w:sz w:val="16"/>
                <w:szCs w:val="16"/>
              </w:rPr>
              <w:t>Helas3</w:t>
            </w:r>
            <w:proofErr w:type="spellEnd"/>
            <w:r w:rsidRPr="00A505A0">
              <w:rPr>
                <w:sz w:val="16"/>
                <w:szCs w:val="16"/>
              </w:rPr>
              <w:t xml:space="preserve"> (cervix carcinoma)</w:t>
            </w:r>
          </w:p>
        </w:tc>
        <w:tc>
          <w:tcPr>
            <w:tcW w:w="4953" w:type="dxa"/>
          </w:tcPr>
          <w:p w:rsidR="00D31DC6" w:rsidRPr="00A505A0" w:rsidRDefault="00D31DC6" w:rsidP="00A505A0">
            <w:pPr>
              <w:cnfStyle w:val="000000000000" w:firstRow="0" w:lastRow="0" w:firstColumn="0" w:lastColumn="0" w:oddVBand="0" w:evenVBand="0" w:oddHBand="0" w:evenHBand="0" w:firstRowFirstColumn="0" w:firstRowLastColumn="0" w:lastRowFirstColumn="0" w:lastRowLastColumn="0"/>
              <w:rPr>
                <w:sz w:val="16"/>
                <w:szCs w:val="16"/>
              </w:rPr>
            </w:pPr>
            <w:r w:rsidRPr="00A505A0">
              <w:rPr>
                <w:sz w:val="16"/>
                <w:szCs w:val="16"/>
              </w:rPr>
              <w:t>0.72</w:t>
            </w:r>
          </w:p>
        </w:tc>
      </w:tr>
      <w:tr w:rsidR="00D31DC6" w:rsidRPr="00A505A0" w:rsidTr="00A50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Pr>
          <w:p w:rsidR="00D31DC6" w:rsidRPr="00A505A0" w:rsidRDefault="00D31DC6" w:rsidP="00A505A0">
            <w:pPr>
              <w:rPr>
                <w:sz w:val="16"/>
                <w:szCs w:val="16"/>
              </w:rPr>
            </w:pPr>
            <w:proofErr w:type="spellStart"/>
            <w:r w:rsidRPr="00A505A0">
              <w:rPr>
                <w:sz w:val="16"/>
                <w:szCs w:val="16"/>
              </w:rPr>
              <w:t>Huvec</w:t>
            </w:r>
            <w:proofErr w:type="spellEnd"/>
            <w:r w:rsidRPr="00A505A0">
              <w:rPr>
                <w:sz w:val="16"/>
                <w:szCs w:val="16"/>
              </w:rPr>
              <w:t xml:space="preserve"> (umbilical vein endothelial cell)</w:t>
            </w:r>
          </w:p>
        </w:tc>
        <w:tc>
          <w:tcPr>
            <w:tcW w:w="4953" w:type="dxa"/>
          </w:tcPr>
          <w:p w:rsidR="00D31DC6" w:rsidRPr="00A505A0" w:rsidRDefault="00D31DC6" w:rsidP="00A505A0">
            <w:pPr>
              <w:cnfStyle w:val="000000100000" w:firstRow="0" w:lastRow="0" w:firstColumn="0" w:lastColumn="0" w:oddVBand="0" w:evenVBand="0" w:oddHBand="1" w:evenHBand="0" w:firstRowFirstColumn="0" w:firstRowLastColumn="0" w:lastRowFirstColumn="0" w:lastRowLastColumn="0"/>
              <w:rPr>
                <w:sz w:val="16"/>
                <w:szCs w:val="16"/>
              </w:rPr>
            </w:pPr>
            <w:r w:rsidRPr="00A505A0">
              <w:rPr>
                <w:sz w:val="16"/>
                <w:szCs w:val="16"/>
              </w:rPr>
              <w:t>0.75</w:t>
            </w:r>
          </w:p>
        </w:tc>
      </w:tr>
      <w:tr w:rsidR="00D31DC6" w:rsidRPr="00A505A0" w:rsidTr="00A505A0">
        <w:tc>
          <w:tcPr>
            <w:cnfStyle w:val="001000000000" w:firstRow="0" w:lastRow="0" w:firstColumn="1" w:lastColumn="0" w:oddVBand="0" w:evenVBand="0" w:oddHBand="0" w:evenHBand="0" w:firstRowFirstColumn="0" w:firstRowLastColumn="0" w:lastRowFirstColumn="0" w:lastRowLastColumn="0"/>
            <w:tcW w:w="4952" w:type="dxa"/>
          </w:tcPr>
          <w:p w:rsidR="00D31DC6" w:rsidRPr="00A505A0" w:rsidRDefault="00D31DC6" w:rsidP="00A505A0">
            <w:pPr>
              <w:rPr>
                <w:sz w:val="16"/>
                <w:szCs w:val="16"/>
              </w:rPr>
            </w:pPr>
            <w:proofErr w:type="spellStart"/>
            <w:r w:rsidRPr="00A505A0">
              <w:rPr>
                <w:sz w:val="16"/>
                <w:szCs w:val="16"/>
              </w:rPr>
              <w:t>K562</w:t>
            </w:r>
            <w:proofErr w:type="spellEnd"/>
            <w:r w:rsidRPr="00A505A0">
              <w:rPr>
                <w:sz w:val="16"/>
                <w:szCs w:val="16"/>
              </w:rPr>
              <w:t xml:space="preserve"> (chronic </w:t>
            </w:r>
            <w:proofErr w:type="spellStart"/>
            <w:r w:rsidRPr="00A505A0">
              <w:rPr>
                <w:sz w:val="16"/>
                <w:szCs w:val="16"/>
              </w:rPr>
              <w:t>myelogenous</w:t>
            </w:r>
            <w:proofErr w:type="spellEnd"/>
            <w:r w:rsidRPr="00A505A0">
              <w:rPr>
                <w:sz w:val="16"/>
                <w:szCs w:val="16"/>
              </w:rPr>
              <w:t xml:space="preserve"> leukemia)</w:t>
            </w:r>
          </w:p>
        </w:tc>
        <w:tc>
          <w:tcPr>
            <w:tcW w:w="4953" w:type="dxa"/>
          </w:tcPr>
          <w:p w:rsidR="00D31DC6" w:rsidRPr="00A505A0" w:rsidRDefault="00D31DC6" w:rsidP="00A505A0">
            <w:pPr>
              <w:cnfStyle w:val="000000000000" w:firstRow="0" w:lastRow="0" w:firstColumn="0" w:lastColumn="0" w:oddVBand="0" w:evenVBand="0" w:oddHBand="0" w:evenHBand="0" w:firstRowFirstColumn="0" w:firstRowLastColumn="0" w:lastRowFirstColumn="0" w:lastRowLastColumn="0"/>
              <w:rPr>
                <w:sz w:val="16"/>
                <w:szCs w:val="16"/>
              </w:rPr>
            </w:pPr>
            <w:r w:rsidRPr="00A505A0">
              <w:rPr>
                <w:sz w:val="16"/>
                <w:szCs w:val="16"/>
              </w:rPr>
              <w:t>0.83</w:t>
            </w:r>
          </w:p>
        </w:tc>
      </w:tr>
      <w:tr w:rsidR="00D31DC6" w:rsidRPr="00A505A0" w:rsidTr="00A50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Pr>
          <w:p w:rsidR="00D31DC6" w:rsidRPr="00A505A0" w:rsidRDefault="00D31DC6" w:rsidP="00A505A0">
            <w:pPr>
              <w:rPr>
                <w:sz w:val="16"/>
                <w:szCs w:val="16"/>
              </w:rPr>
            </w:pPr>
            <w:proofErr w:type="spellStart"/>
            <w:r w:rsidRPr="00A505A0">
              <w:rPr>
                <w:sz w:val="16"/>
                <w:szCs w:val="16"/>
              </w:rPr>
              <w:t>Gm12878</w:t>
            </w:r>
            <w:proofErr w:type="spellEnd"/>
            <w:r w:rsidRPr="00A505A0">
              <w:rPr>
                <w:sz w:val="16"/>
                <w:szCs w:val="16"/>
              </w:rPr>
              <w:t xml:space="preserve"> (</w:t>
            </w:r>
            <w:proofErr w:type="spellStart"/>
            <w:r w:rsidRPr="00A505A0">
              <w:rPr>
                <w:sz w:val="16"/>
                <w:szCs w:val="16"/>
              </w:rPr>
              <w:t>lymphoblastoid</w:t>
            </w:r>
            <w:proofErr w:type="spellEnd"/>
            <w:r w:rsidRPr="00A505A0">
              <w:rPr>
                <w:sz w:val="16"/>
                <w:szCs w:val="16"/>
              </w:rPr>
              <w:t xml:space="preserve"> cell)</w:t>
            </w:r>
          </w:p>
        </w:tc>
        <w:tc>
          <w:tcPr>
            <w:tcW w:w="4953" w:type="dxa"/>
          </w:tcPr>
          <w:p w:rsidR="00D31DC6" w:rsidRPr="00A505A0" w:rsidRDefault="00D31DC6" w:rsidP="00A505A0">
            <w:pPr>
              <w:cnfStyle w:val="000000100000" w:firstRow="0" w:lastRow="0" w:firstColumn="0" w:lastColumn="0" w:oddVBand="0" w:evenVBand="0" w:oddHBand="1" w:evenHBand="0" w:firstRowFirstColumn="0" w:firstRowLastColumn="0" w:lastRowFirstColumn="0" w:lastRowLastColumn="0"/>
              <w:rPr>
                <w:sz w:val="16"/>
                <w:szCs w:val="16"/>
              </w:rPr>
            </w:pPr>
            <w:r w:rsidRPr="00A505A0">
              <w:rPr>
                <w:sz w:val="16"/>
                <w:szCs w:val="16"/>
              </w:rPr>
              <w:t>0.97</w:t>
            </w:r>
          </w:p>
        </w:tc>
      </w:tr>
    </w:tbl>
    <w:p w:rsidR="008E702A" w:rsidRDefault="008E702A">
      <w:pPr>
        <w:spacing w:after="200" w:line="276" w:lineRule="auto"/>
      </w:pPr>
    </w:p>
    <w:p w:rsidR="008E702A" w:rsidRDefault="00877091" w:rsidP="008E702A">
      <w:pPr>
        <w:spacing w:line="360" w:lineRule="auto"/>
        <w:jc w:val="both"/>
        <w:rPr>
          <w:rFonts w:ascii="Times New Roman" w:hAnsi="Times New Roman" w:cs="Times New Roman"/>
          <w:b/>
        </w:rPr>
      </w:pPr>
      <w:proofErr w:type="gramStart"/>
      <w:r>
        <w:rPr>
          <w:rFonts w:ascii="Times New Roman" w:hAnsi="Times New Roman" w:cs="Times New Roman"/>
          <w:b/>
        </w:rPr>
        <w:t>Supplementary</w:t>
      </w:r>
      <w:r w:rsidR="008E702A">
        <w:rPr>
          <w:rFonts w:ascii="Times New Roman" w:hAnsi="Times New Roman" w:cs="Times New Roman"/>
          <w:b/>
        </w:rPr>
        <w:t xml:space="preserve"> Table </w:t>
      </w:r>
      <w:r w:rsidR="00D31DC6">
        <w:rPr>
          <w:rFonts w:ascii="Times New Roman" w:hAnsi="Times New Roman" w:cs="Times New Roman"/>
          <w:b/>
        </w:rPr>
        <w:t>4</w:t>
      </w:r>
      <w:r w:rsidR="008E702A">
        <w:rPr>
          <w:rFonts w:ascii="Times New Roman" w:hAnsi="Times New Roman" w:cs="Times New Roman"/>
          <w:b/>
        </w:rPr>
        <w:t>.</w:t>
      </w:r>
      <w:proofErr w:type="gramEnd"/>
      <w:r w:rsidR="008E702A">
        <w:rPr>
          <w:rFonts w:ascii="Times New Roman" w:hAnsi="Times New Roman" w:cs="Times New Roman"/>
          <w:b/>
        </w:rPr>
        <w:t xml:space="preserve"> Signatures of APOBEC</w:t>
      </w:r>
    </w:p>
    <w:tbl>
      <w:tblPr>
        <w:tblStyle w:val="-5"/>
        <w:tblW w:w="9885" w:type="dxa"/>
        <w:tblLayout w:type="fixed"/>
        <w:tblLook w:val="04A0" w:firstRow="1" w:lastRow="0" w:firstColumn="1" w:lastColumn="0" w:noHBand="0" w:noVBand="1"/>
      </w:tblPr>
      <w:tblGrid>
        <w:gridCol w:w="1384"/>
        <w:gridCol w:w="427"/>
        <w:gridCol w:w="913"/>
        <w:gridCol w:w="987"/>
        <w:gridCol w:w="1502"/>
        <w:gridCol w:w="994"/>
        <w:gridCol w:w="1135"/>
        <w:gridCol w:w="1276"/>
        <w:gridCol w:w="1267"/>
      </w:tblGrid>
      <w:tr w:rsidR="008E702A" w:rsidTr="008E70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8E702A" w:rsidRDefault="008E702A">
            <w:pPr>
              <w:spacing w:line="360" w:lineRule="auto"/>
              <w:rPr>
                <w:rFonts w:ascii="Times New Roman" w:hAnsi="Times New Roman" w:cs="Times New Roman"/>
                <w:noProof/>
                <w:sz w:val="12"/>
                <w:szCs w:val="12"/>
              </w:rPr>
            </w:pPr>
          </w:p>
        </w:tc>
        <w:tc>
          <w:tcPr>
            <w:tcW w:w="2326" w:type="dxa"/>
            <w:gridSpan w:val="3"/>
            <w:hideMark/>
          </w:tcPr>
          <w:p w:rsidR="008E702A" w:rsidRDefault="008E702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2"/>
                <w:szCs w:val="12"/>
              </w:rPr>
            </w:pPr>
            <w:r>
              <w:rPr>
                <w:rFonts w:ascii="Times New Roman" w:hAnsi="Times New Roman" w:cs="Times New Roman"/>
                <w:noProof/>
                <w:sz w:val="12"/>
                <w:szCs w:val="12"/>
              </w:rPr>
              <w:t>Correlation with the canonical APOBEC3B signature</w:t>
            </w:r>
          </w:p>
        </w:tc>
        <w:tc>
          <w:tcPr>
            <w:tcW w:w="1501" w:type="dxa"/>
            <w:vMerge w:val="restart"/>
            <w:tcBorders>
              <w:bottom w:val="nil"/>
            </w:tcBorders>
            <w:hideMark/>
          </w:tcPr>
          <w:p w:rsidR="008E702A" w:rsidRDefault="008E702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2"/>
                <w:szCs w:val="12"/>
              </w:rPr>
            </w:pPr>
            <w:r>
              <w:rPr>
                <w:rFonts w:ascii="Times New Roman" w:hAnsi="Times New Roman" w:cs="Times New Roman"/>
                <w:noProof/>
                <w:sz w:val="12"/>
                <w:szCs w:val="12"/>
              </w:rPr>
              <w:t>Average number of APOBEC3B-induced mutations per tumor</w:t>
            </w:r>
          </w:p>
        </w:tc>
        <w:tc>
          <w:tcPr>
            <w:tcW w:w="993" w:type="dxa"/>
            <w:vMerge w:val="restart"/>
            <w:tcBorders>
              <w:bottom w:val="nil"/>
            </w:tcBorders>
            <w:hideMark/>
          </w:tcPr>
          <w:p w:rsidR="008E702A" w:rsidRDefault="008E702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2"/>
                <w:szCs w:val="12"/>
              </w:rPr>
            </w:pPr>
            <w:r>
              <w:rPr>
                <w:rFonts w:ascii="Times New Roman" w:hAnsi="Times New Roman" w:cs="Times New Roman"/>
                <w:noProof/>
                <w:sz w:val="12"/>
                <w:szCs w:val="12"/>
              </w:rPr>
              <w:t>Fraction of APOBEC3B-induced mutations</w:t>
            </w:r>
          </w:p>
        </w:tc>
        <w:tc>
          <w:tcPr>
            <w:tcW w:w="1134" w:type="dxa"/>
            <w:vMerge w:val="restart"/>
            <w:tcBorders>
              <w:bottom w:val="nil"/>
            </w:tcBorders>
            <w:hideMark/>
          </w:tcPr>
          <w:p w:rsidR="008E702A" w:rsidRDefault="008E702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2"/>
                <w:szCs w:val="12"/>
              </w:rPr>
            </w:pPr>
            <w:r>
              <w:rPr>
                <w:rFonts w:ascii="Times New Roman" w:hAnsi="Times New Roman" w:cs="Times New Roman"/>
                <w:noProof/>
                <w:sz w:val="12"/>
                <w:szCs w:val="12"/>
              </w:rPr>
              <w:t>APOBEC3B-induced mutation rate per 10</w:t>
            </w:r>
            <w:r>
              <w:rPr>
                <w:rFonts w:ascii="Times New Roman" w:hAnsi="Times New Roman" w:cs="Times New Roman"/>
                <w:noProof/>
                <w:sz w:val="12"/>
                <w:szCs w:val="12"/>
                <w:vertAlign w:val="superscript"/>
              </w:rPr>
              <w:t>6</w:t>
            </w:r>
            <w:r>
              <w:rPr>
                <w:rFonts w:ascii="Times New Roman" w:hAnsi="Times New Roman" w:cs="Times New Roman"/>
                <w:noProof/>
                <w:sz w:val="12"/>
                <w:szCs w:val="12"/>
              </w:rPr>
              <w:t xml:space="preserve"> sites</w:t>
            </w:r>
          </w:p>
        </w:tc>
        <w:tc>
          <w:tcPr>
            <w:tcW w:w="1275" w:type="dxa"/>
            <w:vMerge w:val="restart"/>
            <w:tcBorders>
              <w:bottom w:val="nil"/>
            </w:tcBorders>
            <w:hideMark/>
          </w:tcPr>
          <w:p w:rsidR="008E702A" w:rsidRDefault="008E702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2"/>
                <w:szCs w:val="12"/>
              </w:rPr>
            </w:pPr>
            <w:r>
              <w:rPr>
                <w:rFonts w:ascii="Times New Roman" w:hAnsi="Times New Roman" w:cs="Times New Roman"/>
                <w:noProof/>
                <w:sz w:val="12"/>
                <w:szCs w:val="12"/>
              </w:rPr>
              <w:t>Normalized APOBEC3B-induced mutation rate</w:t>
            </w:r>
          </w:p>
        </w:tc>
        <w:tc>
          <w:tcPr>
            <w:tcW w:w="1266" w:type="dxa"/>
            <w:vMerge w:val="restart"/>
            <w:tcBorders>
              <w:bottom w:val="nil"/>
            </w:tcBorders>
            <w:hideMark/>
          </w:tcPr>
          <w:p w:rsidR="008E702A" w:rsidRDefault="008E702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2"/>
                <w:szCs w:val="12"/>
              </w:rPr>
            </w:pPr>
            <w:r>
              <w:rPr>
                <w:rFonts w:ascii="Times New Roman" w:hAnsi="Times New Roman" w:cs="Times New Roman"/>
                <w:noProof/>
                <w:sz w:val="12"/>
                <w:szCs w:val="12"/>
              </w:rPr>
              <w:t>Lagging strand bias in bottom 10% fp bin</w:t>
            </w:r>
          </w:p>
        </w:tc>
      </w:tr>
      <w:tr w:rsidR="008E702A" w:rsidTr="008E70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nil"/>
              <w:bottom w:val="nil"/>
            </w:tcBorders>
          </w:tcPr>
          <w:p w:rsidR="008E702A" w:rsidRDefault="008E702A">
            <w:pPr>
              <w:spacing w:line="360" w:lineRule="auto"/>
              <w:rPr>
                <w:rFonts w:ascii="Times New Roman" w:hAnsi="Times New Roman" w:cs="Times New Roman"/>
                <w:noProof/>
                <w:sz w:val="12"/>
                <w:szCs w:val="12"/>
              </w:rPr>
            </w:pPr>
          </w:p>
        </w:tc>
        <w:tc>
          <w:tcPr>
            <w:tcW w:w="428" w:type="dxa"/>
            <w:tcBorders>
              <w:top w:val="nil"/>
              <w:bottom w:val="nil"/>
            </w:tcBorders>
            <w:hideMark/>
          </w:tcPr>
          <w:p w:rsidR="008E702A" w:rsidRDefault="008E702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2"/>
                <w:szCs w:val="12"/>
              </w:rPr>
            </w:pPr>
            <w:r>
              <w:rPr>
                <w:rFonts w:ascii="Times New Roman" w:hAnsi="Times New Roman" w:cs="Times New Roman"/>
                <w:noProof/>
                <w:sz w:val="12"/>
                <w:szCs w:val="12"/>
              </w:rPr>
              <w:t>ρ</w:t>
            </w:r>
          </w:p>
        </w:tc>
        <w:tc>
          <w:tcPr>
            <w:tcW w:w="912" w:type="dxa"/>
            <w:tcBorders>
              <w:top w:val="nil"/>
              <w:bottom w:val="nil"/>
            </w:tcBorders>
            <w:hideMark/>
          </w:tcPr>
          <w:p w:rsidR="008E702A" w:rsidRDefault="008E702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2"/>
                <w:szCs w:val="12"/>
              </w:rPr>
            </w:pPr>
            <w:r>
              <w:rPr>
                <w:rFonts w:ascii="Times New Roman" w:hAnsi="Times New Roman" w:cs="Times New Roman"/>
                <w:noProof/>
                <w:sz w:val="12"/>
                <w:szCs w:val="12"/>
              </w:rPr>
              <w:t>P-value</w:t>
            </w:r>
          </w:p>
        </w:tc>
        <w:tc>
          <w:tcPr>
            <w:tcW w:w="986" w:type="dxa"/>
            <w:tcBorders>
              <w:top w:val="nil"/>
              <w:bottom w:val="nil"/>
            </w:tcBorders>
            <w:hideMark/>
          </w:tcPr>
          <w:p w:rsidR="008E702A" w:rsidRDefault="008E702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2"/>
                <w:szCs w:val="12"/>
              </w:rPr>
            </w:pPr>
            <w:r>
              <w:rPr>
                <w:rFonts w:ascii="Times New Roman" w:hAnsi="Times New Roman" w:cs="Times New Roman"/>
                <w:noProof/>
                <w:sz w:val="12"/>
                <w:szCs w:val="12"/>
              </w:rPr>
              <w:t>Fold enrichment</w:t>
            </w:r>
          </w:p>
        </w:tc>
        <w:tc>
          <w:tcPr>
            <w:tcW w:w="1501" w:type="dxa"/>
            <w:vMerge/>
            <w:tcBorders>
              <w:top w:val="single" w:sz="8" w:space="0" w:color="4BACC6" w:themeColor="accent5"/>
              <w:bottom w:val="nil"/>
            </w:tcBorders>
            <w:vAlign w:val="center"/>
            <w:hideMark/>
          </w:tcPr>
          <w:p w:rsidR="008E702A" w:rsidRDefault="008E70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12"/>
                <w:szCs w:val="12"/>
              </w:rPr>
            </w:pPr>
          </w:p>
        </w:tc>
        <w:tc>
          <w:tcPr>
            <w:tcW w:w="993" w:type="dxa"/>
            <w:vMerge/>
            <w:tcBorders>
              <w:top w:val="single" w:sz="8" w:space="0" w:color="4BACC6" w:themeColor="accent5"/>
              <w:bottom w:val="nil"/>
            </w:tcBorders>
            <w:vAlign w:val="center"/>
            <w:hideMark/>
          </w:tcPr>
          <w:p w:rsidR="008E702A" w:rsidRDefault="008E70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12"/>
                <w:szCs w:val="12"/>
              </w:rPr>
            </w:pPr>
          </w:p>
        </w:tc>
        <w:tc>
          <w:tcPr>
            <w:tcW w:w="1134" w:type="dxa"/>
            <w:vMerge/>
            <w:tcBorders>
              <w:top w:val="single" w:sz="8" w:space="0" w:color="4BACC6" w:themeColor="accent5"/>
              <w:bottom w:val="nil"/>
            </w:tcBorders>
            <w:vAlign w:val="center"/>
            <w:hideMark/>
          </w:tcPr>
          <w:p w:rsidR="008E702A" w:rsidRDefault="008E70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12"/>
                <w:szCs w:val="12"/>
              </w:rPr>
            </w:pPr>
          </w:p>
        </w:tc>
        <w:tc>
          <w:tcPr>
            <w:tcW w:w="1275" w:type="dxa"/>
            <w:vMerge/>
            <w:tcBorders>
              <w:top w:val="single" w:sz="8" w:space="0" w:color="4BACC6" w:themeColor="accent5"/>
              <w:bottom w:val="nil"/>
            </w:tcBorders>
            <w:vAlign w:val="center"/>
            <w:hideMark/>
          </w:tcPr>
          <w:p w:rsidR="008E702A" w:rsidRDefault="008E70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12"/>
                <w:szCs w:val="12"/>
              </w:rPr>
            </w:pPr>
          </w:p>
        </w:tc>
        <w:tc>
          <w:tcPr>
            <w:tcW w:w="1266" w:type="dxa"/>
            <w:vMerge/>
            <w:tcBorders>
              <w:top w:val="single" w:sz="8" w:space="0" w:color="4BACC6" w:themeColor="accent5"/>
              <w:bottom w:val="nil"/>
            </w:tcBorders>
            <w:vAlign w:val="center"/>
            <w:hideMark/>
          </w:tcPr>
          <w:p w:rsidR="008E702A" w:rsidRDefault="008E70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12"/>
                <w:szCs w:val="12"/>
              </w:rPr>
            </w:pPr>
          </w:p>
        </w:tc>
      </w:tr>
      <w:tr w:rsidR="008E702A" w:rsidTr="008E702A">
        <w:tc>
          <w:tcPr>
            <w:cnfStyle w:val="001000000000" w:firstRow="0" w:lastRow="0" w:firstColumn="1" w:lastColumn="0" w:oddVBand="0" w:evenVBand="0" w:oddHBand="0" w:evenHBand="0" w:firstRowFirstColumn="0" w:firstRowLastColumn="0" w:lastRowFirstColumn="0" w:lastRowLastColumn="0"/>
            <w:tcW w:w="1384" w:type="dxa"/>
            <w:tcBorders>
              <w:top w:val="nil"/>
              <w:left w:val="nil"/>
              <w:bottom w:val="nil"/>
              <w:right w:val="nil"/>
            </w:tcBorders>
            <w:hideMark/>
          </w:tcPr>
          <w:p w:rsidR="008E702A" w:rsidRDefault="008E702A">
            <w:pPr>
              <w:spacing w:line="360" w:lineRule="auto"/>
              <w:rPr>
                <w:rFonts w:ascii="Times New Roman" w:hAnsi="Times New Roman" w:cs="Times New Roman"/>
                <w:noProof/>
              </w:rPr>
            </w:pPr>
            <w:r>
              <w:rPr>
                <w:rFonts w:ascii="Times New Roman" w:hAnsi="Times New Roman" w:cs="Times New Roman"/>
                <w:noProof/>
                <w:sz w:val="12"/>
                <w:szCs w:val="12"/>
              </w:rPr>
              <w:t>Canonical (Tp</w:t>
            </w:r>
            <w:r>
              <w:rPr>
                <w:rFonts w:ascii="Times New Roman" w:hAnsi="Times New Roman" w:cs="Times New Roman"/>
                <w:noProof/>
                <w:sz w:val="12"/>
                <w:szCs w:val="12"/>
                <w:u w:val="single"/>
              </w:rPr>
              <w:t>C</w:t>
            </w:r>
            <w:r>
              <w:rPr>
                <w:rFonts w:ascii="Times New Roman" w:hAnsi="Times New Roman" w:cs="Times New Roman"/>
                <w:noProof/>
                <w:sz w:val="12"/>
                <w:szCs w:val="12"/>
              </w:rPr>
              <w:t>pW→TpKpW)</w:t>
            </w:r>
          </w:p>
        </w:tc>
        <w:tc>
          <w:tcPr>
            <w:tcW w:w="428" w:type="dxa"/>
            <w:tcBorders>
              <w:top w:val="nil"/>
              <w:left w:val="nil"/>
              <w:bottom w:val="nil"/>
              <w:right w:val="nil"/>
            </w:tcBorders>
            <w:hideMark/>
          </w:tcPr>
          <w:p w:rsidR="008E702A" w:rsidRDefault="008E70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2"/>
                <w:szCs w:val="12"/>
              </w:rPr>
            </w:pPr>
            <w:r>
              <w:rPr>
                <w:rFonts w:ascii="Times New Roman" w:hAnsi="Times New Roman" w:cs="Times New Roman"/>
                <w:noProof/>
                <w:sz w:val="12"/>
                <w:szCs w:val="12"/>
              </w:rPr>
              <w:t>-</w:t>
            </w:r>
          </w:p>
        </w:tc>
        <w:tc>
          <w:tcPr>
            <w:tcW w:w="912" w:type="dxa"/>
            <w:tcBorders>
              <w:top w:val="nil"/>
              <w:left w:val="nil"/>
              <w:bottom w:val="nil"/>
              <w:right w:val="nil"/>
            </w:tcBorders>
            <w:hideMark/>
          </w:tcPr>
          <w:p w:rsidR="008E702A" w:rsidRDefault="008E70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2"/>
                <w:szCs w:val="12"/>
              </w:rPr>
            </w:pPr>
            <w:r>
              <w:rPr>
                <w:rFonts w:ascii="Times New Roman" w:hAnsi="Times New Roman" w:cs="Times New Roman"/>
                <w:noProof/>
                <w:sz w:val="12"/>
                <w:szCs w:val="12"/>
              </w:rPr>
              <w:t>-</w:t>
            </w:r>
          </w:p>
        </w:tc>
        <w:tc>
          <w:tcPr>
            <w:tcW w:w="986" w:type="dxa"/>
            <w:tcBorders>
              <w:top w:val="nil"/>
              <w:left w:val="nil"/>
              <w:bottom w:val="nil"/>
              <w:right w:val="nil"/>
            </w:tcBorders>
            <w:hideMark/>
          </w:tcPr>
          <w:p w:rsidR="008E702A" w:rsidRDefault="008E70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2"/>
                <w:szCs w:val="12"/>
              </w:rPr>
            </w:pPr>
            <w:r>
              <w:rPr>
                <w:rFonts w:ascii="Times New Roman" w:hAnsi="Times New Roman" w:cs="Times New Roman"/>
                <w:noProof/>
                <w:sz w:val="12"/>
                <w:szCs w:val="12"/>
              </w:rPr>
              <w:t>20</w:t>
            </w:r>
          </w:p>
        </w:tc>
        <w:tc>
          <w:tcPr>
            <w:tcW w:w="1501" w:type="dxa"/>
            <w:tcBorders>
              <w:top w:val="nil"/>
              <w:left w:val="nil"/>
              <w:bottom w:val="nil"/>
              <w:right w:val="nil"/>
            </w:tcBorders>
            <w:hideMark/>
          </w:tcPr>
          <w:p w:rsidR="008E702A" w:rsidRDefault="008E70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2"/>
                <w:szCs w:val="12"/>
              </w:rPr>
            </w:pPr>
            <w:r>
              <w:rPr>
                <w:rFonts w:ascii="Times New Roman" w:hAnsi="Times New Roman" w:cs="Times New Roman"/>
                <w:noProof/>
                <w:sz w:val="12"/>
                <w:szCs w:val="12"/>
              </w:rPr>
              <w:t>6,060</w:t>
            </w:r>
          </w:p>
        </w:tc>
        <w:tc>
          <w:tcPr>
            <w:tcW w:w="993" w:type="dxa"/>
            <w:tcBorders>
              <w:top w:val="nil"/>
              <w:left w:val="nil"/>
              <w:bottom w:val="nil"/>
              <w:right w:val="nil"/>
            </w:tcBorders>
            <w:hideMark/>
          </w:tcPr>
          <w:p w:rsidR="008E702A" w:rsidRDefault="008E70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2"/>
                <w:szCs w:val="12"/>
              </w:rPr>
            </w:pPr>
            <w:r>
              <w:rPr>
                <w:rFonts w:ascii="Times New Roman" w:hAnsi="Times New Roman" w:cs="Times New Roman"/>
                <w:noProof/>
                <w:sz w:val="12"/>
                <w:szCs w:val="12"/>
              </w:rPr>
              <w:t>0.95</w:t>
            </w:r>
          </w:p>
        </w:tc>
        <w:tc>
          <w:tcPr>
            <w:tcW w:w="1134" w:type="dxa"/>
            <w:tcBorders>
              <w:top w:val="nil"/>
              <w:left w:val="nil"/>
              <w:bottom w:val="nil"/>
              <w:right w:val="nil"/>
            </w:tcBorders>
            <w:hideMark/>
          </w:tcPr>
          <w:p w:rsidR="008E702A" w:rsidRDefault="008E70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2"/>
                <w:szCs w:val="12"/>
              </w:rPr>
            </w:pPr>
            <w:r>
              <w:rPr>
                <w:rFonts w:ascii="Times New Roman" w:hAnsi="Times New Roman" w:cs="Times New Roman"/>
                <w:noProof/>
                <w:sz w:val="12"/>
                <w:szCs w:val="12"/>
              </w:rPr>
              <w:t>50.90</w:t>
            </w:r>
          </w:p>
        </w:tc>
        <w:tc>
          <w:tcPr>
            <w:tcW w:w="1275" w:type="dxa"/>
            <w:tcBorders>
              <w:top w:val="nil"/>
              <w:left w:val="nil"/>
              <w:bottom w:val="nil"/>
              <w:right w:val="nil"/>
            </w:tcBorders>
            <w:hideMark/>
          </w:tcPr>
          <w:p w:rsidR="008E702A" w:rsidRDefault="008E70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2"/>
                <w:szCs w:val="12"/>
              </w:rPr>
            </w:pPr>
            <w:r>
              <w:rPr>
                <w:rFonts w:ascii="Times New Roman" w:hAnsi="Times New Roman" w:cs="Times New Roman"/>
                <w:noProof/>
                <w:sz w:val="12"/>
                <w:szCs w:val="12"/>
              </w:rPr>
              <w:t>1</w:t>
            </w:r>
          </w:p>
        </w:tc>
        <w:tc>
          <w:tcPr>
            <w:tcW w:w="1266" w:type="dxa"/>
            <w:tcBorders>
              <w:top w:val="nil"/>
              <w:left w:val="nil"/>
              <w:bottom w:val="nil"/>
              <w:right w:val="nil"/>
            </w:tcBorders>
            <w:hideMark/>
          </w:tcPr>
          <w:p w:rsidR="008E702A" w:rsidRDefault="008E70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2"/>
                <w:szCs w:val="12"/>
              </w:rPr>
            </w:pPr>
            <w:r>
              <w:rPr>
                <w:rFonts w:ascii="Times New Roman" w:hAnsi="Times New Roman" w:cs="Times New Roman"/>
                <w:noProof/>
                <w:sz w:val="12"/>
                <w:szCs w:val="12"/>
              </w:rPr>
              <w:t>1.97</w:t>
            </w:r>
          </w:p>
        </w:tc>
      </w:tr>
      <w:tr w:rsidR="008E702A" w:rsidTr="008E70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nil"/>
              <w:bottom w:val="nil"/>
            </w:tcBorders>
            <w:hideMark/>
          </w:tcPr>
          <w:p w:rsidR="008E702A" w:rsidRDefault="008E702A">
            <w:pPr>
              <w:spacing w:line="360" w:lineRule="auto"/>
              <w:rPr>
                <w:rFonts w:ascii="Times New Roman" w:hAnsi="Times New Roman" w:cs="Times New Roman"/>
                <w:noProof/>
              </w:rPr>
            </w:pPr>
            <w:r>
              <w:rPr>
                <w:rFonts w:ascii="Times New Roman" w:hAnsi="Times New Roman" w:cs="Times New Roman"/>
                <w:noProof/>
                <w:sz w:val="12"/>
                <w:szCs w:val="12"/>
              </w:rPr>
              <w:t>Non-canonical 1 (Tp</w:t>
            </w:r>
            <w:r>
              <w:rPr>
                <w:rFonts w:ascii="Times New Roman" w:hAnsi="Times New Roman" w:cs="Times New Roman"/>
                <w:noProof/>
                <w:sz w:val="12"/>
                <w:szCs w:val="12"/>
                <w:u w:val="single"/>
              </w:rPr>
              <w:t>C</w:t>
            </w:r>
            <w:r>
              <w:rPr>
                <w:rFonts w:ascii="Times New Roman" w:hAnsi="Times New Roman" w:cs="Times New Roman"/>
                <w:noProof/>
                <w:sz w:val="12"/>
                <w:szCs w:val="12"/>
              </w:rPr>
              <w:t>pS→TpKpS)</w:t>
            </w:r>
          </w:p>
        </w:tc>
        <w:tc>
          <w:tcPr>
            <w:tcW w:w="428" w:type="dxa"/>
            <w:tcBorders>
              <w:top w:val="nil"/>
              <w:bottom w:val="nil"/>
            </w:tcBorders>
            <w:hideMark/>
          </w:tcPr>
          <w:p w:rsidR="008E702A" w:rsidRDefault="008E702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2"/>
                <w:szCs w:val="12"/>
                <w:lang w:val="ru-RU"/>
              </w:rPr>
            </w:pPr>
            <w:r>
              <w:rPr>
                <w:rFonts w:ascii="Times New Roman" w:hAnsi="Times New Roman" w:cs="Times New Roman"/>
                <w:noProof/>
                <w:sz w:val="12"/>
                <w:szCs w:val="12"/>
                <w:lang w:val="ru-RU"/>
              </w:rPr>
              <w:t>0</w:t>
            </w:r>
            <w:r>
              <w:rPr>
                <w:rFonts w:ascii="Times New Roman" w:hAnsi="Times New Roman" w:cs="Times New Roman"/>
                <w:noProof/>
                <w:sz w:val="12"/>
                <w:szCs w:val="12"/>
              </w:rPr>
              <w:t>.</w:t>
            </w:r>
            <w:r>
              <w:rPr>
                <w:rFonts w:ascii="Times New Roman" w:hAnsi="Times New Roman" w:cs="Times New Roman"/>
                <w:noProof/>
                <w:sz w:val="12"/>
                <w:szCs w:val="12"/>
                <w:lang w:val="ru-RU"/>
              </w:rPr>
              <w:t>94</w:t>
            </w:r>
          </w:p>
        </w:tc>
        <w:tc>
          <w:tcPr>
            <w:tcW w:w="912" w:type="dxa"/>
            <w:tcBorders>
              <w:top w:val="nil"/>
              <w:bottom w:val="nil"/>
            </w:tcBorders>
            <w:hideMark/>
          </w:tcPr>
          <w:p w:rsidR="008E702A" w:rsidRDefault="008E702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2"/>
                <w:szCs w:val="12"/>
              </w:rPr>
            </w:pPr>
            <w:r>
              <w:rPr>
                <w:rFonts w:ascii="Times New Roman" w:hAnsi="Times New Roman" w:cs="Times New Roman"/>
                <w:noProof/>
                <w:sz w:val="12"/>
                <w:szCs w:val="12"/>
              </w:rPr>
              <w:t>3.9×10</w:t>
            </w:r>
            <w:r>
              <w:rPr>
                <w:rFonts w:ascii="Times New Roman" w:hAnsi="Times New Roman" w:cs="Times New Roman"/>
                <w:noProof/>
                <w:sz w:val="12"/>
                <w:szCs w:val="12"/>
                <w:vertAlign w:val="superscript"/>
              </w:rPr>
              <w:t>-6</w:t>
            </w:r>
          </w:p>
        </w:tc>
        <w:tc>
          <w:tcPr>
            <w:tcW w:w="986" w:type="dxa"/>
            <w:tcBorders>
              <w:top w:val="nil"/>
              <w:bottom w:val="nil"/>
            </w:tcBorders>
            <w:hideMark/>
          </w:tcPr>
          <w:p w:rsidR="008E702A" w:rsidRDefault="008E702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2"/>
                <w:szCs w:val="12"/>
              </w:rPr>
            </w:pPr>
            <w:r>
              <w:rPr>
                <w:rFonts w:ascii="Times New Roman" w:hAnsi="Times New Roman" w:cs="Times New Roman"/>
                <w:noProof/>
                <w:sz w:val="12"/>
                <w:szCs w:val="12"/>
              </w:rPr>
              <w:t>3.12</w:t>
            </w:r>
          </w:p>
        </w:tc>
        <w:tc>
          <w:tcPr>
            <w:tcW w:w="1501" w:type="dxa"/>
            <w:tcBorders>
              <w:top w:val="nil"/>
              <w:bottom w:val="nil"/>
            </w:tcBorders>
            <w:hideMark/>
          </w:tcPr>
          <w:p w:rsidR="008E702A" w:rsidRDefault="008E702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2"/>
                <w:szCs w:val="12"/>
              </w:rPr>
            </w:pPr>
            <w:r>
              <w:rPr>
                <w:rFonts w:ascii="Times New Roman" w:hAnsi="Times New Roman" w:cs="Times New Roman"/>
                <w:noProof/>
                <w:sz w:val="12"/>
                <w:szCs w:val="12"/>
              </w:rPr>
              <w:t>489</w:t>
            </w:r>
          </w:p>
        </w:tc>
        <w:tc>
          <w:tcPr>
            <w:tcW w:w="993" w:type="dxa"/>
            <w:tcBorders>
              <w:top w:val="nil"/>
              <w:bottom w:val="nil"/>
            </w:tcBorders>
            <w:hideMark/>
          </w:tcPr>
          <w:p w:rsidR="008E702A" w:rsidRDefault="008E702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2"/>
                <w:szCs w:val="12"/>
              </w:rPr>
            </w:pPr>
            <w:r>
              <w:rPr>
                <w:rFonts w:ascii="Times New Roman" w:hAnsi="Times New Roman" w:cs="Times New Roman"/>
                <w:noProof/>
                <w:sz w:val="12"/>
                <w:szCs w:val="12"/>
              </w:rPr>
              <w:t>0.68</w:t>
            </w:r>
          </w:p>
        </w:tc>
        <w:tc>
          <w:tcPr>
            <w:tcW w:w="1134" w:type="dxa"/>
            <w:tcBorders>
              <w:top w:val="nil"/>
              <w:bottom w:val="nil"/>
            </w:tcBorders>
            <w:hideMark/>
          </w:tcPr>
          <w:p w:rsidR="008E702A" w:rsidRDefault="008E702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2"/>
                <w:szCs w:val="12"/>
              </w:rPr>
            </w:pPr>
            <w:r>
              <w:rPr>
                <w:rFonts w:ascii="Times New Roman" w:hAnsi="Times New Roman" w:cs="Times New Roman"/>
                <w:noProof/>
                <w:sz w:val="12"/>
                <w:szCs w:val="12"/>
              </w:rPr>
              <w:t>9.51</w:t>
            </w:r>
          </w:p>
        </w:tc>
        <w:tc>
          <w:tcPr>
            <w:tcW w:w="1275" w:type="dxa"/>
            <w:tcBorders>
              <w:top w:val="nil"/>
              <w:bottom w:val="nil"/>
            </w:tcBorders>
            <w:hideMark/>
          </w:tcPr>
          <w:p w:rsidR="008E702A" w:rsidRDefault="008E702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2"/>
                <w:szCs w:val="12"/>
              </w:rPr>
            </w:pPr>
            <w:r>
              <w:rPr>
                <w:rFonts w:ascii="Times New Roman" w:hAnsi="Times New Roman" w:cs="Times New Roman"/>
                <w:noProof/>
                <w:sz w:val="12"/>
                <w:szCs w:val="12"/>
              </w:rPr>
              <w:t>0.19</w:t>
            </w:r>
          </w:p>
        </w:tc>
        <w:tc>
          <w:tcPr>
            <w:tcW w:w="1266" w:type="dxa"/>
            <w:tcBorders>
              <w:top w:val="nil"/>
              <w:bottom w:val="nil"/>
            </w:tcBorders>
            <w:hideMark/>
          </w:tcPr>
          <w:p w:rsidR="008E702A" w:rsidRDefault="008E702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2"/>
                <w:szCs w:val="12"/>
              </w:rPr>
            </w:pPr>
            <w:r>
              <w:rPr>
                <w:rFonts w:ascii="Times New Roman" w:hAnsi="Times New Roman" w:cs="Times New Roman"/>
                <w:noProof/>
                <w:sz w:val="12"/>
                <w:szCs w:val="12"/>
              </w:rPr>
              <w:t>1.90</w:t>
            </w:r>
          </w:p>
        </w:tc>
      </w:tr>
      <w:tr w:rsidR="008E702A" w:rsidTr="008E702A">
        <w:tc>
          <w:tcPr>
            <w:cnfStyle w:val="001000000000" w:firstRow="0" w:lastRow="0" w:firstColumn="1" w:lastColumn="0" w:oddVBand="0" w:evenVBand="0" w:oddHBand="0" w:evenHBand="0" w:firstRowFirstColumn="0" w:firstRowLastColumn="0" w:lastRowFirstColumn="0" w:lastRowLastColumn="0"/>
            <w:tcW w:w="1384" w:type="dxa"/>
            <w:tcBorders>
              <w:top w:val="nil"/>
              <w:left w:val="nil"/>
              <w:bottom w:val="single" w:sz="8" w:space="0" w:color="4BACC6" w:themeColor="accent5"/>
              <w:right w:val="nil"/>
            </w:tcBorders>
            <w:hideMark/>
          </w:tcPr>
          <w:p w:rsidR="008E702A" w:rsidRDefault="008E702A">
            <w:pPr>
              <w:spacing w:line="360" w:lineRule="auto"/>
              <w:rPr>
                <w:rFonts w:ascii="Times New Roman" w:hAnsi="Times New Roman" w:cs="Times New Roman"/>
                <w:noProof/>
              </w:rPr>
            </w:pPr>
            <w:r>
              <w:rPr>
                <w:rFonts w:ascii="Times New Roman" w:hAnsi="Times New Roman" w:cs="Times New Roman"/>
                <w:noProof/>
                <w:sz w:val="12"/>
                <w:szCs w:val="12"/>
              </w:rPr>
              <w:t>Non-canonical 2 (Tp</w:t>
            </w:r>
            <w:r>
              <w:rPr>
                <w:rFonts w:ascii="Times New Roman" w:hAnsi="Times New Roman" w:cs="Times New Roman"/>
                <w:noProof/>
                <w:sz w:val="12"/>
                <w:szCs w:val="12"/>
                <w:u w:val="single"/>
              </w:rPr>
              <w:t>C</w:t>
            </w:r>
            <w:r>
              <w:rPr>
                <w:rFonts w:ascii="Times New Roman" w:hAnsi="Times New Roman" w:cs="Times New Roman"/>
                <w:noProof/>
                <w:sz w:val="12"/>
                <w:szCs w:val="12"/>
              </w:rPr>
              <w:t>pN→TpApN)</w:t>
            </w:r>
          </w:p>
        </w:tc>
        <w:tc>
          <w:tcPr>
            <w:tcW w:w="428" w:type="dxa"/>
            <w:tcBorders>
              <w:top w:val="nil"/>
              <w:left w:val="nil"/>
              <w:bottom w:val="single" w:sz="8" w:space="0" w:color="4BACC6" w:themeColor="accent5"/>
              <w:right w:val="nil"/>
            </w:tcBorders>
            <w:hideMark/>
          </w:tcPr>
          <w:p w:rsidR="008E702A" w:rsidRDefault="008E70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2"/>
                <w:szCs w:val="12"/>
              </w:rPr>
            </w:pPr>
            <w:r>
              <w:rPr>
                <w:rFonts w:ascii="Times New Roman" w:hAnsi="Times New Roman" w:cs="Times New Roman"/>
                <w:noProof/>
                <w:sz w:val="12"/>
                <w:szCs w:val="12"/>
              </w:rPr>
              <w:t>0.91</w:t>
            </w:r>
          </w:p>
        </w:tc>
        <w:tc>
          <w:tcPr>
            <w:tcW w:w="912" w:type="dxa"/>
            <w:tcBorders>
              <w:top w:val="nil"/>
              <w:left w:val="nil"/>
              <w:bottom w:val="single" w:sz="8" w:space="0" w:color="4BACC6" w:themeColor="accent5"/>
              <w:right w:val="nil"/>
            </w:tcBorders>
            <w:hideMark/>
          </w:tcPr>
          <w:p w:rsidR="008E702A" w:rsidRDefault="008E70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sz w:val="12"/>
                <w:szCs w:val="12"/>
              </w:rPr>
              <w:t>3.2×10</w:t>
            </w:r>
            <w:r>
              <w:rPr>
                <w:rFonts w:ascii="Times New Roman" w:hAnsi="Times New Roman" w:cs="Times New Roman"/>
                <w:noProof/>
                <w:sz w:val="12"/>
                <w:szCs w:val="12"/>
                <w:vertAlign w:val="superscript"/>
              </w:rPr>
              <w:t>-6</w:t>
            </w:r>
          </w:p>
        </w:tc>
        <w:tc>
          <w:tcPr>
            <w:tcW w:w="986" w:type="dxa"/>
            <w:tcBorders>
              <w:top w:val="nil"/>
              <w:left w:val="nil"/>
              <w:bottom w:val="single" w:sz="8" w:space="0" w:color="4BACC6" w:themeColor="accent5"/>
              <w:right w:val="nil"/>
            </w:tcBorders>
            <w:hideMark/>
          </w:tcPr>
          <w:p w:rsidR="008E702A" w:rsidRDefault="008E70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2"/>
                <w:szCs w:val="12"/>
              </w:rPr>
            </w:pPr>
            <w:r>
              <w:rPr>
                <w:rFonts w:ascii="Times New Roman" w:hAnsi="Times New Roman" w:cs="Times New Roman"/>
                <w:noProof/>
                <w:sz w:val="12"/>
                <w:szCs w:val="12"/>
              </w:rPr>
              <w:t>4.28</w:t>
            </w:r>
          </w:p>
        </w:tc>
        <w:tc>
          <w:tcPr>
            <w:tcW w:w="1501" w:type="dxa"/>
            <w:tcBorders>
              <w:top w:val="nil"/>
              <w:left w:val="nil"/>
              <w:bottom w:val="single" w:sz="8" w:space="0" w:color="4BACC6" w:themeColor="accent5"/>
              <w:right w:val="nil"/>
            </w:tcBorders>
            <w:hideMark/>
          </w:tcPr>
          <w:p w:rsidR="008E702A" w:rsidRDefault="008E70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2"/>
                <w:szCs w:val="12"/>
              </w:rPr>
            </w:pPr>
            <w:r>
              <w:rPr>
                <w:rFonts w:ascii="Times New Roman" w:hAnsi="Times New Roman" w:cs="Times New Roman"/>
                <w:noProof/>
                <w:sz w:val="12"/>
                <w:szCs w:val="12"/>
              </w:rPr>
              <w:t>494</w:t>
            </w:r>
          </w:p>
        </w:tc>
        <w:tc>
          <w:tcPr>
            <w:tcW w:w="993" w:type="dxa"/>
            <w:tcBorders>
              <w:top w:val="nil"/>
              <w:left w:val="nil"/>
              <w:bottom w:val="single" w:sz="8" w:space="0" w:color="4BACC6" w:themeColor="accent5"/>
              <w:right w:val="nil"/>
            </w:tcBorders>
            <w:hideMark/>
          </w:tcPr>
          <w:p w:rsidR="008E702A" w:rsidRDefault="008E70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2"/>
                <w:szCs w:val="12"/>
              </w:rPr>
            </w:pPr>
            <w:r>
              <w:rPr>
                <w:rFonts w:ascii="Times New Roman" w:hAnsi="Times New Roman" w:cs="Times New Roman"/>
                <w:noProof/>
                <w:sz w:val="12"/>
                <w:szCs w:val="12"/>
              </w:rPr>
              <w:t>0.77</w:t>
            </w:r>
          </w:p>
        </w:tc>
        <w:tc>
          <w:tcPr>
            <w:tcW w:w="1134" w:type="dxa"/>
            <w:tcBorders>
              <w:top w:val="nil"/>
              <w:left w:val="nil"/>
              <w:bottom w:val="single" w:sz="8" w:space="0" w:color="4BACC6" w:themeColor="accent5"/>
              <w:right w:val="nil"/>
            </w:tcBorders>
            <w:hideMark/>
          </w:tcPr>
          <w:p w:rsidR="008E702A" w:rsidRDefault="008E70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2"/>
                <w:szCs w:val="12"/>
              </w:rPr>
            </w:pPr>
            <w:r>
              <w:rPr>
                <w:rFonts w:ascii="Times New Roman" w:hAnsi="Times New Roman" w:cs="Times New Roman"/>
                <w:noProof/>
                <w:sz w:val="12"/>
                <w:szCs w:val="12"/>
              </w:rPr>
              <w:t>2.90</w:t>
            </w:r>
          </w:p>
        </w:tc>
        <w:tc>
          <w:tcPr>
            <w:tcW w:w="1275" w:type="dxa"/>
            <w:tcBorders>
              <w:top w:val="nil"/>
              <w:left w:val="nil"/>
              <w:bottom w:val="single" w:sz="8" w:space="0" w:color="4BACC6" w:themeColor="accent5"/>
              <w:right w:val="nil"/>
            </w:tcBorders>
            <w:hideMark/>
          </w:tcPr>
          <w:p w:rsidR="008E702A" w:rsidRDefault="008E70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2"/>
                <w:szCs w:val="12"/>
              </w:rPr>
            </w:pPr>
            <w:r>
              <w:rPr>
                <w:rFonts w:ascii="Times New Roman" w:hAnsi="Times New Roman" w:cs="Times New Roman"/>
                <w:noProof/>
                <w:sz w:val="12"/>
                <w:szCs w:val="12"/>
              </w:rPr>
              <w:t>0.057</w:t>
            </w:r>
          </w:p>
        </w:tc>
        <w:tc>
          <w:tcPr>
            <w:tcW w:w="1266" w:type="dxa"/>
            <w:tcBorders>
              <w:top w:val="nil"/>
              <w:left w:val="nil"/>
              <w:bottom w:val="single" w:sz="8" w:space="0" w:color="4BACC6" w:themeColor="accent5"/>
              <w:right w:val="nil"/>
            </w:tcBorders>
            <w:hideMark/>
          </w:tcPr>
          <w:p w:rsidR="008E702A" w:rsidRDefault="008E70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2"/>
                <w:szCs w:val="12"/>
              </w:rPr>
            </w:pPr>
            <w:r>
              <w:rPr>
                <w:rFonts w:ascii="Times New Roman" w:hAnsi="Times New Roman" w:cs="Times New Roman"/>
                <w:noProof/>
                <w:sz w:val="12"/>
                <w:szCs w:val="12"/>
              </w:rPr>
              <w:t>1.70</w:t>
            </w:r>
          </w:p>
        </w:tc>
      </w:tr>
    </w:tbl>
    <w:p w:rsidR="008E702A" w:rsidRDefault="008E702A" w:rsidP="008E702A">
      <w:pPr>
        <w:spacing w:line="360" w:lineRule="auto"/>
        <w:jc w:val="both"/>
        <w:rPr>
          <w:rFonts w:ascii="Times New Roman" w:hAnsi="Times New Roman" w:cs="Times New Roman"/>
        </w:rPr>
      </w:pPr>
    </w:p>
    <w:p w:rsidR="00D31DC6" w:rsidRDefault="00D31DC6" w:rsidP="008E702A">
      <w:pPr>
        <w:spacing w:line="360" w:lineRule="auto"/>
        <w:jc w:val="both"/>
        <w:rPr>
          <w:rFonts w:ascii="Times New Roman" w:hAnsi="Times New Roman" w:cs="Times New Roman"/>
        </w:rPr>
      </w:pPr>
    </w:p>
    <w:p w:rsidR="00D31DC6" w:rsidRDefault="00D31DC6" w:rsidP="008E702A">
      <w:pPr>
        <w:spacing w:line="360" w:lineRule="auto"/>
        <w:jc w:val="both"/>
        <w:rPr>
          <w:rFonts w:ascii="Times New Roman" w:hAnsi="Times New Roman" w:cs="Times New Roman"/>
        </w:rPr>
      </w:pPr>
    </w:p>
    <w:p w:rsidR="008E702A" w:rsidRPr="008E702A" w:rsidRDefault="008E702A" w:rsidP="008E702A"/>
    <w:p w:rsidR="008E702A" w:rsidRPr="008E702A" w:rsidRDefault="008E702A" w:rsidP="008E702A"/>
    <w:p w:rsidR="008E702A" w:rsidRPr="008E702A" w:rsidRDefault="008E702A" w:rsidP="008E702A"/>
    <w:p w:rsidR="008E702A" w:rsidRPr="008E702A" w:rsidRDefault="008E702A" w:rsidP="008E702A"/>
    <w:p w:rsidR="008E702A" w:rsidRPr="008E702A" w:rsidRDefault="008E702A" w:rsidP="008E702A"/>
    <w:p w:rsidR="008E702A" w:rsidRPr="008E702A" w:rsidRDefault="008E702A" w:rsidP="008E702A"/>
    <w:p w:rsidR="008E702A" w:rsidRPr="008E702A" w:rsidRDefault="008E702A" w:rsidP="008E702A"/>
    <w:p w:rsidR="008E702A" w:rsidRDefault="008E702A" w:rsidP="008E702A"/>
    <w:p w:rsidR="008E702A" w:rsidRDefault="008E702A" w:rsidP="008E702A"/>
    <w:p w:rsidR="008E702A" w:rsidRDefault="008E702A" w:rsidP="008E702A">
      <w:pPr>
        <w:tabs>
          <w:tab w:val="left" w:pos="5998"/>
        </w:tabs>
      </w:pPr>
      <w:r>
        <w:tab/>
      </w:r>
    </w:p>
    <w:p w:rsidR="008E702A" w:rsidRDefault="008E702A" w:rsidP="008E702A"/>
    <w:p w:rsidR="008E702A" w:rsidRDefault="008E702A" w:rsidP="008E702A"/>
    <w:p w:rsidR="008E702A" w:rsidRPr="008E702A" w:rsidRDefault="008E702A" w:rsidP="008E702A"/>
    <w:p w:rsidR="008E702A" w:rsidRPr="008E702A" w:rsidRDefault="008E702A" w:rsidP="00672A03">
      <w:pPr>
        <w:spacing w:after="200" w:line="276" w:lineRule="auto"/>
      </w:pPr>
    </w:p>
    <w:sectPr w:rsidR="008E702A" w:rsidRPr="008E702A" w:rsidSect="007C666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trackRevisions/>
  <w:defaultTabStop w:val="720"/>
  <w:characterSpacingControl w:val="doNotCompress"/>
  <w:compat>
    <w:compatSetting w:name="compatibilityMode" w:uri="http://schemas.microsoft.com/office/word" w:val="12"/>
  </w:compat>
  <w:rsids>
    <w:rsidRoot w:val="00D046D9"/>
    <w:rsid w:val="00005B21"/>
    <w:rsid w:val="000123BA"/>
    <w:rsid w:val="00044FA0"/>
    <w:rsid w:val="00046FD6"/>
    <w:rsid w:val="000526E2"/>
    <w:rsid w:val="00061413"/>
    <w:rsid w:val="00072113"/>
    <w:rsid w:val="00072978"/>
    <w:rsid w:val="00083DFC"/>
    <w:rsid w:val="000A50F9"/>
    <w:rsid w:val="000C0A94"/>
    <w:rsid w:val="000C3C12"/>
    <w:rsid w:val="000D597D"/>
    <w:rsid w:val="000F1A8B"/>
    <w:rsid w:val="000F7D02"/>
    <w:rsid w:val="00113507"/>
    <w:rsid w:val="001150C4"/>
    <w:rsid w:val="001612C4"/>
    <w:rsid w:val="00167D43"/>
    <w:rsid w:val="001707EF"/>
    <w:rsid w:val="00184D70"/>
    <w:rsid w:val="001855A0"/>
    <w:rsid w:val="0019132B"/>
    <w:rsid w:val="00191C39"/>
    <w:rsid w:val="001A30E0"/>
    <w:rsid w:val="001C0775"/>
    <w:rsid w:val="001C260C"/>
    <w:rsid w:val="001E005C"/>
    <w:rsid w:val="00204437"/>
    <w:rsid w:val="00204F2C"/>
    <w:rsid w:val="00220564"/>
    <w:rsid w:val="002240F4"/>
    <w:rsid w:val="00226C06"/>
    <w:rsid w:val="00237BA5"/>
    <w:rsid w:val="0025068A"/>
    <w:rsid w:val="00280A9E"/>
    <w:rsid w:val="002A0604"/>
    <w:rsid w:val="002A4841"/>
    <w:rsid w:val="002A4F5F"/>
    <w:rsid w:val="002A516A"/>
    <w:rsid w:val="002A5C9E"/>
    <w:rsid w:val="002C34B4"/>
    <w:rsid w:val="002C5FD5"/>
    <w:rsid w:val="002E61E1"/>
    <w:rsid w:val="002F1269"/>
    <w:rsid w:val="002F2C98"/>
    <w:rsid w:val="003063FF"/>
    <w:rsid w:val="00314EEE"/>
    <w:rsid w:val="00340BB7"/>
    <w:rsid w:val="003575DF"/>
    <w:rsid w:val="00391A1A"/>
    <w:rsid w:val="0039501B"/>
    <w:rsid w:val="003A52DC"/>
    <w:rsid w:val="003B08C5"/>
    <w:rsid w:val="003B43C1"/>
    <w:rsid w:val="003B5946"/>
    <w:rsid w:val="003C240E"/>
    <w:rsid w:val="003C3463"/>
    <w:rsid w:val="003C3A20"/>
    <w:rsid w:val="003C3EC8"/>
    <w:rsid w:val="003D4471"/>
    <w:rsid w:val="00420C0A"/>
    <w:rsid w:val="004377AB"/>
    <w:rsid w:val="00453879"/>
    <w:rsid w:val="00466BBB"/>
    <w:rsid w:val="00472280"/>
    <w:rsid w:val="00476498"/>
    <w:rsid w:val="00485DC9"/>
    <w:rsid w:val="0049594E"/>
    <w:rsid w:val="00496F15"/>
    <w:rsid w:val="004A6C49"/>
    <w:rsid w:val="004E40BB"/>
    <w:rsid w:val="004F104C"/>
    <w:rsid w:val="004F782D"/>
    <w:rsid w:val="0050585B"/>
    <w:rsid w:val="0051046F"/>
    <w:rsid w:val="00510684"/>
    <w:rsid w:val="00571E4A"/>
    <w:rsid w:val="0057258D"/>
    <w:rsid w:val="00574FBB"/>
    <w:rsid w:val="00590925"/>
    <w:rsid w:val="00596CAD"/>
    <w:rsid w:val="005D2C95"/>
    <w:rsid w:val="005F2CF6"/>
    <w:rsid w:val="00602EBD"/>
    <w:rsid w:val="00633D71"/>
    <w:rsid w:val="00641BF2"/>
    <w:rsid w:val="006437B6"/>
    <w:rsid w:val="00645C76"/>
    <w:rsid w:val="00651CE2"/>
    <w:rsid w:val="00666393"/>
    <w:rsid w:val="00667B4F"/>
    <w:rsid w:val="00670024"/>
    <w:rsid w:val="00672A03"/>
    <w:rsid w:val="00695C4B"/>
    <w:rsid w:val="00696646"/>
    <w:rsid w:val="006A5ADA"/>
    <w:rsid w:val="006D5DF0"/>
    <w:rsid w:val="006E2FCF"/>
    <w:rsid w:val="006E4502"/>
    <w:rsid w:val="006E4A15"/>
    <w:rsid w:val="006F4AB9"/>
    <w:rsid w:val="00700D64"/>
    <w:rsid w:val="00712C0A"/>
    <w:rsid w:val="00726821"/>
    <w:rsid w:val="00727584"/>
    <w:rsid w:val="00736870"/>
    <w:rsid w:val="007428AD"/>
    <w:rsid w:val="00746CE2"/>
    <w:rsid w:val="007616E5"/>
    <w:rsid w:val="00763E4D"/>
    <w:rsid w:val="00772FA7"/>
    <w:rsid w:val="00780D81"/>
    <w:rsid w:val="007875DD"/>
    <w:rsid w:val="007958BA"/>
    <w:rsid w:val="007B2168"/>
    <w:rsid w:val="007C666B"/>
    <w:rsid w:val="007E5E80"/>
    <w:rsid w:val="007E6141"/>
    <w:rsid w:val="007E62AA"/>
    <w:rsid w:val="00816509"/>
    <w:rsid w:val="00820C57"/>
    <w:rsid w:val="00826540"/>
    <w:rsid w:val="00847450"/>
    <w:rsid w:val="008479EE"/>
    <w:rsid w:val="008539AE"/>
    <w:rsid w:val="00877091"/>
    <w:rsid w:val="0088579B"/>
    <w:rsid w:val="008C4F35"/>
    <w:rsid w:val="008C6DF7"/>
    <w:rsid w:val="008E702A"/>
    <w:rsid w:val="00902C99"/>
    <w:rsid w:val="00904A5B"/>
    <w:rsid w:val="00905644"/>
    <w:rsid w:val="00931456"/>
    <w:rsid w:val="0095488B"/>
    <w:rsid w:val="00971E60"/>
    <w:rsid w:val="00977D1D"/>
    <w:rsid w:val="00991653"/>
    <w:rsid w:val="009E4DEB"/>
    <w:rsid w:val="009E4E1B"/>
    <w:rsid w:val="00A1400A"/>
    <w:rsid w:val="00A20A93"/>
    <w:rsid w:val="00A21624"/>
    <w:rsid w:val="00A33189"/>
    <w:rsid w:val="00A43264"/>
    <w:rsid w:val="00A50F5C"/>
    <w:rsid w:val="00A53512"/>
    <w:rsid w:val="00A54455"/>
    <w:rsid w:val="00A62763"/>
    <w:rsid w:val="00A63F94"/>
    <w:rsid w:val="00A77F92"/>
    <w:rsid w:val="00A85787"/>
    <w:rsid w:val="00A92545"/>
    <w:rsid w:val="00A953A5"/>
    <w:rsid w:val="00AA7B5E"/>
    <w:rsid w:val="00AC2CFE"/>
    <w:rsid w:val="00AF1EA4"/>
    <w:rsid w:val="00B16054"/>
    <w:rsid w:val="00B2567A"/>
    <w:rsid w:val="00B425C7"/>
    <w:rsid w:val="00B57985"/>
    <w:rsid w:val="00B74094"/>
    <w:rsid w:val="00B84C29"/>
    <w:rsid w:val="00B850AC"/>
    <w:rsid w:val="00BC6DC6"/>
    <w:rsid w:val="00BD1230"/>
    <w:rsid w:val="00BD457E"/>
    <w:rsid w:val="00BF79F6"/>
    <w:rsid w:val="00C11E78"/>
    <w:rsid w:val="00C21CE3"/>
    <w:rsid w:val="00C37BBB"/>
    <w:rsid w:val="00C45475"/>
    <w:rsid w:val="00C65872"/>
    <w:rsid w:val="00C76464"/>
    <w:rsid w:val="00C80998"/>
    <w:rsid w:val="00C81A44"/>
    <w:rsid w:val="00C82075"/>
    <w:rsid w:val="00CA37BA"/>
    <w:rsid w:val="00CA7782"/>
    <w:rsid w:val="00D046D9"/>
    <w:rsid w:val="00D13C8D"/>
    <w:rsid w:val="00D168F1"/>
    <w:rsid w:val="00D30427"/>
    <w:rsid w:val="00D31DC6"/>
    <w:rsid w:val="00D44C6A"/>
    <w:rsid w:val="00D455FB"/>
    <w:rsid w:val="00D536D6"/>
    <w:rsid w:val="00D55F09"/>
    <w:rsid w:val="00D917D4"/>
    <w:rsid w:val="00D9603D"/>
    <w:rsid w:val="00DD40D4"/>
    <w:rsid w:val="00DF27E3"/>
    <w:rsid w:val="00E00549"/>
    <w:rsid w:val="00E2109E"/>
    <w:rsid w:val="00E337C3"/>
    <w:rsid w:val="00E33FEB"/>
    <w:rsid w:val="00E43BE6"/>
    <w:rsid w:val="00E56102"/>
    <w:rsid w:val="00E5714A"/>
    <w:rsid w:val="00E77408"/>
    <w:rsid w:val="00E80BA7"/>
    <w:rsid w:val="00EA67EB"/>
    <w:rsid w:val="00EA7528"/>
    <w:rsid w:val="00EB2D1C"/>
    <w:rsid w:val="00ED3198"/>
    <w:rsid w:val="00ED486F"/>
    <w:rsid w:val="00EE0AE4"/>
    <w:rsid w:val="00EE2F4E"/>
    <w:rsid w:val="00EE3901"/>
    <w:rsid w:val="00EF28EE"/>
    <w:rsid w:val="00EF7E07"/>
    <w:rsid w:val="00F37181"/>
    <w:rsid w:val="00F443BC"/>
    <w:rsid w:val="00F777EF"/>
    <w:rsid w:val="00F93BCE"/>
    <w:rsid w:val="00FA283D"/>
    <w:rsid w:val="00FA78EF"/>
    <w:rsid w:val="00FB3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02A"/>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702A"/>
    <w:rPr>
      <w:rFonts w:ascii="Tahoma" w:hAnsi="Tahoma" w:cs="Tahoma"/>
      <w:sz w:val="16"/>
      <w:szCs w:val="16"/>
    </w:rPr>
  </w:style>
  <w:style w:type="character" w:customStyle="1" w:styleId="a4">
    <w:name w:val="Текст выноски Знак"/>
    <w:basedOn w:val="a0"/>
    <w:link w:val="a3"/>
    <w:uiPriority w:val="99"/>
    <w:semiHidden/>
    <w:rsid w:val="008E702A"/>
    <w:rPr>
      <w:rFonts w:ascii="Tahoma" w:hAnsi="Tahoma" w:cs="Tahoma"/>
      <w:sz w:val="16"/>
      <w:szCs w:val="16"/>
    </w:rPr>
  </w:style>
  <w:style w:type="paragraph" w:styleId="a5">
    <w:name w:val="Normal (Web)"/>
    <w:basedOn w:val="a"/>
    <w:uiPriority w:val="99"/>
    <w:semiHidden/>
    <w:unhideWhenUsed/>
    <w:rsid w:val="008E702A"/>
    <w:pPr>
      <w:spacing w:before="100" w:beforeAutospacing="1" w:after="100" w:afterAutospacing="1"/>
    </w:pPr>
    <w:rPr>
      <w:rFonts w:ascii="Times New Roman" w:eastAsiaTheme="minorEastAsia" w:hAnsi="Times New Roman" w:cs="Times New Roman"/>
      <w:sz w:val="24"/>
      <w:szCs w:val="24"/>
    </w:rPr>
  </w:style>
  <w:style w:type="table" w:styleId="-5">
    <w:name w:val="Light Shading Accent 5"/>
    <w:basedOn w:val="a1"/>
    <w:uiPriority w:val="60"/>
    <w:rsid w:val="008E702A"/>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6">
    <w:name w:val="Bibliography"/>
    <w:basedOn w:val="a"/>
    <w:next w:val="a"/>
    <w:uiPriority w:val="37"/>
    <w:unhideWhenUsed/>
    <w:rsid w:val="00877091"/>
    <w:pPr>
      <w:spacing w:after="240"/>
    </w:pPr>
  </w:style>
  <w:style w:type="character" w:styleId="a7">
    <w:name w:val="Hyperlink"/>
    <w:basedOn w:val="a0"/>
    <w:uiPriority w:val="99"/>
    <w:unhideWhenUsed/>
    <w:rsid w:val="00A63F94"/>
    <w:rPr>
      <w:color w:val="0000FF"/>
      <w:u w:val="single"/>
    </w:rPr>
  </w:style>
  <w:style w:type="table" w:styleId="-1">
    <w:name w:val="Light Shading Accent 1"/>
    <w:basedOn w:val="a1"/>
    <w:uiPriority w:val="60"/>
    <w:rsid w:val="00D31DC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02A"/>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702A"/>
    <w:rPr>
      <w:rFonts w:ascii="Tahoma" w:hAnsi="Tahoma" w:cs="Tahoma"/>
      <w:sz w:val="16"/>
      <w:szCs w:val="16"/>
    </w:rPr>
  </w:style>
  <w:style w:type="character" w:customStyle="1" w:styleId="a4">
    <w:name w:val="Текст выноски Знак"/>
    <w:basedOn w:val="a0"/>
    <w:link w:val="a3"/>
    <w:uiPriority w:val="99"/>
    <w:semiHidden/>
    <w:rsid w:val="008E702A"/>
    <w:rPr>
      <w:rFonts w:ascii="Tahoma" w:hAnsi="Tahoma" w:cs="Tahoma"/>
      <w:sz w:val="16"/>
      <w:szCs w:val="16"/>
    </w:rPr>
  </w:style>
  <w:style w:type="paragraph" w:styleId="a5">
    <w:name w:val="Normal (Web)"/>
    <w:basedOn w:val="a"/>
    <w:uiPriority w:val="99"/>
    <w:semiHidden/>
    <w:unhideWhenUsed/>
    <w:rsid w:val="008E702A"/>
    <w:pPr>
      <w:spacing w:before="100" w:beforeAutospacing="1" w:after="100" w:afterAutospacing="1"/>
    </w:pPr>
    <w:rPr>
      <w:rFonts w:ascii="Times New Roman" w:eastAsiaTheme="minorEastAsia" w:hAnsi="Times New Roman" w:cs="Times New Roman"/>
      <w:sz w:val="24"/>
      <w:szCs w:val="24"/>
    </w:rPr>
  </w:style>
  <w:style w:type="table" w:styleId="-5">
    <w:name w:val="Light Shading Accent 5"/>
    <w:basedOn w:val="a1"/>
    <w:uiPriority w:val="60"/>
    <w:rsid w:val="008E702A"/>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6">
    <w:name w:val="Bibliography"/>
    <w:basedOn w:val="a"/>
    <w:next w:val="a"/>
    <w:uiPriority w:val="37"/>
    <w:unhideWhenUsed/>
    <w:rsid w:val="00877091"/>
    <w:pPr>
      <w:tabs>
        <w:tab w:val="left" w:pos="384"/>
      </w:tabs>
      <w:spacing w:after="240"/>
      <w:ind w:left="384" w:hanging="384"/>
    </w:pPr>
  </w:style>
  <w:style w:type="character" w:styleId="a7">
    <w:name w:val="Hyperlink"/>
    <w:basedOn w:val="a0"/>
    <w:uiPriority w:val="99"/>
    <w:unhideWhenUsed/>
    <w:rsid w:val="00A63F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68414">
      <w:bodyDiv w:val="1"/>
      <w:marLeft w:val="0"/>
      <w:marRight w:val="0"/>
      <w:marTop w:val="0"/>
      <w:marBottom w:val="0"/>
      <w:divBdr>
        <w:top w:val="none" w:sz="0" w:space="0" w:color="auto"/>
        <w:left w:val="none" w:sz="0" w:space="0" w:color="auto"/>
        <w:bottom w:val="none" w:sz="0" w:space="0" w:color="auto"/>
        <w:right w:val="none" w:sz="0" w:space="0" w:color="auto"/>
      </w:divBdr>
    </w:div>
    <w:div w:id="102637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4EAA2-00DD-4CD9-A9C4-DF4F78E0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615</Words>
  <Characters>3512</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Geneva University</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Seplyarskiy v</dc:creator>
  <cp:lastModifiedBy>Seplyarskiy v</cp:lastModifiedBy>
  <cp:revision>16</cp:revision>
  <dcterms:created xsi:type="dcterms:W3CDTF">2015-06-12T16:37:00Z</dcterms:created>
  <dcterms:modified xsi:type="dcterms:W3CDTF">2015-11-03T04:48:00Z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zotero-version="4.0.26.4"&gt;&lt;session id="aVZULmMo"/&gt;&lt;style id="http://www.zotero.org/styles/science-translational-medicine" hasBibliography="1" bibliographyStyleHasBeenSet="1"/&gt;&lt;prefs&gt;&lt;pref name="fieldType" value="Field"/&gt;&lt;pref name="</vt:lpwstr>
  </property>
  <property fmtid="{D5CDD505-2E9C-101B-9397-08002B2CF9AE}" pid="3" name="ZOTERO_PREF_2">
    <vt:lpwstr>storeReferences" value="true"/&gt;&lt;pref name="automaticJournalAbbreviations" value="true"/&gt;&lt;pref name="noteType" value="0"/&gt;&lt;/prefs&gt;&lt;/data&gt;</vt:lpwstr>
  </property>
</Properties>
</file>