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0D" w:rsidRPr="009F7F85" w:rsidRDefault="008C230D" w:rsidP="008C230D">
      <w:pPr>
        <w:spacing w:after="0"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 Table S7.</w:t>
      </w:r>
      <w:proofErr w:type="gramEnd"/>
      <w:r>
        <w:rPr>
          <w:rFonts w:ascii="Arial" w:hAnsi="Arial" w:cs="Arial"/>
          <w:b/>
        </w:rPr>
        <w:t xml:space="preserve"> Predicted affinities of CRX sites within critical regions tested by traditional fluorescent reporter assays.</w:t>
      </w:r>
      <w:r>
        <w:rPr>
          <w:rFonts w:ascii="Arial" w:hAnsi="Arial" w:cs="Arial"/>
        </w:rPr>
        <w:t xml:space="preserve"> Critical regions tested by traditional fluorescent reporter assays contained CRX sites that were inactivated by point mutations</w:t>
      </w:r>
      <w:r w:rsidR="00F56D41">
        <w:rPr>
          <w:rFonts w:ascii="Arial" w:hAnsi="Arial" w:cs="Arial"/>
        </w:rPr>
        <w:t xml:space="preserve"> (Fig. 7)</w:t>
      </w:r>
      <w:bookmarkStart w:id="0" w:name="_GoBack"/>
      <w:bookmarkEnd w:id="0"/>
      <w:r>
        <w:rPr>
          <w:rFonts w:ascii="Arial" w:hAnsi="Arial" w:cs="Arial"/>
        </w:rPr>
        <w:t xml:space="preserve">. The affinities of the wild type (WT) and mutant (MT) CRX sites, relative to the 8 bp consensus motif ‘CTAATCCC’, are based on previous quantitative CRX </w:t>
      </w:r>
      <w:r>
        <w:rPr>
          <w:rFonts w:ascii="Arial" w:hAnsi="Arial" w:cs="Arial"/>
          <w:i/>
        </w:rPr>
        <w:t xml:space="preserve">in vitro </w:t>
      </w:r>
      <w:r>
        <w:rPr>
          <w:rFonts w:ascii="Arial" w:hAnsi="Arial" w:cs="Arial"/>
        </w:rPr>
        <w:t xml:space="preserve">binding assays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EN.CITE &lt;EndNote&gt;&lt;Cite&gt;&lt;Author&gt;Lee&lt;/Author&gt;&lt;Year&gt;2010&lt;/Year&gt;&lt;RecNum&gt;40&lt;/RecNum&gt;&lt;DisplayText&gt;(Lee et al. 2010)&lt;/DisplayText&gt;&lt;record&gt;&lt;rec-number&gt;40&lt;/rec-number&gt;&lt;foreign-keys&gt;&lt;key app="EN" db-id="s2wvs0vprrvfdzewzpdvars7w992sewfxt5s" timestamp="1394888910"&gt;40&lt;/key&gt;&lt;/foreign-keys&gt;&lt;ref-type name="Journal Article"&gt;17&lt;/ref-type&gt;&lt;contributors&gt;&lt;authors&gt;&lt;author&gt;Lee, J.&lt;/author&gt;&lt;author&gt;Myers, C. A.&lt;/author&gt;&lt;author&gt;Williams, N.&lt;/author&gt;&lt;author&gt;Abdelaziz, M.&lt;/author&gt;&lt;author&gt;Corbo, J. C.&lt;/author&gt;&lt;/authors&gt;&lt;/contributors&gt;&lt;auth-address&gt;Department of Pathology and Immunology, Washington University School of Medicine, St Louis, MO 63110, USA.&lt;/auth-address&gt;&lt;titles&gt;&lt;title&gt;Quantitative fine-tuning of photoreceptor cis-regulatory elements through affinity modulation of transcription factor binding sites&lt;/title&gt;&lt;secondary-title&gt;Gene Ther&lt;/secondary-title&gt;&lt;alt-title&gt;Gene therapy&lt;/alt-title&gt;&lt;/titles&gt;&lt;periodical&gt;&lt;full-title&gt;Gene Ther&lt;/full-title&gt;&lt;abbr-1&gt;Gene therapy&lt;/abbr-1&gt;&lt;/periodical&gt;&lt;alt-periodical&gt;&lt;full-title&gt;Gene Ther&lt;/full-title&gt;&lt;abbr-1&gt;Gene therapy&lt;/abbr-1&gt;&lt;/alt-periodical&gt;&lt;pages&gt;1390-9&lt;/pages&gt;&lt;volume&gt;17&lt;/volume&gt;&lt;number&gt;11&lt;/number&gt;&lt;keywords&gt;&lt;keyword&gt;Animals&lt;/keyword&gt;&lt;keyword&gt;Binding Sites&lt;/keyword&gt;&lt;keyword&gt;Homeodomain Proteins/*metabolism&lt;/keyword&gt;&lt;keyword&gt;Mice&lt;/keyword&gt;&lt;keyword&gt;*Promoter Regions, Genetic&lt;/keyword&gt;&lt;keyword&gt;Regulatory Sequences, Nucleic Acid&lt;/keyword&gt;&lt;keyword&gt;Retinal Rod Photoreceptor Cells/metabolism&lt;/keyword&gt;&lt;keyword&gt;Rhodopsin/*genetics/metabolism&lt;/keyword&gt;&lt;keyword&gt;Trans-Activators/*metabolism&lt;/keyword&gt;&lt;keyword&gt;Transcription Factors/metabolism&lt;/keyword&gt;&lt;/keywords&gt;&lt;dates&gt;&lt;year&gt;2010&lt;/year&gt;&lt;pub-dates&gt;&lt;date&gt;Nov&lt;/date&gt;&lt;/pub-dates&gt;&lt;/dates&gt;&lt;isbn&gt;1476-5462 (Electronic)&amp;#xD;0969-7128 (Linking)&lt;/isbn&gt;&lt;accession-num&gt;20463752&lt;/accession-num&gt;&lt;urls&gt;&lt;related-urls&gt;&lt;url&gt;http://www.ncbi.nlm.nih.gov/pubmed/20463752&lt;/url&gt;&lt;/related-urls&gt;&lt;/urls&gt;&lt;electronic-resource-num&gt;10.1038/gt.2010.77&lt;/electronic-resource-num&gt;&lt;/record&gt;&lt;/Cite&gt;&lt;/EndNote&gt;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(Lee et al. 2010)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 Note that</w:t>
      </w:r>
      <w:r w:rsidR="00653D94">
        <w:rPr>
          <w:rFonts w:ascii="Arial" w:hAnsi="Arial" w:cs="Arial"/>
        </w:rPr>
        <w:t xml:space="preserve"> whereas Figure</w:t>
      </w:r>
      <w:r>
        <w:rPr>
          <w:rFonts w:ascii="Arial" w:hAnsi="Arial" w:cs="Arial"/>
        </w:rPr>
        <w:t xml:space="preserve"> 7A shows the sequences of plus strand DNA, motif sequences below are for the minus or plus strand, depending on the orientation of the CRX site. </w:t>
      </w:r>
    </w:p>
    <w:p w:rsidR="008C230D" w:rsidRDefault="008C230D" w:rsidP="008C230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1361"/>
        <w:gridCol w:w="1176"/>
        <w:gridCol w:w="1783"/>
        <w:gridCol w:w="1176"/>
        <w:gridCol w:w="1761"/>
      </w:tblGrid>
      <w:tr w:rsidR="008C230D" w:rsidRPr="004F5BBD" w:rsidTr="00793DC9">
        <w:trPr>
          <w:trHeight w:val="276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Locus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Motif strand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WT motif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WT motif affinity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MT motif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MT motif affinity</w:t>
            </w:r>
          </w:p>
        </w:tc>
      </w:tr>
      <w:tr w:rsidR="008C230D" w:rsidRPr="004F5BBD" w:rsidTr="00793DC9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CTAATCCT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74.40%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CTACTCCT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0.30%</w:t>
            </w:r>
          </w:p>
        </w:tc>
      </w:tr>
      <w:tr w:rsidR="008C230D" w:rsidRPr="004F5BBD" w:rsidTr="00793DC9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R28, site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CTAATCTA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27.13%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CTACTCTA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0.11%</w:t>
            </w:r>
          </w:p>
        </w:tc>
      </w:tr>
      <w:tr w:rsidR="008C230D" w:rsidRPr="004F5BBD" w:rsidTr="00793DC9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R28, site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ATAATCCC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79.20%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ATACTCCC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0.32%</w:t>
            </w:r>
          </w:p>
        </w:tc>
      </w:tr>
      <w:tr w:rsidR="008C230D" w:rsidRPr="004F5BBD" w:rsidTr="00793DC9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R62, site 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CTAAGCTG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8.47%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CTACGCTG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0.03%</w:t>
            </w:r>
          </w:p>
        </w:tc>
      </w:tr>
      <w:tr w:rsidR="008C230D" w:rsidRPr="004F5BBD" w:rsidTr="00793DC9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R62, site 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F5B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GTAATCGG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9.81%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rPr>
                <w:rFonts w:ascii="Courier" w:eastAsia="Times New Roman" w:hAnsi="Courier" w:cs="Arial"/>
                <w:color w:val="000000"/>
                <w:sz w:val="20"/>
                <w:szCs w:val="20"/>
              </w:rPr>
            </w:pPr>
            <w:r w:rsidRPr="004F5BBD">
              <w:rPr>
                <w:rFonts w:ascii="Courier" w:eastAsia="Times New Roman" w:hAnsi="Courier" w:cs="Arial"/>
                <w:color w:val="000000"/>
                <w:sz w:val="20"/>
                <w:szCs w:val="20"/>
              </w:rPr>
              <w:t>GTACTCGG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C230D" w:rsidRPr="004F5BBD" w:rsidRDefault="008C230D" w:rsidP="00793D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925B9">
              <w:rPr>
                <w:rFonts w:ascii="Arial" w:hAnsi="Arial" w:cs="Arial"/>
                <w:color w:val="000000"/>
                <w:sz w:val="20"/>
                <w:szCs w:val="20"/>
              </w:rPr>
              <w:t>0.04%</w:t>
            </w:r>
          </w:p>
        </w:tc>
      </w:tr>
    </w:tbl>
    <w:p w:rsidR="004B7178" w:rsidRDefault="004B7178"/>
    <w:sectPr w:rsidR="004B7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0D"/>
    <w:rsid w:val="004B7178"/>
    <w:rsid w:val="00653D94"/>
    <w:rsid w:val="008C230D"/>
    <w:rsid w:val="00F56D41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>HP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10.7.14</dc:creator>
  <cp:lastModifiedBy>10.7.14</cp:lastModifiedBy>
  <cp:revision>3</cp:revision>
  <dcterms:created xsi:type="dcterms:W3CDTF">2015-11-11T21:36:00Z</dcterms:created>
  <dcterms:modified xsi:type="dcterms:W3CDTF">2015-11-11T22:19:00Z</dcterms:modified>
</cp:coreProperties>
</file>