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2BA9F" w14:textId="5DDD39FF" w:rsidR="004436E6" w:rsidRDefault="002173ED" w:rsidP="004436E6">
      <w:pPr>
        <w:pStyle w:val="Heading2"/>
        <w:spacing w:line="480" w:lineRule="auto"/>
        <w:jc w:val="both"/>
      </w:pPr>
      <w:r>
        <w:t>Supplemental</w:t>
      </w:r>
      <w:r w:rsidR="004436E6">
        <w:t xml:space="preserve"> Text</w:t>
      </w:r>
    </w:p>
    <w:p w14:paraId="6EFE497D" w14:textId="77777777" w:rsidR="004436E6" w:rsidRDefault="004436E6" w:rsidP="004436E6">
      <w:pPr>
        <w:pStyle w:val="Heading3"/>
      </w:pPr>
      <w:bookmarkStart w:id="0" w:name="_Toc272995462"/>
      <w:bookmarkStart w:id="1" w:name="_Toc273015794"/>
      <w:r>
        <w:t xml:space="preserve">Timing of events during </w:t>
      </w:r>
      <w:r>
        <w:rPr>
          <w:i/>
        </w:rPr>
        <w:t xml:space="preserve">T. castaneum </w:t>
      </w:r>
      <w:r>
        <w:t xml:space="preserve">development </w:t>
      </w:r>
      <w:bookmarkEnd w:id="0"/>
      <w:bookmarkEnd w:id="1"/>
    </w:p>
    <w:p w14:paraId="2C56378C" w14:textId="08F0483E" w:rsidR="004436E6" w:rsidRPr="00965BAB" w:rsidRDefault="004436E6" w:rsidP="00965BAB">
      <w:pPr>
        <w:ind w:firstLine="284"/>
        <w:jc w:val="both"/>
      </w:pPr>
      <w:r>
        <w:t xml:space="preserve">Establishing the precise timing of events during </w:t>
      </w:r>
      <w:r>
        <w:rPr>
          <w:i/>
        </w:rPr>
        <w:t>T. castaneum</w:t>
      </w:r>
      <w:r>
        <w:t xml:space="preserve"> embryogenesis is an important prerequisite for the preparation of small RNA sequencing libraries representing discrete developmental stages. </w:t>
      </w:r>
      <w:r w:rsidR="00D8273C">
        <w:t xml:space="preserve">Previous studies provided developmental event tables for early stages of </w:t>
      </w:r>
      <w:r w:rsidR="00D8273C">
        <w:rPr>
          <w:i/>
        </w:rPr>
        <w:t>T. castaneum</w:t>
      </w:r>
      <w:r w:rsidR="00D8273C">
        <w:t xml:space="preserve"> at 30 and 32°C </w:t>
      </w:r>
      <w:r w:rsidR="00D8273C">
        <w:fldChar w:fldCharType="begin"/>
      </w:r>
      <w:r w:rsidR="00D8273C">
        <w:instrText>ADDIN CSL_CITATION {"mendeley": {"previouslyFormattedCitation": "(Handel et al. 2000; Benton et al. 2013)"}, "citationItems": [{"uris": ["http://www.mendeley.com/documents/?uuid=185e0fc0-6ba4-441e-8546-aab2a1dd0fce"], "id": "ITEM-1", "itemData": {"publisher": "Springer Berlin / Heidelberg", "DOI": "citeulike-article-id:9927830", "ISBN": "0949-944X", "author": [{"given": "K", "dropping-particle": "", "suffix": "", "family": "Handel", "parse-names": false, "non-dropping-particle": ""}, {"given": "C G", "dropping-particle": "", "suffix": "", "family": "Gr\u00fcnfelder", "parse-names": false, "non-dropping-particle": ""}, {"given": "S", "dropping-particle": "", "suffix": "", "family": "Roth", "parse-names": false, "non-dropping-particle": ""}, {"given": "K", "dropping-particle": "", "suffix": "", "family": "Sander", "parse-names": false, "non-dropping-particle": ""}], "issued": {"date-parts": [["2000"]]}, "title": "Tribolium embryogenesis: a SEM study of cell shapes and movements from blastoderm to serosal closure", "page": "167-179", "volume": "210", "type": "article-journal", "container-title": "Development Genes and Evolution", "issue": "4", "id": "ITEM-1"}}, {"uris": ["http://www.mendeley.com/documents/?uuid=6eba42a3-b560-4425-b288-742eb6eb37ca"], "id": "ITEM-2", "itemData": {"DOI": "10.1242/dev.096271", "type": "article-journal", "author": [{"given": "Matthew A", "dropping-particle": "", "suffix": "", "family": "Benton", "parse-names": false, "non-dropping-particle": ""}, {"given": "Michael", "dropping-particle": "", "suffix": "", "family": "Akam", "parse-names": false, "non-dropping-particle": ""}, {"given": "Anastasios", "dropping-particle": "", "suffix": "", "family": "Pavlopoulos", "parse-names": false, "non-dropping-particle": ""}], "issued": {"date-parts": [["2013", "8"]]}, "abstract": "Studies on new arthropod models such as the beetle Tribolium castaneum are shifting our knowledge of embryonic patterning and morphogenesis beyond the Drosophila paradigm. In contrast to Drosophila, Tribolium embryos exhibit the short-germ type of development and become enveloped by extensive extra-embryonic membranes, the amnion and serosa. The genetic basis of these processes has been the focus of active research. Here, we complement genetic approaches with live fluorescence imaging of Tribolium embryos to make the link between gene function and morphogenetic cell behaviors during blastoderm formation and differentiation, germband condensation and elongation, and extra-embryonic development. We first show that transient labeling methods result in strong, homogeneous and persistent expression of fluorescent markers in Tribolium embryos, labeling the chromatin, membrane, cytoskeleton or combinations thereof. We then use co-injection of fluorescent markers with dsRNA for live imaging of embryos with disrupted caudal gene function caused by RNA interference. Using these approaches, we describe and compare cell and tissue dynamics in Tribolium embryos with wild-type and altered fate maps. We find that Tribolium germband condensation is effected by cell contraction and intercalation, with the latter being dependent on the anterior-posterior patterning system. We propose that germband condensation drives initiation of amnion folding, whereas expansion of the amniotic fold and closure of the amniotic cavity are likely driven by contraction of an actomyosin cable at the boundary between the amnion and serosa. Our methodology provides a comprehensive framework for testing quantitative models of patterning, growth and morphogenetic mechanisms in Tribolium and other arthropod species.", "ISSN": "1477-9129", "page": "3210-20", "volume": "140", "container-title": "Development (Cambridge, England)", "title": "Cell and tissue dynamics during Tribolium embryogenesis revealed by versatile fluorescence labeling approaches.", "PMID": "23861059", "issue": "15", "id": "ITEM-2"}}], "properties": {"noteIndex": 0}, "schema": "https://github.com/citation-style-language/schema/raw/master/csl-citation.json"}</w:instrText>
      </w:r>
      <w:r w:rsidR="00D8273C">
        <w:fldChar w:fldCharType="separate"/>
      </w:r>
      <w:r w:rsidR="00D8273C" w:rsidRPr="00D8273C">
        <w:rPr>
          <w:noProof/>
        </w:rPr>
        <w:t>(Handel et al. 2000; Benton et al. 2013)</w:t>
      </w:r>
      <w:r w:rsidR="00D8273C">
        <w:fldChar w:fldCharType="end"/>
      </w:r>
      <w:r w:rsidR="00D8273C">
        <w:t xml:space="preserve">. However, as development at these temperatures is relatively fast while female fertility is relatively low, obtaining sufficient numbers of precisely staged embryos under these conditions is technically challenging. To overcome this, we maintained </w:t>
      </w:r>
      <w:r w:rsidR="00D8273C">
        <w:rPr>
          <w:i/>
        </w:rPr>
        <w:t>T. castaneum</w:t>
      </w:r>
      <w:r w:rsidR="00D8273C">
        <w:t xml:space="preserve"> adults and embryos at 25°C</w:t>
      </w:r>
      <w:r w:rsidR="00965BAB">
        <w:t xml:space="preserve">, which prolonged embryonic development and allowed us to obtain a larger number of embryos of narrower time intervals. To establish the timing of developmental events at this temperature, </w:t>
      </w:r>
      <w:r>
        <w:t xml:space="preserve">we </w:t>
      </w:r>
      <w:r w:rsidRPr="004436E6">
        <w:t xml:space="preserve">collected embryonic samples from different </w:t>
      </w:r>
      <w:r w:rsidR="00D8273C">
        <w:t xml:space="preserve">overlapping 6 or 8 hour </w:t>
      </w:r>
      <w:r w:rsidRPr="004436E6">
        <w:t xml:space="preserve">time intervals after oviposition, and staged them using morphology and the expression of the protein product of </w:t>
      </w:r>
      <w:r w:rsidRPr="00A70D1B">
        <w:rPr>
          <w:i/>
        </w:rPr>
        <w:t>engrailed</w:t>
      </w:r>
      <w:r w:rsidRPr="004436E6">
        <w:t xml:space="preserve">, which marks the progression of segmentation. Representative images of </w:t>
      </w:r>
      <w:r w:rsidR="00D8273C">
        <w:t>selected</w:t>
      </w:r>
      <w:r w:rsidRPr="004436E6">
        <w:t xml:space="preserve"> time interval</w:t>
      </w:r>
      <w:r w:rsidR="00D8273C">
        <w:t>s</w:t>
      </w:r>
      <w:r w:rsidRPr="004436E6">
        <w:t xml:space="preserve"> are shown in </w:t>
      </w:r>
      <w:bookmarkStart w:id="2" w:name="_GoBack"/>
      <w:bookmarkEnd w:id="2"/>
      <w:r w:rsidR="002173ED">
        <w:t>Supplemental</w:t>
      </w:r>
      <w:r>
        <w:t xml:space="preserve"> Figure 1A</w:t>
      </w:r>
      <w:r w:rsidRPr="004436E6">
        <w:t>. We can clearly identify 2-cell embryos, and we find that the stages of embryos in each sample were closely related, ruling out egg retention by females.</w:t>
      </w:r>
      <w:r>
        <w:t xml:space="preserve"> </w:t>
      </w:r>
      <w:r w:rsidRPr="00206548">
        <w:rPr>
          <w:i/>
          <w:szCs w:val="22"/>
        </w:rPr>
        <w:t xml:space="preserve">T. </w:t>
      </w:r>
      <w:proofErr w:type="gramStart"/>
      <w:r w:rsidRPr="00206548">
        <w:rPr>
          <w:i/>
          <w:szCs w:val="22"/>
        </w:rPr>
        <w:t>castaneum</w:t>
      </w:r>
      <w:proofErr w:type="gramEnd"/>
      <w:r w:rsidRPr="00206548">
        <w:rPr>
          <w:szCs w:val="22"/>
        </w:rPr>
        <w:t xml:space="preserve"> embryogenesis begins with nuclear divisions without cell divisions</w:t>
      </w:r>
      <w:r>
        <w:rPr>
          <w:szCs w:val="22"/>
        </w:rPr>
        <w:t>;</w:t>
      </w:r>
      <w:r w:rsidRPr="00206548">
        <w:rPr>
          <w:szCs w:val="22"/>
        </w:rPr>
        <w:t xml:space="preserve"> approximately 8 hours after fertilization nuclei migrate to the periphery. In the periphery, nuclei continue to divide uniformly for </w:t>
      </w:r>
      <w:r>
        <w:rPr>
          <w:szCs w:val="22"/>
        </w:rPr>
        <w:t xml:space="preserve">an </w:t>
      </w:r>
      <w:r w:rsidRPr="00206548">
        <w:rPr>
          <w:szCs w:val="22"/>
        </w:rPr>
        <w:t xml:space="preserve">additional 8 hours, during which cellularization occurs </w:t>
      </w:r>
      <w:r w:rsidR="004049FF" w:rsidRPr="00206548">
        <w:rPr>
          <w:szCs w:val="22"/>
        </w:rPr>
        <w:fldChar w:fldCharType="begin" w:fldLock="1"/>
      </w:r>
      <w:r w:rsidR="00D8273C">
        <w:rPr>
          <w:szCs w:val="22"/>
        </w:rPr>
        <w:instrText>ADDIN CSL_CITATION {"mendeley": {"previouslyFormattedCitation": "(Handel et al. 2000)"}, "citationItems": [{"uris": ["http://www.mendeley.com/documents/?uuid=185e0fc0-6ba4-441e-8546-aab2a1dd0fce"], "id": "ITEM-1", "itemData": {"publisher": "Springer Berlin / Heidelberg", "DOI": "citeulike-article-id:9927830", "ISBN": "0949-944X", "author": [{"given": "K", "dropping-particle": "", "suffix": "", "family": "Handel", "parse-names": false, "non-dropping-particle": ""}, {"given": "C G", "dropping-particle": "", "suffix": "", "family": "Gr\u00fcnfelder", "parse-names": false, "non-dropping-particle": ""}, {"given": "S", "dropping-particle": "", "suffix": "", "family": "Roth", "parse-names": false, "non-dropping-particle": ""}, {"given": "K", "dropping-particle": "", "suffix": "", "family": "Sander", "parse-names": false, "non-dropping-particle": ""}], "issued": {"date-parts": [["2000"]]}, "title": "Tribolium embryogenesis: a SEM study of cell shapes and movements from blastoderm to serosal closure", "page": "167-179", "volume": "210", "type": "article-journal", "container-title": "Development Genes and Evolution", "issue": "4", "id": "ITEM-1"}}], "properties": {"noteIndex": 0}, "schema": "https://github.com/citation-style-language/schema/raw/master/csl-citation.json"}</w:instrText>
      </w:r>
      <w:r w:rsidR="004049FF" w:rsidRPr="00206548">
        <w:rPr>
          <w:szCs w:val="22"/>
        </w:rPr>
        <w:fldChar w:fldCharType="separate"/>
      </w:r>
      <w:r w:rsidR="00D8273C" w:rsidRPr="00D8273C">
        <w:rPr>
          <w:noProof/>
          <w:szCs w:val="22"/>
        </w:rPr>
        <w:t>(Handel et al. 2000)</w:t>
      </w:r>
      <w:r w:rsidR="004049FF" w:rsidRPr="00206548">
        <w:rPr>
          <w:szCs w:val="22"/>
        </w:rPr>
        <w:fldChar w:fldCharType="end"/>
      </w:r>
      <w:r w:rsidRPr="00206548">
        <w:rPr>
          <w:szCs w:val="22"/>
        </w:rPr>
        <w:t>. After the 16 h time point</w:t>
      </w:r>
      <w:r>
        <w:rPr>
          <w:szCs w:val="22"/>
        </w:rPr>
        <w:t>,</w:t>
      </w:r>
      <w:r w:rsidRPr="00206548">
        <w:rPr>
          <w:szCs w:val="22"/>
        </w:rPr>
        <w:t xml:space="preserve"> cells from the so far uniform blastoderm start to segregate forming the prospective embryonic tissues and serosa. This segregation, together with the formation of the primitive pit, occur between 16-20 h at 25ºC. </w:t>
      </w:r>
      <w:r>
        <w:rPr>
          <w:szCs w:val="22"/>
        </w:rPr>
        <w:t>G</w:t>
      </w:r>
      <w:r w:rsidRPr="00206548">
        <w:rPr>
          <w:szCs w:val="22"/>
        </w:rPr>
        <w:t xml:space="preserve">astrulation and mesoderm formation are also </w:t>
      </w:r>
      <w:r w:rsidRPr="00206548">
        <w:rPr>
          <w:szCs w:val="22"/>
        </w:rPr>
        <w:lastRenderedPageBreak/>
        <w:t>thought to begin</w:t>
      </w:r>
      <w:r>
        <w:rPr>
          <w:szCs w:val="22"/>
        </w:rPr>
        <w:t xml:space="preserve"> a</w:t>
      </w:r>
      <w:r w:rsidRPr="00206548">
        <w:rPr>
          <w:szCs w:val="22"/>
        </w:rPr>
        <w:t xml:space="preserve">t that time </w:t>
      </w:r>
      <w:r w:rsidR="004049FF" w:rsidRPr="00206548">
        <w:rPr>
          <w:szCs w:val="22"/>
        </w:rPr>
        <w:fldChar w:fldCharType="begin" w:fldLock="1"/>
      </w:r>
      <w:r w:rsidR="00D8273C">
        <w:rPr>
          <w:szCs w:val="22"/>
        </w:rPr>
        <w:instrText>ADDIN CSL_CITATION {"mendeley": {"previouslyFormattedCitation": "(Handel et al. 2005)"}, "citationItems": [{"uris": ["http://www.mendeley.com/documents/?uuid=f94187ee-6f0d-4ef9-a023-91961c4091db"], "id": "ITEM-1", "itemData": {"DOI": "10.1007/s00427-004-0446-9", "type": "article-journal", "author": [{"given": "Klaus", "dropping-particle": "", "suffix": "", "family": "Handel", "parse-names": false, "non-dropping-particle": ""}, {"given": "Abidin", "dropping-particle": "", "suffix": "", "family": "Basal", "parse-names": false, "non-dropping-particle": ""}, {"given": "Xiang", "dropping-particle": "", "suffix": "", "family": "Fan", "parse-names": false, "non-dropping-particle": ""}, {"given": "Siegfried", "dropping-particle": "", "suffix": "", "family": "Roth", "parse-names": false, "non-dropping-particle": ""}], "issued": {"date-parts": [["2005", "1"]]}, "abstract": "Mesoderm formation has been extensively analyzed in the long-germ insect Drosophila melanogaster. In Drosophila, both the invagination and specification of the mesoderm is controlled by twist. Here we present a detailed description of mesoderm formation and twist regulation for the short-germ beetle Tribolium castaneum. In contrast to Drosophila, (1) the presumptive mesodermal cells of Tribolium are part of a mitotic domain and divide prior to ventral furrow formation, (2) ventral furrow formation progresses from posterior to anterior, (3) the number of cell layers within the furrow changes from multilayered in caudal to single layered in cephalic regions, and (4) there is a continuous production of mesodermal cells after gastrulation as new segments arise from the posterior growth zone. Tribolium twist (Tc-twist) is initially expressed in all presumptive mesodermal cells; however, after invagination, expression is maintained only in particular locations, which include the anterior compartments of the cephalic segments and a patch of cells at the posterior rim of the growth zone. The growth zone is multilayered with its inner cell layer being continuous with the mesoderm of the newly forming segments where twist expression is re-initiated anterior to the emerging engrailed stripes. A genomic region of Tc-twist was identified which drives ventral expression of a reporter construct in Drosophila. The expression of this Tc-twist construct in the background of Drosophila maternal mutations suggests that the dorsoventral system regulates Tc-twist, but that differences exist in regulation of the Dm-twist and Tc-twist genes by the terminal system.", "ISSN": "0949-944X", "page": "13-31", "volume": "215", "container-title": "Development genes and evolution", "title": "Tribolium castaneum twist: gastrulation and mesoderm formation in a short-germ beetle.", "PMID": "15645317", "issue": "1", "id": "ITEM-1"}}], "properties": {"noteIndex": 0}, "schema": "https://github.com/citation-style-language/schema/raw/master/csl-citation.json"}</w:instrText>
      </w:r>
      <w:r w:rsidR="004049FF" w:rsidRPr="00206548">
        <w:rPr>
          <w:szCs w:val="22"/>
        </w:rPr>
        <w:fldChar w:fldCharType="separate"/>
      </w:r>
      <w:r w:rsidR="00D8273C" w:rsidRPr="00D8273C">
        <w:rPr>
          <w:noProof/>
          <w:szCs w:val="22"/>
        </w:rPr>
        <w:t>(Handel et al. 2005)</w:t>
      </w:r>
      <w:r w:rsidR="004049FF" w:rsidRPr="00206548">
        <w:rPr>
          <w:szCs w:val="22"/>
        </w:rPr>
        <w:fldChar w:fldCharType="end"/>
      </w:r>
      <w:r w:rsidRPr="00206548">
        <w:rPr>
          <w:szCs w:val="22"/>
        </w:rPr>
        <w:t xml:space="preserve">. The next ~4 hour interval (20-24 h) covers embryonic rudiment folding and the serosal window closure, and first stripes of </w:t>
      </w:r>
      <w:r w:rsidRPr="00206548">
        <w:rPr>
          <w:i/>
          <w:szCs w:val="22"/>
        </w:rPr>
        <w:t>engrailed</w:t>
      </w:r>
      <w:r>
        <w:rPr>
          <w:szCs w:val="22"/>
        </w:rPr>
        <w:t xml:space="preserve"> emerge at this stage. </w:t>
      </w:r>
      <w:r w:rsidRPr="00206548">
        <w:rPr>
          <w:szCs w:val="22"/>
        </w:rPr>
        <w:t xml:space="preserve">The germband then starts to markedly grow from the posterior of the embryo, accompanied by the appearance of additional stripes of </w:t>
      </w:r>
      <w:r w:rsidRPr="00206548">
        <w:rPr>
          <w:i/>
          <w:szCs w:val="22"/>
        </w:rPr>
        <w:t>engrailed</w:t>
      </w:r>
      <w:r w:rsidRPr="00206548">
        <w:rPr>
          <w:szCs w:val="22"/>
        </w:rPr>
        <w:t xml:space="preserve">. 36-42 h after fertilization germband elongation is completed, and the development of appendages </w:t>
      </w:r>
      <w:proofErr w:type="gramStart"/>
      <w:r w:rsidRPr="00206548">
        <w:rPr>
          <w:szCs w:val="22"/>
        </w:rPr>
        <w:t>begins</w:t>
      </w:r>
      <w:proofErr w:type="gramEnd"/>
      <w:r w:rsidRPr="00206548">
        <w:rPr>
          <w:szCs w:val="22"/>
        </w:rPr>
        <w:t>. Appendages and the pre-gnathal regions of the embryo continue to develop as the germ band thickens and shortens. At about 60-66h hours post fertilization</w:t>
      </w:r>
      <w:r>
        <w:rPr>
          <w:szCs w:val="22"/>
        </w:rPr>
        <w:t>,</w:t>
      </w:r>
      <w:r w:rsidRPr="00206548">
        <w:rPr>
          <w:szCs w:val="22"/>
        </w:rPr>
        <w:t xml:space="preserve"> cuticle secretion begins, and larvae hatch approximately 6 days after fertilization. </w:t>
      </w:r>
    </w:p>
    <w:p w14:paraId="029DC882" w14:textId="586915D8" w:rsidR="004436E6" w:rsidRPr="00206548" w:rsidRDefault="002A4499" w:rsidP="004436E6">
      <w:pPr>
        <w:ind w:firstLine="284"/>
        <w:jc w:val="both"/>
        <w:rPr>
          <w:szCs w:val="22"/>
        </w:rPr>
      </w:pPr>
      <w:r>
        <w:rPr>
          <w:szCs w:val="22"/>
        </w:rPr>
        <w:t>A</w:t>
      </w:r>
      <w:r w:rsidR="004436E6">
        <w:rPr>
          <w:szCs w:val="22"/>
        </w:rPr>
        <w:t xml:space="preserve"> delay between fertilization and z</w:t>
      </w:r>
      <w:r w:rsidR="004436E6" w:rsidRPr="00206548">
        <w:rPr>
          <w:szCs w:val="22"/>
        </w:rPr>
        <w:t xml:space="preserve">ygotic </w:t>
      </w:r>
      <w:r w:rsidR="004436E6">
        <w:rPr>
          <w:szCs w:val="22"/>
        </w:rPr>
        <w:t>gene expression</w:t>
      </w:r>
      <w:r>
        <w:rPr>
          <w:szCs w:val="22"/>
        </w:rPr>
        <w:t xml:space="preserve"> is common in many animals</w:t>
      </w:r>
      <w:r w:rsidR="004436E6" w:rsidRPr="00206548">
        <w:rPr>
          <w:szCs w:val="22"/>
        </w:rPr>
        <w:t xml:space="preserve">, </w:t>
      </w:r>
      <w:r w:rsidR="004436E6">
        <w:rPr>
          <w:szCs w:val="22"/>
        </w:rPr>
        <w:t>with</w:t>
      </w:r>
      <w:r w:rsidR="004436E6" w:rsidRPr="00206548">
        <w:rPr>
          <w:szCs w:val="22"/>
        </w:rPr>
        <w:t xml:space="preserve"> the protein and RNA component of the transcriptionally silent early embryo</w:t>
      </w:r>
      <w:r w:rsidR="004436E6">
        <w:rPr>
          <w:szCs w:val="22"/>
        </w:rPr>
        <w:t xml:space="preserve"> being </w:t>
      </w:r>
      <w:r w:rsidR="004436E6" w:rsidRPr="00206548">
        <w:rPr>
          <w:szCs w:val="22"/>
        </w:rPr>
        <w:t xml:space="preserve">maternally deposited in the egg. To establish the precise timing of zygotic transcription activation in </w:t>
      </w:r>
      <w:r w:rsidR="004436E6" w:rsidRPr="00206548">
        <w:rPr>
          <w:i/>
          <w:szCs w:val="22"/>
        </w:rPr>
        <w:t>Tribolium,</w:t>
      </w:r>
      <w:r w:rsidR="004436E6" w:rsidRPr="00206548">
        <w:rPr>
          <w:szCs w:val="22"/>
        </w:rPr>
        <w:t xml:space="preserve"> we immunostained early embryos with an antibody </w:t>
      </w:r>
      <w:r w:rsidR="004436E6">
        <w:rPr>
          <w:szCs w:val="22"/>
        </w:rPr>
        <w:t xml:space="preserve">that detects a phosphorylated residue only in active RNA </w:t>
      </w:r>
      <w:r w:rsidR="004436E6" w:rsidRPr="00206548">
        <w:rPr>
          <w:szCs w:val="22"/>
        </w:rPr>
        <w:t>polymerase II (</w:t>
      </w:r>
      <w:r w:rsidR="002173ED">
        <w:rPr>
          <w:szCs w:val="22"/>
        </w:rPr>
        <w:t>Supplemental</w:t>
      </w:r>
      <w:r w:rsidR="004436E6">
        <w:rPr>
          <w:szCs w:val="22"/>
        </w:rPr>
        <w:t xml:space="preserve"> Figure </w:t>
      </w:r>
      <w:r w:rsidR="004436E6" w:rsidRPr="00206548">
        <w:rPr>
          <w:szCs w:val="22"/>
        </w:rPr>
        <w:t>1B). We detect ubiquitous active transcription after the 8</w:t>
      </w:r>
      <w:r w:rsidR="004436E6" w:rsidRPr="00206548">
        <w:rPr>
          <w:szCs w:val="22"/>
          <w:vertAlign w:val="superscript"/>
        </w:rPr>
        <w:t>th</w:t>
      </w:r>
      <w:r w:rsidR="004436E6" w:rsidRPr="00206548">
        <w:rPr>
          <w:szCs w:val="22"/>
        </w:rPr>
        <w:t xml:space="preserve"> cleavage division, when nuclei migrate from the interior to the periphery of the embryo. </w:t>
      </w:r>
    </w:p>
    <w:p w14:paraId="7A21E41C" w14:textId="5544C8C2" w:rsidR="00C24569" w:rsidRPr="00C24569" w:rsidRDefault="002173ED" w:rsidP="00C24569">
      <w:pPr>
        <w:pStyle w:val="Heading2"/>
        <w:spacing w:after="200" w:line="480" w:lineRule="auto"/>
        <w:jc w:val="both"/>
      </w:pPr>
      <w:r>
        <w:t>Supplemental</w:t>
      </w:r>
      <w:r w:rsidR="00C24569">
        <w:t xml:space="preserve"> Methods</w:t>
      </w:r>
    </w:p>
    <w:p w14:paraId="013911EB" w14:textId="77777777" w:rsidR="004D3C7F" w:rsidRPr="00870005" w:rsidRDefault="00C24569" w:rsidP="004436E6">
      <w:pPr>
        <w:jc w:val="both"/>
        <w:rPr>
          <w:b/>
        </w:rPr>
      </w:pPr>
      <w:r>
        <w:rPr>
          <w:b/>
        </w:rPr>
        <w:t xml:space="preserve">Embryonic </w:t>
      </w:r>
      <w:r w:rsidRPr="00C24569">
        <w:rPr>
          <w:b/>
        </w:rPr>
        <w:t>s</w:t>
      </w:r>
      <w:r w:rsidRPr="00870005">
        <w:rPr>
          <w:b/>
        </w:rPr>
        <w:t>ample collection</w:t>
      </w:r>
      <w:r>
        <w:rPr>
          <w:b/>
        </w:rPr>
        <w:t xml:space="preserve"> for RNA sequencing</w:t>
      </w:r>
    </w:p>
    <w:p w14:paraId="057125A3" w14:textId="59D5C902" w:rsidR="00C24569" w:rsidRDefault="00C24569" w:rsidP="00870005">
      <w:pPr>
        <w:ind w:firstLine="426"/>
        <w:jc w:val="both"/>
        <w:rPr>
          <w:szCs w:val="22"/>
        </w:rPr>
      </w:pPr>
      <w:r w:rsidRPr="00206548">
        <w:rPr>
          <w:szCs w:val="22"/>
        </w:rPr>
        <w:t xml:space="preserve">Unfertilized eggs were obtained from virgin females isolated at the </w:t>
      </w:r>
      <w:proofErr w:type="spellStart"/>
      <w:r w:rsidRPr="00206548">
        <w:rPr>
          <w:szCs w:val="22"/>
        </w:rPr>
        <w:t>pupal</w:t>
      </w:r>
      <w:proofErr w:type="spellEnd"/>
      <w:r w:rsidRPr="00206548">
        <w:rPr>
          <w:szCs w:val="22"/>
        </w:rPr>
        <w:t xml:space="preserve"> stage that were allowed to </w:t>
      </w:r>
      <w:proofErr w:type="gramStart"/>
      <w:r w:rsidRPr="00206548">
        <w:rPr>
          <w:szCs w:val="22"/>
        </w:rPr>
        <w:t>lay</w:t>
      </w:r>
      <w:proofErr w:type="gramEnd"/>
      <w:r w:rsidRPr="00206548">
        <w:rPr>
          <w:szCs w:val="22"/>
        </w:rPr>
        <w:t xml:space="preserve"> for 4 hours. </w:t>
      </w:r>
      <w:r>
        <w:rPr>
          <w:szCs w:val="22"/>
        </w:rPr>
        <w:t xml:space="preserve">RNA </w:t>
      </w:r>
      <w:r w:rsidR="00C75733">
        <w:rPr>
          <w:szCs w:val="22"/>
        </w:rPr>
        <w:t xml:space="preserve">was </w:t>
      </w:r>
      <w:r>
        <w:rPr>
          <w:szCs w:val="22"/>
        </w:rPr>
        <w:t>extracted from</w:t>
      </w:r>
      <w:r w:rsidRPr="00206548">
        <w:rPr>
          <w:szCs w:val="22"/>
        </w:rPr>
        <w:t xml:space="preserve"> </w:t>
      </w:r>
      <w:r>
        <w:rPr>
          <w:szCs w:val="22"/>
        </w:rPr>
        <w:t>fixed number</w:t>
      </w:r>
      <w:r w:rsidR="00D246A6">
        <w:rPr>
          <w:szCs w:val="22"/>
        </w:rPr>
        <w:t xml:space="preserve"> (30)</w:t>
      </w:r>
      <w:r>
        <w:rPr>
          <w:szCs w:val="22"/>
        </w:rPr>
        <w:t xml:space="preserve"> of </w:t>
      </w:r>
      <w:proofErr w:type="gramStart"/>
      <w:r>
        <w:rPr>
          <w:szCs w:val="22"/>
        </w:rPr>
        <w:t>manually</w:t>
      </w:r>
      <w:r w:rsidR="00C75733">
        <w:rPr>
          <w:szCs w:val="22"/>
        </w:rPr>
        <w:t>-</w:t>
      </w:r>
      <w:r>
        <w:rPr>
          <w:szCs w:val="22"/>
        </w:rPr>
        <w:t>picked</w:t>
      </w:r>
      <w:proofErr w:type="gramEnd"/>
      <w:r>
        <w:rPr>
          <w:szCs w:val="22"/>
        </w:rPr>
        <w:t xml:space="preserve"> eggs</w:t>
      </w:r>
      <w:r w:rsidR="00D246A6">
        <w:rPr>
          <w:szCs w:val="22"/>
        </w:rPr>
        <w:t xml:space="preserve">. </w:t>
      </w:r>
      <w:r w:rsidR="00C75733">
        <w:rPr>
          <w:szCs w:val="22"/>
        </w:rPr>
        <w:t>The f</w:t>
      </w:r>
      <w:r w:rsidR="00D246A6">
        <w:rPr>
          <w:szCs w:val="22"/>
        </w:rPr>
        <w:t>inal RNA pellet was resuspended in equal volumes of cocktail containing</w:t>
      </w:r>
      <w:r>
        <w:rPr>
          <w:szCs w:val="22"/>
        </w:rPr>
        <w:t xml:space="preserve"> and synthetic homologs of </w:t>
      </w:r>
      <w:r w:rsidRPr="00870005">
        <w:rPr>
          <w:i/>
          <w:szCs w:val="22"/>
        </w:rPr>
        <w:t>C. elegans</w:t>
      </w:r>
      <w:r>
        <w:rPr>
          <w:szCs w:val="22"/>
        </w:rPr>
        <w:t xml:space="preserve"> miR-</w:t>
      </w:r>
      <w:r w:rsidR="00D246A6">
        <w:rPr>
          <w:szCs w:val="22"/>
        </w:rPr>
        <w:t xml:space="preserve">35-3p, miR-56-3p and miR-230-3p, </w:t>
      </w:r>
      <w:r>
        <w:rPr>
          <w:szCs w:val="22"/>
        </w:rPr>
        <w:t>at 0.1, 0.01 and 0.</w:t>
      </w:r>
      <w:r w:rsidR="00D246A6">
        <w:rPr>
          <w:szCs w:val="22"/>
        </w:rPr>
        <w:t>00</w:t>
      </w:r>
      <w:r>
        <w:rPr>
          <w:szCs w:val="22"/>
        </w:rPr>
        <w:t xml:space="preserve">1 </w:t>
      </w:r>
      <w:r w:rsidR="004B1B73">
        <w:rPr>
          <w:szCs w:val="22"/>
        </w:rPr>
        <w:t>femtomoles</w:t>
      </w:r>
      <w:r>
        <w:rPr>
          <w:szCs w:val="22"/>
        </w:rPr>
        <w:t xml:space="preserve"> </w:t>
      </w:r>
      <w:r w:rsidR="00D246A6">
        <w:rPr>
          <w:szCs w:val="22"/>
        </w:rPr>
        <w:t xml:space="preserve">per egg final </w:t>
      </w:r>
      <w:r>
        <w:rPr>
          <w:szCs w:val="22"/>
        </w:rPr>
        <w:t xml:space="preserve">concentrations. </w:t>
      </w:r>
    </w:p>
    <w:p w14:paraId="60BD99B5" w14:textId="0FE4FFA4" w:rsidR="00C24569" w:rsidRPr="00206548" w:rsidRDefault="00C24569" w:rsidP="00870005">
      <w:pPr>
        <w:ind w:firstLine="426"/>
        <w:jc w:val="both"/>
        <w:rPr>
          <w:szCs w:val="22"/>
        </w:rPr>
      </w:pPr>
      <w:r w:rsidRPr="00206548">
        <w:rPr>
          <w:szCs w:val="22"/>
        </w:rPr>
        <w:t xml:space="preserve">For </w:t>
      </w:r>
      <w:r w:rsidRPr="00206548">
        <w:rPr>
          <w:i/>
          <w:szCs w:val="22"/>
        </w:rPr>
        <w:t xml:space="preserve">T. castaneum </w:t>
      </w:r>
      <w:r w:rsidRPr="00206548">
        <w:rPr>
          <w:szCs w:val="22"/>
        </w:rPr>
        <w:t>small RNA developmental profiles, we collected embryonic samples representing 0-5 h (in two replicates), 8-16 h, 16-20 h, 20-24</w:t>
      </w:r>
      <w:r w:rsidR="00C75733">
        <w:rPr>
          <w:szCs w:val="22"/>
        </w:rPr>
        <w:t xml:space="preserve"> </w:t>
      </w:r>
      <w:r w:rsidRPr="00206548">
        <w:rPr>
          <w:szCs w:val="22"/>
        </w:rPr>
        <w:t xml:space="preserve">h, 24-34 h, 34-48 h and 2-6 d time intervals at 25°C in two biological replicates. For </w:t>
      </w:r>
      <w:r>
        <w:rPr>
          <w:szCs w:val="22"/>
        </w:rPr>
        <w:t>whole</w:t>
      </w:r>
      <w:r w:rsidR="00CC41DD">
        <w:rPr>
          <w:szCs w:val="22"/>
        </w:rPr>
        <w:t xml:space="preserve"> </w:t>
      </w:r>
      <w:r>
        <w:rPr>
          <w:szCs w:val="22"/>
        </w:rPr>
        <w:t xml:space="preserve">transcriptome </w:t>
      </w:r>
      <w:r w:rsidRPr="00206548">
        <w:rPr>
          <w:szCs w:val="22"/>
        </w:rPr>
        <w:t>RNA seq</w:t>
      </w:r>
      <w:r>
        <w:rPr>
          <w:szCs w:val="22"/>
        </w:rPr>
        <w:t xml:space="preserve">uencing, we used two biological </w:t>
      </w:r>
      <w:r w:rsidRPr="00206548">
        <w:rPr>
          <w:szCs w:val="22"/>
        </w:rPr>
        <w:t xml:space="preserve">replicates of </w:t>
      </w:r>
      <w:r w:rsidRPr="00206548">
        <w:rPr>
          <w:i/>
          <w:szCs w:val="22"/>
        </w:rPr>
        <w:t>T. castaneum</w:t>
      </w:r>
      <w:r w:rsidRPr="00206548">
        <w:rPr>
          <w:szCs w:val="22"/>
        </w:rPr>
        <w:t xml:space="preserve"> unfertilized eggs, 8-16 h, 16-24 h and 24-48 h embryos.</w:t>
      </w:r>
      <w:r w:rsidR="00CC41DD">
        <w:rPr>
          <w:szCs w:val="22"/>
        </w:rPr>
        <w:t xml:space="preserve"> </w:t>
      </w:r>
      <w:r w:rsidR="00CC41DD" w:rsidRPr="00206548">
        <w:rPr>
          <w:szCs w:val="22"/>
        </w:rPr>
        <w:t>Accurate staging was verified by microscopic inspecti</w:t>
      </w:r>
      <w:r w:rsidR="00CC41DD">
        <w:rPr>
          <w:szCs w:val="22"/>
        </w:rPr>
        <w:t>on of an aliquot of each sample.</w:t>
      </w:r>
    </w:p>
    <w:p w14:paraId="0071EE55" w14:textId="77777777" w:rsidR="00C24569" w:rsidRDefault="00C24569" w:rsidP="004436E6">
      <w:pPr>
        <w:jc w:val="both"/>
      </w:pPr>
    </w:p>
    <w:p w14:paraId="2DD0DF50" w14:textId="77777777" w:rsidR="00C24569" w:rsidRDefault="00C24569" w:rsidP="004436E6">
      <w:pPr>
        <w:jc w:val="both"/>
      </w:pPr>
    </w:p>
    <w:p w14:paraId="4113CEE3" w14:textId="77777777" w:rsidR="004D3C7F" w:rsidRDefault="004D3C7F" w:rsidP="003F733C">
      <w:pPr>
        <w:pStyle w:val="Heading3"/>
      </w:pPr>
      <w:r>
        <w:t>Absolute quantitation of microRNA expression in oocytes</w:t>
      </w:r>
    </w:p>
    <w:p w14:paraId="2FF4C31A" w14:textId="116FCA23" w:rsidR="007E39BF" w:rsidRDefault="004D3C7F" w:rsidP="007B3AC5">
      <w:pPr>
        <w:ind w:firstLine="284"/>
        <w:jc w:val="both"/>
        <w:rPr>
          <w:szCs w:val="22"/>
        </w:rPr>
      </w:pPr>
      <w:r>
        <w:t>We determine</w:t>
      </w:r>
      <w:r w:rsidR="003F733C">
        <w:t>d</w:t>
      </w:r>
      <w:r>
        <w:t xml:space="preserve"> the absolute abundance of </w:t>
      </w:r>
      <w:r w:rsidRPr="00306F86">
        <w:rPr>
          <w:szCs w:val="22"/>
        </w:rPr>
        <w:t>mi</w:t>
      </w:r>
      <w:r>
        <w:rPr>
          <w:szCs w:val="22"/>
        </w:rPr>
        <w:t>R</w:t>
      </w:r>
      <w:r w:rsidRPr="00306F86">
        <w:rPr>
          <w:szCs w:val="22"/>
        </w:rPr>
        <w:t>-184-3p per cell</w:t>
      </w:r>
      <w:r>
        <w:rPr>
          <w:szCs w:val="22"/>
        </w:rPr>
        <w:t xml:space="preserve"> in </w:t>
      </w:r>
      <w:r>
        <w:rPr>
          <w:i/>
          <w:szCs w:val="22"/>
        </w:rPr>
        <w:t>Drosophila</w:t>
      </w:r>
      <w:r>
        <w:rPr>
          <w:szCs w:val="22"/>
        </w:rPr>
        <w:t xml:space="preserve"> and </w:t>
      </w:r>
      <w:r>
        <w:rPr>
          <w:i/>
          <w:szCs w:val="22"/>
        </w:rPr>
        <w:t>Tribolium</w:t>
      </w:r>
      <w:r>
        <w:rPr>
          <w:szCs w:val="22"/>
        </w:rPr>
        <w:t xml:space="preserve"> oocytes, and use</w:t>
      </w:r>
      <w:r w:rsidR="003F733C">
        <w:rPr>
          <w:szCs w:val="22"/>
        </w:rPr>
        <w:t>d</w:t>
      </w:r>
      <w:r>
        <w:rPr>
          <w:szCs w:val="22"/>
        </w:rPr>
        <w:t xml:space="preserve"> these values as endogenous references of </w:t>
      </w:r>
      <w:r>
        <w:t xml:space="preserve">microRNA expression in small RNA sequencing libraries. This microRNA was chosen for its relative abundance and invariant sequence between the three species, thus avoiding potential sequence-related biases in </w:t>
      </w:r>
      <w:r w:rsidR="00965BAB">
        <w:t>quantitation</w:t>
      </w:r>
      <w:r>
        <w:t xml:space="preserve">. First, we measured the absolute amount of </w:t>
      </w:r>
      <w:r w:rsidRPr="00306F86">
        <w:rPr>
          <w:szCs w:val="22"/>
        </w:rPr>
        <w:t>mi</w:t>
      </w:r>
      <w:r>
        <w:rPr>
          <w:szCs w:val="22"/>
        </w:rPr>
        <w:t>R</w:t>
      </w:r>
      <w:r w:rsidRPr="00306F86">
        <w:rPr>
          <w:szCs w:val="22"/>
        </w:rPr>
        <w:t xml:space="preserve">-184-3p per cell by qPCR </w:t>
      </w:r>
      <w:r>
        <w:rPr>
          <w:szCs w:val="22"/>
        </w:rPr>
        <w:t>by</w:t>
      </w:r>
      <w:r w:rsidRPr="00306F86">
        <w:rPr>
          <w:szCs w:val="22"/>
        </w:rPr>
        <w:t xml:space="preserve"> standard curve</w:t>
      </w:r>
      <w:r>
        <w:rPr>
          <w:szCs w:val="22"/>
        </w:rPr>
        <w:t xml:space="preserve"> of 10-fold dilutions of synthetic 5’ phosphorylated </w:t>
      </w:r>
      <w:r w:rsidRPr="00306F86">
        <w:rPr>
          <w:szCs w:val="22"/>
        </w:rPr>
        <w:t>mi</w:t>
      </w:r>
      <w:r>
        <w:rPr>
          <w:szCs w:val="22"/>
        </w:rPr>
        <w:t>R</w:t>
      </w:r>
      <w:r w:rsidRPr="00306F86">
        <w:rPr>
          <w:szCs w:val="22"/>
        </w:rPr>
        <w:t>-184-3p</w:t>
      </w:r>
      <w:r w:rsidR="003F733C">
        <w:rPr>
          <w:szCs w:val="22"/>
        </w:rPr>
        <w:t xml:space="preserve"> oligonucleotides</w:t>
      </w:r>
      <w:r w:rsidR="00F5584B">
        <w:rPr>
          <w:szCs w:val="22"/>
        </w:rPr>
        <w:t xml:space="preserve">. </w:t>
      </w:r>
      <w:r w:rsidR="003F733C">
        <w:rPr>
          <w:szCs w:val="22"/>
        </w:rPr>
        <w:t xml:space="preserve">To do this, we extracted RNA from 10 oocytes </w:t>
      </w:r>
      <w:r w:rsidR="007B3AC5">
        <w:rPr>
          <w:szCs w:val="22"/>
        </w:rPr>
        <w:t>of</w:t>
      </w:r>
      <w:r w:rsidR="003F733C">
        <w:rPr>
          <w:szCs w:val="22"/>
        </w:rPr>
        <w:t xml:space="preserve"> </w:t>
      </w:r>
      <w:r w:rsidR="007B3AC5">
        <w:rPr>
          <w:szCs w:val="22"/>
        </w:rPr>
        <w:t xml:space="preserve">each </w:t>
      </w:r>
      <w:r w:rsidR="003F733C">
        <w:rPr>
          <w:szCs w:val="22"/>
        </w:rPr>
        <w:t xml:space="preserve">species, and used 1/10 of the extracted RNA as an input for </w:t>
      </w:r>
      <w:proofErr w:type="spellStart"/>
      <w:r w:rsidR="003F733C">
        <w:rPr>
          <w:szCs w:val="22"/>
        </w:rPr>
        <w:t>cDNA</w:t>
      </w:r>
      <w:proofErr w:type="spellEnd"/>
      <w:r w:rsidR="003F733C">
        <w:rPr>
          <w:szCs w:val="22"/>
        </w:rPr>
        <w:t xml:space="preserve"> </w:t>
      </w:r>
      <w:r w:rsidR="00965BAB">
        <w:rPr>
          <w:szCs w:val="22"/>
        </w:rPr>
        <w:t>synthesis</w:t>
      </w:r>
      <w:r w:rsidR="003F733C">
        <w:rPr>
          <w:szCs w:val="22"/>
        </w:rPr>
        <w:t xml:space="preserve">. </w:t>
      </w:r>
      <w:r w:rsidR="00F5584B">
        <w:rPr>
          <w:szCs w:val="22"/>
        </w:rPr>
        <w:t xml:space="preserve">Results were highly reproducible among the three replicates per species </w:t>
      </w:r>
      <w:r w:rsidR="00F5584B" w:rsidRPr="00306F86">
        <w:rPr>
          <w:szCs w:val="22"/>
        </w:rPr>
        <w:t>(</w:t>
      </w:r>
      <w:r w:rsidR="002173ED">
        <w:rPr>
          <w:szCs w:val="22"/>
        </w:rPr>
        <w:t>Supplemental</w:t>
      </w:r>
      <w:r w:rsidR="00F5584B">
        <w:rPr>
          <w:szCs w:val="22"/>
        </w:rPr>
        <w:t xml:space="preserve"> Figure </w:t>
      </w:r>
      <w:r w:rsidR="003F733C">
        <w:rPr>
          <w:szCs w:val="22"/>
        </w:rPr>
        <w:t>3</w:t>
      </w:r>
      <w:r w:rsidR="00F5584B">
        <w:rPr>
          <w:szCs w:val="22"/>
        </w:rPr>
        <w:t>A</w:t>
      </w:r>
      <w:r w:rsidR="00F5584B" w:rsidRPr="00306F86">
        <w:rPr>
          <w:szCs w:val="22"/>
        </w:rPr>
        <w:t>)</w:t>
      </w:r>
      <w:r w:rsidR="00F5584B">
        <w:rPr>
          <w:szCs w:val="22"/>
        </w:rPr>
        <w:t>, and similar values were obtained upon normalizing the miR-184-3p concentration with respect to the C</w:t>
      </w:r>
      <w:r w:rsidR="00F5584B" w:rsidRPr="00F5584B">
        <w:rPr>
          <w:szCs w:val="22"/>
          <w:vertAlign w:val="subscript"/>
        </w:rPr>
        <w:t>T</w:t>
      </w:r>
      <w:r w:rsidR="00F5584B">
        <w:rPr>
          <w:szCs w:val="22"/>
        </w:rPr>
        <w:t xml:space="preserve"> values of the 0.1 </w:t>
      </w:r>
      <w:proofErr w:type="spellStart"/>
      <w:r w:rsidR="00F5584B">
        <w:rPr>
          <w:szCs w:val="22"/>
        </w:rPr>
        <w:t>fmol</w:t>
      </w:r>
      <w:r w:rsidR="007B3AC5">
        <w:rPr>
          <w:szCs w:val="22"/>
        </w:rPr>
        <w:t>es</w:t>
      </w:r>
      <w:proofErr w:type="spellEnd"/>
      <w:r w:rsidR="00F5584B">
        <w:rPr>
          <w:szCs w:val="22"/>
        </w:rPr>
        <w:t xml:space="preserve">/egg spike-in </w:t>
      </w:r>
      <w:r w:rsidR="00F5584B" w:rsidRPr="00306F86">
        <w:rPr>
          <w:szCs w:val="22"/>
        </w:rPr>
        <w:t>(</w:t>
      </w:r>
      <w:r w:rsidR="002173ED">
        <w:rPr>
          <w:szCs w:val="22"/>
        </w:rPr>
        <w:t>Supplemental</w:t>
      </w:r>
      <w:r w:rsidR="00F5584B">
        <w:rPr>
          <w:szCs w:val="22"/>
        </w:rPr>
        <w:t xml:space="preserve"> Figure </w:t>
      </w:r>
      <w:r w:rsidR="003F733C">
        <w:rPr>
          <w:szCs w:val="22"/>
        </w:rPr>
        <w:t>3</w:t>
      </w:r>
      <w:r w:rsidR="00F5584B">
        <w:rPr>
          <w:szCs w:val="22"/>
        </w:rPr>
        <w:t>B</w:t>
      </w:r>
      <w:r w:rsidR="00F5584B" w:rsidRPr="00306F86">
        <w:rPr>
          <w:szCs w:val="22"/>
        </w:rPr>
        <w:t>)</w:t>
      </w:r>
      <w:r w:rsidR="00F5584B">
        <w:rPr>
          <w:szCs w:val="22"/>
        </w:rPr>
        <w:t>. To assess whether these quantitative relationships are valid in deep sequencing data, we calculated the ratio of m</w:t>
      </w:r>
      <w:r w:rsidR="00AE1C31">
        <w:rPr>
          <w:szCs w:val="22"/>
        </w:rPr>
        <w:t xml:space="preserve">iR-184-3p and the 0.1 </w:t>
      </w:r>
      <w:proofErr w:type="spellStart"/>
      <w:r w:rsidR="00AE1C31">
        <w:rPr>
          <w:szCs w:val="22"/>
        </w:rPr>
        <w:t>fmol</w:t>
      </w:r>
      <w:r w:rsidR="007B3AC5">
        <w:rPr>
          <w:szCs w:val="22"/>
        </w:rPr>
        <w:t>es</w:t>
      </w:r>
      <w:proofErr w:type="spellEnd"/>
      <w:r w:rsidR="00F5584B">
        <w:rPr>
          <w:szCs w:val="22"/>
        </w:rPr>
        <w:t>/egg spike-in</w:t>
      </w:r>
      <w:r w:rsidR="00AE1C31">
        <w:rPr>
          <w:szCs w:val="22"/>
        </w:rPr>
        <w:t xml:space="preserve"> (cel-miR-35-3p)</w:t>
      </w:r>
      <w:r w:rsidR="00F5584B">
        <w:rPr>
          <w:szCs w:val="22"/>
        </w:rPr>
        <w:t xml:space="preserve"> </w:t>
      </w:r>
      <w:r w:rsidR="0053375F">
        <w:rPr>
          <w:szCs w:val="22"/>
        </w:rPr>
        <w:t>read counts (</w:t>
      </w:r>
      <w:r w:rsidR="002173ED">
        <w:rPr>
          <w:szCs w:val="22"/>
        </w:rPr>
        <w:t>Supplemental</w:t>
      </w:r>
      <w:r w:rsidR="0053375F">
        <w:rPr>
          <w:szCs w:val="22"/>
        </w:rPr>
        <w:t xml:space="preserve"> Figure </w:t>
      </w:r>
      <w:r w:rsidR="003F733C">
        <w:rPr>
          <w:szCs w:val="22"/>
        </w:rPr>
        <w:t>3</w:t>
      </w:r>
      <w:r w:rsidR="0053375F">
        <w:rPr>
          <w:szCs w:val="22"/>
        </w:rPr>
        <w:t xml:space="preserve">C). Despite small variation depending on the number of mismatches allowed in read mapping to the genome, overall results from qPCR and deep sequencing were highly similar, and both miR-184-3p and the synthetic </w:t>
      </w:r>
      <w:proofErr w:type="gramStart"/>
      <w:r w:rsidR="0053375F">
        <w:rPr>
          <w:szCs w:val="22"/>
        </w:rPr>
        <w:t>0.1  spike</w:t>
      </w:r>
      <w:proofErr w:type="gramEnd"/>
      <w:r w:rsidR="0053375F">
        <w:rPr>
          <w:szCs w:val="22"/>
        </w:rPr>
        <w:t xml:space="preserve">-in were used in the downstream analysis as an endogenous and exogenous reference, respectively. </w:t>
      </w:r>
      <w:r w:rsidR="00D246A6">
        <w:rPr>
          <w:szCs w:val="22"/>
        </w:rPr>
        <w:t>The</w:t>
      </w:r>
      <w:r w:rsidR="00D246A6" w:rsidRPr="00306F86">
        <w:rPr>
          <w:szCs w:val="22"/>
        </w:rPr>
        <w:t xml:space="preserve"> low</w:t>
      </w:r>
      <w:r w:rsidR="00D246A6">
        <w:rPr>
          <w:szCs w:val="22"/>
        </w:rPr>
        <w:t>er</w:t>
      </w:r>
      <w:r w:rsidR="00D246A6" w:rsidRPr="00306F86">
        <w:rPr>
          <w:szCs w:val="22"/>
        </w:rPr>
        <w:t xml:space="preserve"> concentrat</w:t>
      </w:r>
      <w:r w:rsidR="00D246A6">
        <w:rPr>
          <w:szCs w:val="22"/>
        </w:rPr>
        <w:t>ion</w:t>
      </w:r>
      <w:r w:rsidR="00D246A6" w:rsidRPr="00306F86">
        <w:rPr>
          <w:szCs w:val="22"/>
        </w:rPr>
        <w:t xml:space="preserve"> spike-ins</w:t>
      </w:r>
      <w:r w:rsidR="00D246A6">
        <w:rPr>
          <w:szCs w:val="22"/>
        </w:rPr>
        <w:t xml:space="preserve"> had very few reads in the deep sequencing experiments and</w:t>
      </w:r>
      <w:r w:rsidR="00D246A6" w:rsidRPr="00306F86">
        <w:rPr>
          <w:szCs w:val="22"/>
        </w:rPr>
        <w:t xml:space="preserve"> </w:t>
      </w:r>
      <w:proofErr w:type="gramStart"/>
      <w:r w:rsidR="00D246A6" w:rsidRPr="00306F86">
        <w:rPr>
          <w:szCs w:val="22"/>
        </w:rPr>
        <w:t>were</w:t>
      </w:r>
      <w:proofErr w:type="gramEnd"/>
      <w:r w:rsidR="00D246A6" w:rsidRPr="00306F86">
        <w:rPr>
          <w:szCs w:val="22"/>
        </w:rPr>
        <w:t xml:space="preserve"> </w:t>
      </w:r>
      <w:r w:rsidR="00D246A6">
        <w:rPr>
          <w:szCs w:val="22"/>
        </w:rPr>
        <w:t xml:space="preserve">therefore </w:t>
      </w:r>
      <w:r w:rsidR="00D246A6" w:rsidRPr="00306F86">
        <w:rPr>
          <w:szCs w:val="22"/>
        </w:rPr>
        <w:t>ignored for further analysis.</w:t>
      </w:r>
    </w:p>
    <w:p w14:paraId="5BED9C81" w14:textId="77777777" w:rsidR="007E39BF" w:rsidRDefault="007E39BF" w:rsidP="0053375F">
      <w:pPr>
        <w:ind w:firstLine="284"/>
        <w:jc w:val="both"/>
        <w:rPr>
          <w:szCs w:val="22"/>
        </w:rPr>
      </w:pPr>
    </w:p>
    <w:p w14:paraId="4599D575" w14:textId="08AA614F" w:rsidR="007E39BF" w:rsidRDefault="002173ED" w:rsidP="007E39BF">
      <w:pPr>
        <w:pStyle w:val="Heading2"/>
        <w:spacing w:line="480" w:lineRule="auto"/>
        <w:jc w:val="both"/>
      </w:pPr>
      <w:r>
        <w:t>Supplemental</w:t>
      </w:r>
      <w:r w:rsidR="007E39BF">
        <w:t xml:space="preserve"> Figure Legends</w:t>
      </w:r>
    </w:p>
    <w:p w14:paraId="399EC61E" w14:textId="0B6A3737" w:rsidR="007E39BF" w:rsidRDefault="002173ED" w:rsidP="00965BAB">
      <w:pPr>
        <w:jc w:val="both"/>
      </w:pPr>
      <w:proofErr w:type="gramStart"/>
      <w:r>
        <w:rPr>
          <w:b/>
        </w:rPr>
        <w:t>Supplemental</w:t>
      </w:r>
      <w:r w:rsidR="007E39BF" w:rsidRPr="007E39BF">
        <w:rPr>
          <w:b/>
        </w:rPr>
        <w:t xml:space="preserve"> Figure 1.</w:t>
      </w:r>
      <w:proofErr w:type="gramEnd"/>
      <w:r w:rsidR="007E39BF" w:rsidRPr="007E39BF">
        <w:rPr>
          <w:b/>
        </w:rPr>
        <w:t xml:space="preserve"> Embryonic development of </w:t>
      </w:r>
      <w:r w:rsidR="007E39BF" w:rsidRPr="00A70D1B">
        <w:rPr>
          <w:b/>
          <w:i/>
        </w:rPr>
        <w:t>T. castaneum</w:t>
      </w:r>
      <w:r w:rsidR="007E39BF" w:rsidRPr="007E39BF">
        <w:rPr>
          <w:b/>
        </w:rPr>
        <w:t xml:space="preserve"> at 25ºC.</w:t>
      </w:r>
      <w:r w:rsidR="007E39BF">
        <w:t xml:space="preserve"> </w:t>
      </w:r>
      <w:r w:rsidR="007E39BF" w:rsidRPr="007E39BF">
        <w:rPr>
          <w:b/>
        </w:rPr>
        <w:t xml:space="preserve">A. </w:t>
      </w:r>
      <w:r w:rsidR="007E39BF" w:rsidRPr="007E39BF">
        <w:t xml:space="preserve">Samples were taken at 6 or 8 hour time intervals during the first 66 h of </w:t>
      </w:r>
      <w:r w:rsidR="007E39BF" w:rsidRPr="007E39BF">
        <w:rPr>
          <w:i/>
        </w:rPr>
        <w:t>T. castaneum</w:t>
      </w:r>
      <w:r w:rsidR="007E39BF" w:rsidRPr="007E39BF">
        <w:t xml:space="preserve"> development and immunostained for </w:t>
      </w:r>
      <w:r w:rsidR="007E39BF" w:rsidRPr="00A70D1B">
        <w:rPr>
          <w:i/>
        </w:rPr>
        <w:t>engrailed</w:t>
      </w:r>
      <w:r w:rsidR="007E39BF" w:rsidRPr="007E39BF">
        <w:t>. Images are oriented with</w:t>
      </w:r>
      <w:r w:rsidR="007E39BF">
        <w:t xml:space="preserve"> </w:t>
      </w:r>
      <w:r w:rsidR="007E39BF" w:rsidRPr="007E39BF">
        <w:t>the anterior to the right. Representative pictures of each time point or interval</w:t>
      </w:r>
      <w:r w:rsidR="007E39BF">
        <w:t xml:space="preserve"> </w:t>
      </w:r>
      <w:r w:rsidR="007E39BF" w:rsidRPr="007E39BF">
        <w:t xml:space="preserve">(numbers) are shown. </w:t>
      </w:r>
      <w:proofErr w:type="spellStart"/>
      <w:proofErr w:type="gramStart"/>
      <w:r w:rsidR="007E39BF" w:rsidRPr="007E39BF">
        <w:t>a</w:t>
      </w:r>
      <w:proofErr w:type="gramEnd"/>
      <w:r w:rsidR="007E39BF" w:rsidRPr="007E39BF">
        <w:t>,b</w:t>
      </w:r>
      <w:proofErr w:type="spellEnd"/>
      <w:r w:rsidR="007E39BF" w:rsidRPr="007E39BF">
        <w:t>) the earliest and the latest stage of the 8-16 h time</w:t>
      </w:r>
      <w:r w:rsidR="007E39BF">
        <w:t xml:space="preserve"> </w:t>
      </w:r>
      <w:r w:rsidR="007E39BF" w:rsidRPr="007E39BF">
        <w:t>interval, cleavage divisions and uniform blastoderm; c) 16-20 h, differentiating</w:t>
      </w:r>
      <w:r w:rsidR="007E39BF">
        <w:t xml:space="preserve"> </w:t>
      </w:r>
      <w:r w:rsidR="007E39BF" w:rsidRPr="007E39BF">
        <w:t>blastoderm forming embryonic rudiment and serosa; d) 20-24 h, serosal window</w:t>
      </w:r>
      <w:r w:rsidR="007E39BF">
        <w:t xml:space="preserve"> </w:t>
      </w:r>
      <w:r w:rsidR="007E39BF" w:rsidRPr="007E39BF">
        <w:t>closure and first stripes of engrailed; e) to f) 24-36 h, germband elongation until full</w:t>
      </w:r>
      <w:r w:rsidR="007E39BF">
        <w:t xml:space="preserve"> </w:t>
      </w:r>
      <w:r w:rsidR="007E39BF" w:rsidRPr="007E39BF">
        <w:t>extension; g) and h) 36-48h, fully extended germband, appendages emerging on the</w:t>
      </w:r>
      <w:r w:rsidR="007E39BF">
        <w:t xml:space="preserve"> </w:t>
      </w:r>
      <w:r w:rsidR="007E39BF" w:rsidRPr="007E39BF">
        <w:t xml:space="preserve">gnathal, thoracic and first abdominal segments. </w:t>
      </w:r>
      <w:proofErr w:type="spellStart"/>
      <w:r w:rsidR="007E39BF" w:rsidRPr="007E39BF">
        <w:t>i</w:t>
      </w:r>
      <w:proofErr w:type="spellEnd"/>
      <w:r w:rsidR="007E39BF" w:rsidRPr="007E39BF">
        <w:t xml:space="preserve">) </w:t>
      </w:r>
      <w:proofErr w:type="gramStart"/>
      <w:r w:rsidR="007E39BF" w:rsidRPr="007E39BF">
        <w:t>and</w:t>
      </w:r>
      <w:proofErr w:type="gramEnd"/>
      <w:r w:rsidR="007E39BF" w:rsidRPr="007E39BF">
        <w:t xml:space="preserve"> j) 48-66h, post-segmentation</w:t>
      </w:r>
      <w:r w:rsidR="007E39BF">
        <w:t xml:space="preserve"> </w:t>
      </w:r>
      <w:r w:rsidR="007E39BF" w:rsidRPr="007E39BF">
        <w:t xml:space="preserve">embryo, appendages continue to develop as the germband shortens. </w:t>
      </w:r>
      <w:r w:rsidR="007E39BF" w:rsidRPr="007E39BF">
        <w:rPr>
          <w:b/>
        </w:rPr>
        <w:t>B.</w:t>
      </w:r>
      <w:r w:rsidR="007E39BF" w:rsidRPr="007E39BF">
        <w:t xml:space="preserve"> First</w:t>
      </w:r>
      <w:r w:rsidR="007E39BF">
        <w:t xml:space="preserve"> </w:t>
      </w:r>
      <w:r w:rsidR="007E39BF" w:rsidRPr="007E39BF">
        <w:t>interphase at which ubiquitous active (</w:t>
      </w:r>
      <w:proofErr w:type="spellStart"/>
      <w:r w:rsidR="007E39BF" w:rsidRPr="007E39BF">
        <w:t>phospho</w:t>
      </w:r>
      <w:proofErr w:type="spellEnd"/>
      <w:r w:rsidR="007E39BF" w:rsidRPr="007E39BF">
        <w:t>-serine 5 CTD) RNA polymerase II is</w:t>
      </w:r>
      <w:r w:rsidR="007E39BF">
        <w:t xml:space="preserve"> </w:t>
      </w:r>
      <w:r w:rsidR="007E39BF" w:rsidRPr="007E39BF">
        <w:t>detected (green). Nuclei are stained with DAPI (blue).</w:t>
      </w:r>
    </w:p>
    <w:p w14:paraId="1B2333DC" w14:textId="77777777" w:rsidR="007E39BF" w:rsidRPr="007E39BF" w:rsidRDefault="007E39BF" w:rsidP="00965BAB">
      <w:pPr>
        <w:jc w:val="both"/>
      </w:pPr>
    </w:p>
    <w:p w14:paraId="308932EC" w14:textId="79D5FB46" w:rsidR="007E39BF" w:rsidRPr="007E39BF" w:rsidRDefault="002173ED" w:rsidP="00965BAB">
      <w:pPr>
        <w:jc w:val="both"/>
        <w:rPr>
          <w:b/>
        </w:rPr>
      </w:pPr>
      <w:proofErr w:type="gramStart"/>
      <w:r>
        <w:rPr>
          <w:b/>
        </w:rPr>
        <w:t>Supplemental</w:t>
      </w:r>
      <w:r w:rsidR="007E39BF" w:rsidRPr="007E39BF">
        <w:rPr>
          <w:b/>
        </w:rPr>
        <w:t xml:space="preserve"> Figure 2.</w:t>
      </w:r>
      <w:proofErr w:type="gramEnd"/>
      <w:r w:rsidR="007E39BF" w:rsidRPr="007E39BF">
        <w:rPr>
          <w:b/>
        </w:rPr>
        <w:t xml:space="preserve"> </w:t>
      </w:r>
      <w:proofErr w:type="gramStart"/>
      <w:r w:rsidR="007E39BF" w:rsidRPr="007E39BF">
        <w:rPr>
          <w:b/>
        </w:rPr>
        <w:t xml:space="preserve">Multiple sequence alignments of the </w:t>
      </w:r>
      <w:r w:rsidR="007E39BF" w:rsidRPr="007E39BF">
        <w:rPr>
          <w:b/>
          <w:i/>
        </w:rPr>
        <w:t>Tribolium</w:t>
      </w:r>
      <w:r w:rsidR="007E39BF">
        <w:rPr>
          <w:b/>
        </w:rPr>
        <w:t xml:space="preserve"> microRNA families.</w:t>
      </w:r>
      <w:proofErr w:type="gramEnd"/>
      <w:r w:rsidR="007E39BF">
        <w:rPr>
          <w:b/>
        </w:rPr>
        <w:t xml:space="preserve"> </w:t>
      </w:r>
      <w:r w:rsidR="007E39BF" w:rsidRPr="007E39BF">
        <w:t>Alignments include microRNA precursor sequences, with the two mature arms in</w:t>
      </w:r>
      <w:r w:rsidR="007E39BF">
        <w:t xml:space="preserve"> </w:t>
      </w:r>
      <w:r w:rsidR="007E39BF" w:rsidRPr="007E39BF">
        <w:t xml:space="preserve">upper case. </w:t>
      </w:r>
      <w:r w:rsidR="003F733C" w:rsidRPr="007E39BF">
        <w:t>Colors</w:t>
      </w:r>
      <w:r w:rsidR="007E39BF" w:rsidRPr="007E39BF">
        <w:t xml:space="preserve"> indicate the percentage of nucleotide identity at each position,</w:t>
      </w:r>
      <w:r w:rsidR="007E39BF">
        <w:t xml:space="preserve"> </w:t>
      </w:r>
      <w:r w:rsidR="007E39BF" w:rsidRPr="007E39BF">
        <w:t>with light blue corresponding to &gt;80%, dark blue &gt;60% and grey &gt;40% identical</w:t>
      </w:r>
      <w:r w:rsidR="007E39BF">
        <w:t xml:space="preserve"> </w:t>
      </w:r>
      <w:r w:rsidR="007E39BF" w:rsidRPr="007E39BF">
        <w:t>nucleotides. Images are generated with RALEE (Griffiths-Jones 2005).</w:t>
      </w:r>
    </w:p>
    <w:p w14:paraId="1A7363D3" w14:textId="77777777" w:rsidR="007E39BF" w:rsidRDefault="007E39BF" w:rsidP="00965BAB">
      <w:pPr>
        <w:rPr>
          <w:b/>
        </w:rPr>
      </w:pPr>
    </w:p>
    <w:p w14:paraId="57C95231" w14:textId="55816C22" w:rsidR="007E39BF" w:rsidRPr="003F733C" w:rsidRDefault="002173ED" w:rsidP="00965BAB">
      <w:pPr>
        <w:jc w:val="both"/>
      </w:pPr>
      <w:proofErr w:type="gramStart"/>
      <w:r>
        <w:rPr>
          <w:b/>
        </w:rPr>
        <w:t>Supplemental</w:t>
      </w:r>
      <w:r w:rsidR="007E39BF" w:rsidRPr="003F733C">
        <w:rPr>
          <w:b/>
        </w:rPr>
        <w:t xml:space="preserve"> Figure 3.</w:t>
      </w:r>
      <w:proofErr w:type="gramEnd"/>
      <w:r w:rsidR="007E39BF" w:rsidRPr="003F733C">
        <w:rPr>
          <w:b/>
        </w:rPr>
        <w:t xml:space="preserve"> </w:t>
      </w:r>
      <w:proofErr w:type="gramStart"/>
      <w:r w:rsidR="003F733C" w:rsidRPr="003F733C">
        <w:rPr>
          <w:b/>
        </w:rPr>
        <w:t xml:space="preserve">Absolute quantities of miR-184-3p in </w:t>
      </w:r>
      <w:r w:rsidR="003F733C" w:rsidRPr="003F733C">
        <w:rPr>
          <w:b/>
          <w:i/>
        </w:rPr>
        <w:t>T. castaneum, D. melanogaster</w:t>
      </w:r>
      <w:r w:rsidR="003F733C" w:rsidRPr="003F733C">
        <w:rPr>
          <w:b/>
        </w:rPr>
        <w:t xml:space="preserve"> and </w:t>
      </w:r>
      <w:r w:rsidR="003F733C" w:rsidRPr="003F733C">
        <w:rPr>
          <w:b/>
          <w:i/>
        </w:rPr>
        <w:t>D. virilis</w:t>
      </w:r>
      <w:r w:rsidR="003F733C" w:rsidRPr="003F733C">
        <w:rPr>
          <w:b/>
        </w:rPr>
        <w:t xml:space="preserve"> oocytes.</w:t>
      </w:r>
      <w:proofErr w:type="gramEnd"/>
      <w:r w:rsidR="003F733C">
        <w:rPr>
          <w:b/>
        </w:rPr>
        <w:t xml:space="preserve"> A. </w:t>
      </w:r>
      <w:r w:rsidR="003F733C">
        <w:t>Absolute quantitation of miR-184-3p using standard dilutions of corresponding synthetic oligonucleotides; horizontal axis shows concentrations of RNA standards and vertical axis shows the qPCR (</w:t>
      </w:r>
      <w:proofErr w:type="spellStart"/>
      <w:r w:rsidR="003F733C">
        <w:t>TaqMan</w:t>
      </w:r>
      <w:proofErr w:type="spellEnd"/>
      <w:r w:rsidR="003F733C">
        <w:t>) C</w:t>
      </w:r>
      <w:r w:rsidR="003F733C" w:rsidRPr="003F733C">
        <w:rPr>
          <w:vertAlign w:val="subscript"/>
        </w:rPr>
        <w:t>T</w:t>
      </w:r>
      <w:r w:rsidR="003F733C">
        <w:rPr>
          <w:vertAlign w:val="subscript"/>
        </w:rPr>
        <w:t xml:space="preserve"> </w:t>
      </w:r>
      <w:r w:rsidR="003F733C" w:rsidRPr="003F733C">
        <w:t>values</w:t>
      </w:r>
      <w:r w:rsidR="003F733C">
        <w:t xml:space="preserve"> of these standards, and three samples from oocytes of the three species. </w:t>
      </w:r>
      <w:r w:rsidR="003F733C" w:rsidRPr="003F733C">
        <w:rPr>
          <w:b/>
        </w:rPr>
        <w:t>B.</w:t>
      </w:r>
      <w:r w:rsidR="003F733C">
        <w:rPr>
          <w:b/>
        </w:rPr>
        <w:t xml:space="preserve"> </w:t>
      </w:r>
      <w:r w:rsidR="003F733C">
        <w:t xml:space="preserve">Comparisons of miR-184-3p abundance estimates based on standard curve normalization (see A), or relative to the concentration of the 0.1 </w:t>
      </w:r>
      <w:proofErr w:type="spellStart"/>
      <w:r w:rsidR="003F733C">
        <w:t>fmol</w:t>
      </w:r>
      <w:proofErr w:type="spellEnd"/>
      <w:r w:rsidR="003F733C">
        <w:t xml:space="preserve"> per cell spiked-in synthetic oligonucleotide. </w:t>
      </w:r>
      <w:r w:rsidR="003F733C" w:rsidRPr="003F733C">
        <w:rPr>
          <w:b/>
        </w:rPr>
        <w:t>C.</w:t>
      </w:r>
      <w:r w:rsidR="003F733C">
        <w:rPr>
          <w:b/>
        </w:rPr>
        <w:t xml:space="preserve"> </w:t>
      </w:r>
      <w:proofErr w:type="gramStart"/>
      <w:r w:rsidR="003F733C">
        <w:t>miR</w:t>
      </w:r>
      <w:proofErr w:type="gramEnd"/>
      <w:r w:rsidR="003F733C">
        <w:t xml:space="preserve">-184-3p abundance relative to the 0.1 </w:t>
      </w:r>
      <w:proofErr w:type="spellStart"/>
      <w:r w:rsidR="003F733C">
        <w:t>fmol</w:t>
      </w:r>
      <w:proofErr w:type="spellEnd"/>
      <w:r w:rsidR="003F733C">
        <w:t xml:space="preserve"> per cell spike-in inferred from </w:t>
      </w:r>
      <w:r w:rsidR="007A747C">
        <w:t xml:space="preserve">small RNA sequencing read count ratios calculated allowing one or two mismatches to the reference genomes. </w:t>
      </w:r>
    </w:p>
    <w:p w14:paraId="61631903" w14:textId="77777777" w:rsidR="00D66B46" w:rsidRDefault="00D66B46" w:rsidP="00965BAB">
      <w:pPr>
        <w:ind w:firstLine="284"/>
        <w:jc w:val="both"/>
        <w:rPr>
          <w:szCs w:val="22"/>
        </w:rPr>
      </w:pPr>
    </w:p>
    <w:p w14:paraId="31C3618E" w14:textId="611E49D6" w:rsidR="004436E6" w:rsidRDefault="002173ED" w:rsidP="00965BAB">
      <w:pPr>
        <w:jc w:val="both"/>
        <w:rPr>
          <w:szCs w:val="22"/>
        </w:rPr>
      </w:pPr>
      <w:proofErr w:type="gramStart"/>
      <w:r>
        <w:rPr>
          <w:b/>
          <w:szCs w:val="22"/>
        </w:rPr>
        <w:t>Supplemental</w:t>
      </w:r>
      <w:r w:rsidR="00D66B46" w:rsidRPr="00D66B46">
        <w:rPr>
          <w:b/>
          <w:szCs w:val="22"/>
        </w:rPr>
        <w:t xml:space="preserve"> Figure 4.</w:t>
      </w:r>
      <w:proofErr w:type="gramEnd"/>
      <w:r w:rsidR="00D66B46" w:rsidRPr="00D66B46">
        <w:rPr>
          <w:b/>
          <w:szCs w:val="22"/>
        </w:rPr>
        <w:t xml:space="preserve"> </w:t>
      </w:r>
      <w:proofErr w:type="gramStart"/>
      <w:r w:rsidR="003E1CD7" w:rsidRPr="00A70D1B">
        <w:rPr>
          <w:b/>
          <w:i/>
          <w:szCs w:val="22"/>
        </w:rPr>
        <w:t>In situ</w:t>
      </w:r>
      <w:r w:rsidR="003E1CD7">
        <w:rPr>
          <w:b/>
          <w:szCs w:val="22"/>
        </w:rPr>
        <w:t xml:space="preserve"> hybridization for nascent transcripts of </w:t>
      </w:r>
      <w:r w:rsidR="003E1CD7">
        <w:rPr>
          <w:b/>
          <w:i/>
          <w:szCs w:val="22"/>
        </w:rPr>
        <w:t>T. castaneum mir-3889~3843</w:t>
      </w:r>
      <w:r w:rsidR="003E1CD7">
        <w:rPr>
          <w:b/>
          <w:szCs w:val="22"/>
        </w:rPr>
        <w:t xml:space="preserve"> and </w:t>
      </w:r>
      <w:r w:rsidR="003E1CD7">
        <w:rPr>
          <w:b/>
          <w:i/>
          <w:szCs w:val="22"/>
        </w:rPr>
        <w:t xml:space="preserve">mir-9d~3791 </w:t>
      </w:r>
      <w:r w:rsidR="003E1CD7">
        <w:rPr>
          <w:b/>
          <w:szCs w:val="22"/>
        </w:rPr>
        <w:t>clusters.</w:t>
      </w:r>
      <w:proofErr w:type="gramEnd"/>
      <w:r w:rsidR="003E1CD7">
        <w:rPr>
          <w:b/>
          <w:szCs w:val="22"/>
        </w:rPr>
        <w:t xml:space="preserve"> A. </w:t>
      </w:r>
      <w:r w:rsidR="003E1CD7">
        <w:rPr>
          <w:szCs w:val="22"/>
        </w:rPr>
        <w:t xml:space="preserve">Blastoderm embryos stained with DIG-labelled (red) antisense RNA probes to </w:t>
      </w:r>
      <w:r w:rsidR="003E1CD7" w:rsidRPr="003E1CD7">
        <w:rPr>
          <w:i/>
          <w:szCs w:val="22"/>
        </w:rPr>
        <w:t>mir-3889~3843</w:t>
      </w:r>
      <w:r w:rsidR="003E1CD7" w:rsidRPr="003E1CD7">
        <w:rPr>
          <w:szCs w:val="22"/>
        </w:rPr>
        <w:t xml:space="preserve"> </w:t>
      </w:r>
      <w:r w:rsidR="003E1CD7">
        <w:rPr>
          <w:szCs w:val="22"/>
        </w:rPr>
        <w:t xml:space="preserve">(left) </w:t>
      </w:r>
      <w:r w:rsidR="003E1CD7" w:rsidRPr="003E1CD7">
        <w:rPr>
          <w:szCs w:val="22"/>
        </w:rPr>
        <w:t xml:space="preserve">and </w:t>
      </w:r>
      <w:r w:rsidR="003E1CD7" w:rsidRPr="00237B5F">
        <w:rPr>
          <w:i/>
          <w:szCs w:val="22"/>
        </w:rPr>
        <w:t>mir</w:t>
      </w:r>
      <w:r w:rsidR="003E1CD7" w:rsidRPr="003E1CD7">
        <w:rPr>
          <w:szCs w:val="22"/>
        </w:rPr>
        <w:t>-</w:t>
      </w:r>
      <w:r w:rsidR="003E1CD7" w:rsidRPr="003E1CD7">
        <w:rPr>
          <w:i/>
          <w:szCs w:val="22"/>
        </w:rPr>
        <w:t>9d~3791</w:t>
      </w:r>
      <w:r w:rsidR="003E1CD7" w:rsidRPr="003E1CD7">
        <w:rPr>
          <w:szCs w:val="22"/>
        </w:rPr>
        <w:t xml:space="preserve"> </w:t>
      </w:r>
      <w:r w:rsidR="003E1CD7">
        <w:rPr>
          <w:szCs w:val="22"/>
        </w:rPr>
        <w:t xml:space="preserve">(right) </w:t>
      </w:r>
      <w:r w:rsidR="00237B5F">
        <w:rPr>
          <w:szCs w:val="22"/>
        </w:rPr>
        <w:t>cluster regions, and DAPI (blue)</w:t>
      </w:r>
      <w:r w:rsidR="003E1CD7">
        <w:rPr>
          <w:szCs w:val="22"/>
        </w:rPr>
        <w:t xml:space="preserve">. </w:t>
      </w:r>
      <w:r w:rsidR="00237B5F">
        <w:rPr>
          <w:szCs w:val="22"/>
        </w:rPr>
        <w:t xml:space="preserve">Nascent transcripts are ubiquitously detectable as nuclear dots. </w:t>
      </w:r>
      <w:r w:rsidR="00237B5F" w:rsidRPr="00237B5F">
        <w:rPr>
          <w:b/>
          <w:szCs w:val="22"/>
        </w:rPr>
        <w:t>B</w:t>
      </w:r>
      <w:r w:rsidR="00237B5F">
        <w:rPr>
          <w:szCs w:val="22"/>
        </w:rPr>
        <w:t xml:space="preserve">. Embryos at the stage of differentiating blastoderm (left) and serosal closure (right) stained with DIG-labelled (red) antisense RNA probe to the </w:t>
      </w:r>
      <w:r w:rsidR="00237B5F" w:rsidRPr="00237B5F">
        <w:rPr>
          <w:i/>
          <w:szCs w:val="22"/>
        </w:rPr>
        <w:t>mir-9d~3791</w:t>
      </w:r>
      <w:r w:rsidR="00237B5F">
        <w:rPr>
          <w:szCs w:val="22"/>
        </w:rPr>
        <w:t xml:space="preserve"> cluster region and DAPI (blue). Nascent transcripts (nuclear dots) are detectable in serosal nuclei. Example regions are magnified. </w:t>
      </w:r>
    </w:p>
    <w:p w14:paraId="01353346" w14:textId="77777777" w:rsidR="002173ED" w:rsidRDefault="002173ED" w:rsidP="00965BAB">
      <w:pPr>
        <w:jc w:val="both"/>
        <w:rPr>
          <w:szCs w:val="22"/>
        </w:rPr>
      </w:pPr>
    </w:p>
    <w:p w14:paraId="70FCA805" w14:textId="62038FC0" w:rsidR="002173ED" w:rsidRPr="00237B5F" w:rsidRDefault="002173ED" w:rsidP="00965BAB">
      <w:pPr>
        <w:jc w:val="both"/>
        <w:rPr>
          <w:szCs w:val="22"/>
        </w:rPr>
      </w:pPr>
      <w:proofErr w:type="gramStart"/>
      <w:r w:rsidRPr="00D34220">
        <w:rPr>
          <w:b/>
        </w:rPr>
        <w:t>Supplemental Figure 5.</w:t>
      </w:r>
      <w:proofErr w:type="gramEnd"/>
      <w:r w:rsidRPr="00D34220">
        <w:rPr>
          <w:b/>
        </w:rPr>
        <w:t xml:space="preserve"> </w:t>
      </w:r>
      <w:proofErr w:type="gramStart"/>
      <w:r w:rsidRPr="00D34220">
        <w:rPr>
          <w:b/>
        </w:rPr>
        <w:t>Differential gene expression between oocytes and embryonic stages.</w:t>
      </w:r>
      <w:proofErr w:type="gramEnd"/>
      <w:r w:rsidRPr="00D34220">
        <w:rPr>
          <w:b/>
        </w:rPr>
        <w:t xml:space="preserve"> </w:t>
      </w:r>
      <w:r w:rsidRPr="00482761">
        <w:t>Volcano plots show fold change in expression (x-axis) versus differential</w:t>
      </w:r>
      <w:r>
        <w:t xml:space="preserve"> </w:t>
      </w:r>
      <w:r w:rsidRPr="00482761">
        <w:t xml:space="preserve">expression p-value (y-axis) </w:t>
      </w:r>
      <w:r>
        <w:t xml:space="preserve">of gene expression (FPKM) in samples from </w:t>
      </w:r>
      <w:r>
        <w:rPr>
          <w:i/>
        </w:rPr>
        <w:t>T. castaneum</w:t>
      </w:r>
      <w:r>
        <w:t xml:space="preserve"> oocytes, 8-16 h, 16-24h and 24-48h embryos, </w:t>
      </w:r>
      <w:r w:rsidRPr="00482761">
        <w:t xml:space="preserve">estimated by </w:t>
      </w:r>
      <w:proofErr w:type="spellStart"/>
      <w:r w:rsidRPr="00482761">
        <w:t>Cuffdiff</w:t>
      </w:r>
      <w:proofErr w:type="spellEnd"/>
      <w:r w:rsidRPr="00482761">
        <w:t>. Transcripts with a significant fold</w:t>
      </w:r>
      <w:r>
        <w:t xml:space="preserve"> </w:t>
      </w:r>
      <w:r w:rsidRPr="00482761">
        <w:t xml:space="preserve">difference between samples (p&lt;0.05) are </w:t>
      </w:r>
      <w:proofErr w:type="spellStart"/>
      <w:r w:rsidRPr="00482761">
        <w:t>coloured</w:t>
      </w:r>
      <w:proofErr w:type="spellEnd"/>
      <w:r w:rsidRPr="00482761">
        <w:t>.</w:t>
      </w:r>
    </w:p>
    <w:sectPr w:rsidR="002173ED" w:rsidRPr="00237B5F" w:rsidSect="004436E6">
      <w:pgSz w:w="11900" w:h="16840"/>
      <w:pgMar w:top="1440" w:right="1797" w:bottom="1440" w:left="1797"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AB"/>
    <w:rsid w:val="00026357"/>
    <w:rsid w:val="002173ED"/>
    <w:rsid w:val="00237B5F"/>
    <w:rsid w:val="00253BAD"/>
    <w:rsid w:val="002A4499"/>
    <w:rsid w:val="003E1CD7"/>
    <w:rsid w:val="003F733C"/>
    <w:rsid w:val="004049FF"/>
    <w:rsid w:val="004436E6"/>
    <w:rsid w:val="004B1B73"/>
    <w:rsid w:val="004D3C7F"/>
    <w:rsid w:val="0053375F"/>
    <w:rsid w:val="006505AB"/>
    <w:rsid w:val="00751827"/>
    <w:rsid w:val="00783FBC"/>
    <w:rsid w:val="007A747C"/>
    <w:rsid w:val="007B3AC5"/>
    <w:rsid w:val="007E39BF"/>
    <w:rsid w:val="00870005"/>
    <w:rsid w:val="00965BAB"/>
    <w:rsid w:val="00A21FDD"/>
    <w:rsid w:val="00A70D1B"/>
    <w:rsid w:val="00AC464A"/>
    <w:rsid w:val="00AE1C31"/>
    <w:rsid w:val="00AF7B88"/>
    <w:rsid w:val="00B06DAA"/>
    <w:rsid w:val="00BD14CC"/>
    <w:rsid w:val="00C24569"/>
    <w:rsid w:val="00C333F5"/>
    <w:rsid w:val="00C6674A"/>
    <w:rsid w:val="00C75733"/>
    <w:rsid w:val="00CC0D5B"/>
    <w:rsid w:val="00CC41DD"/>
    <w:rsid w:val="00D246A6"/>
    <w:rsid w:val="00D34220"/>
    <w:rsid w:val="00D66B46"/>
    <w:rsid w:val="00D8273C"/>
    <w:rsid w:val="00F5584B"/>
    <w:rsid w:val="00F7262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BB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436E6"/>
    <w:pPr>
      <w:spacing w:line="480" w:lineRule="auto"/>
    </w:pPr>
    <w:rPr>
      <w:rFonts w:ascii="Arial" w:hAnsi="Arial"/>
      <w:sz w:val="22"/>
    </w:rPr>
  </w:style>
  <w:style w:type="paragraph" w:styleId="Heading2">
    <w:name w:val="heading 2"/>
    <w:basedOn w:val="Normal"/>
    <w:next w:val="Normal"/>
    <w:link w:val="Heading2Char"/>
    <w:uiPriority w:val="99"/>
    <w:unhideWhenUsed/>
    <w:qFormat/>
    <w:rsid w:val="004436E6"/>
    <w:pPr>
      <w:keepNext/>
      <w:keepLines/>
      <w:spacing w:before="480" w:after="480" w:line="360" w:lineRule="auto"/>
      <w:outlineLvl w:val="1"/>
    </w:pPr>
    <w:rPr>
      <w:rFonts w:eastAsiaTheme="majorEastAsia" w:cstheme="majorBidi"/>
      <w:b/>
      <w:bCs/>
      <w:sz w:val="28"/>
      <w:szCs w:val="26"/>
      <w:lang w:val="en-GB"/>
    </w:rPr>
  </w:style>
  <w:style w:type="paragraph" w:styleId="Heading3">
    <w:name w:val="heading 3"/>
    <w:basedOn w:val="Normal"/>
    <w:next w:val="Normal"/>
    <w:link w:val="Heading3Char"/>
    <w:uiPriority w:val="99"/>
    <w:unhideWhenUsed/>
    <w:qFormat/>
    <w:rsid w:val="004436E6"/>
    <w:pPr>
      <w:keepNext/>
      <w:keepLines/>
      <w:spacing w:before="120" w:after="120" w:line="360" w:lineRule="auto"/>
      <w:jc w:val="both"/>
      <w:outlineLvl w:val="2"/>
    </w:pPr>
    <w:rPr>
      <w:rFonts w:eastAsiaTheme="majorEastAsia" w:cstheme="majorBidi"/>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436E6"/>
    <w:rPr>
      <w:rFonts w:ascii="Arial" w:eastAsiaTheme="majorEastAsia" w:hAnsi="Arial" w:cstheme="majorBidi"/>
      <w:b/>
      <w:bCs/>
      <w:sz w:val="28"/>
      <w:szCs w:val="26"/>
      <w:lang w:val="en-GB"/>
    </w:rPr>
  </w:style>
  <w:style w:type="character" w:customStyle="1" w:styleId="Heading3Char">
    <w:name w:val="Heading 3 Char"/>
    <w:basedOn w:val="DefaultParagraphFont"/>
    <w:link w:val="Heading3"/>
    <w:uiPriority w:val="99"/>
    <w:rsid w:val="004436E6"/>
    <w:rPr>
      <w:rFonts w:ascii="Arial" w:eastAsiaTheme="majorEastAsia" w:hAnsi="Arial" w:cstheme="majorBidi"/>
      <w:b/>
      <w:bCs/>
      <w:lang w:val="en-GB"/>
    </w:rPr>
  </w:style>
  <w:style w:type="paragraph" w:styleId="DocumentMap">
    <w:name w:val="Document Map"/>
    <w:basedOn w:val="Normal"/>
    <w:link w:val="DocumentMapChar"/>
    <w:uiPriority w:val="99"/>
    <w:semiHidden/>
    <w:unhideWhenUsed/>
    <w:rsid w:val="004436E6"/>
    <w:rPr>
      <w:rFonts w:ascii="Lucida Grande" w:hAnsi="Lucida Grande" w:cs="Lucida Grande"/>
    </w:rPr>
  </w:style>
  <w:style w:type="character" w:customStyle="1" w:styleId="DocumentMapChar">
    <w:name w:val="Document Map Char"/>
    <w:basedOn w:val="DefaultParagraphFont"/>
    <w:link w:val="DocumentMap"/>
    <w:uiPriority w:val="99"/>
    <w:semiHidden/>
    <w:rsid w:val="004436E6"/>
    <w:rPr>
      <w:rFonts w:ascii="Lucida Grande" w:hAnsi="Lucida Grande" w:cs="Lucida Grande"/>
    </w:rPr>
  </w:style>
  <w:style w:type="paragraph" w:styleId="BalloonText">
    <w:name w:val="Balloon Text"/>
    <w:basedOn w:val="Normal"/>
    <w:link w:val="BalloonTextChar"/>
    <w:rsid w:val="00C245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C245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436E6"/>
    <w:pPr>
      <w:spacing w:line="480" w:lineRule="auto"/>
    </w:pPr>
    <w:rPr>
      <w:rFonts w:ascii="Arial" w:hAnsi="Arial"/>
      <w:sz w:val="22"/>
    </w:rPr>
  </w:style>
  <w:style w:type="paragraph" w:styleId="Heading2">
    <w:name w:val="heading 2"/>
    <w:basedOn w:val="Normal"/>
    <w:next w:val="Normal"/>
    <w:link w:val="Heading2Char"/>
    <w:uiPriority w:val="99"/>
    <w:unhideWhenUsed/>
    <w:qFormat/>
    <w:rsid w:val="004436E6"/>
    <w:pPr>
      <w:keepNext/>
      <w:keepLines/>
      <w:spacing w:before="480" w:after="480" w:line="360" w:lineRule="auto"/>
      <w:outlineLvl w:val="1"/>
    </w:pPr>
    <w:rPr>
      <w:rFonts w:eastAsiaTheme="majorEastAsia" w:cstheme="majorBidi"/>
      <w:b/>
      <w:bCs/>
      <w:sz w:val="28"/>
      <w:szCs w:val="26"/>
      <w:lang w:val="en-GB"/>
    </w:rPr>
  </w:style>
  <w:style w:type="paragraph" w:styleId="Heading3">
    <w:name w:val="heading 3"/>
    <w:basedOn w:val="Normal"/>
    <w:next w:val="Normal"/>
    <w:link w:val="Heading3Char"/>
    <w:uiPriority w:val="99"/>
    <w:unhideWhenUsed/>
    <w:qFormat/>
    <w:rsid w:val="004436E6"/>
    <w:pPr>
      <w:keepNext/>
      <w:keepLines/>
      <w:spacing w:before="120" w:after="120" w:line="360" w:lineRule="auto"/>
      <w:jc w:val="both"/>
      <w:outlineLvl w:val="2"/>
    </w:pPr>
    <w:rPr>
      <w:rFonts w:eastAsiaTheme="majorEastAsia" w:cstheme="majorBidi"/>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436E6"/>
    <w:rPr>
      <w:rFonts w:ascii="Arial" w:eastAsiaTheme="majorEastAsia" w:hAnsi="Arial" w:cstheme="majorBidi"/>
      <w:b/>
      <w:bCs/>
      <w:sz w:val="28"/>
      <w:szCs w:val="26"/>
      <w:lang w:val="en-GB"/>
    </w:rPr>
  </w:style>
  <w:style w:type="character" w:customStyle="1" w:styleId="Heading3Char">
    <w:name w:val="Heading 3 Char"/>
    <w:basedOn w:val="DefaultParagraphFont"/>
    <w:link w:val="Heading3"/>
    <w:uiPriority w:val="99"/>
    <w:rsid w:val="004436E6"/>
    <w:rPr>
      <w:rFonts w:ascii="Arial" w:eastAsiaTheme="majorEastAsia" w:hAnsi="Arial" w:cstheme="majorBidi"/>
      <w:b/>
      <w:bCs/>
      <w:lang w:val="en-GB"/>
    </w:rPr>
  </w:style>
  <w:style w:type="paragraph" w:styleId="DocumentMap">
    <w:name w:val="Document Map"/>
    <w:basedOn w:val="Normal"/>
    <w:link w:val="DocumentMapChar"/>
    <w:uiPriority w:val="99"/>
    <w:semiHidden/>
    <w:unhideWhenUsed/>
    <w:rsid w:val="004436E6"/>
    <w:rPr>
      <w:rFonts w:ascii="Lucida Grande" w:hAnsi="Lucida Grande" w:cs="Lucida Grande"/>
    </w:rPr>
  </w:style>
  <w:style w:type="character" w:customStyle="1" w:styleId="DocumentMapChar">
    <w:name w:val="Document Map Char"/>
    <w:basedOn w:val="DefaultParagraphFont"/>
    <w:link w:val="DocumentMap"/>
    <w:uiPriority w:val="99"/>
    <w:semiHidden/>
    <w:rsid w:val="004436E6"/>
    <w:rPr>
      <w:rFonts w:ascii="Lucida Grande" w:hAnsi="Lucida Grande" w:cs="Lucida Grande"/>
    </w:rPr>
  </w:style>
  <w:style w:type="paragraph" w:styleId="BalloonText">
    <w:name w:val="Balloon Text"/>
    <w:basedOn w:val="Normal"/>
    <w:link w:val="BalloonTextChar"/>
    <w:rsid w:val="00C245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C245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2586</Words>
  <Characters>14741</Characters>
  <Application>Microsoft Macintosh Word</Application>
  <DocSecurity>0</DocSecurity>
  <Lines>122</Lines>
  <Paragraphs>34</Paragraphs>
  <ScaleCrop>false</ScaleCrop>
  <Company>UoM</Company>
  <LinksUpToDate>false</LinksUpToDate>
  <CharactersWithSpaces>17293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Ninova</dc:creator>
  <cp:keywords/>
  <cp:lastModifiedBy>Maria Ninova</cp:lastModifiedBy>
  <cp:revision>3</cp:revision>
  <dcterms:created xsi:type="dcterms:W3CDTF">2015-08-21T17:13:00Z</dcterms:created>
  <dcterms:modified xsi:type="dcterms:W3CDTF">2015-08-21T17:13:00Z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http://www.zotero.org/styles/genome-research</vt:lpwstr>
  </property>
  <property fmtid="{D5CDD505-2E9C-101B-9397-08002B2CF9AE}" pid="4" name="Mendeley User Name_1">
    <vt:lpwstr>begemotche@gmail.com@www.mendeley.com</vt:lpwstr>
  </property>
</Properties>
</file>