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F5937" w14:textId="29E3581C" w:rsidR="007B0269" w:rsidRDefault="007B0269" w:rsidP="002B1D03">
      <w:pPr>
        <w:jc w:val="both"/>
        <w:rPr>
          <w:b/>
        </w:rPr>
      </w:pPr>
      <w:r>
        <w:rPr>
          <w:b/>
        </w:rPr>
        <w:t>Supplementary Text</w:t>
      </w:r>
    </w:p>
    <w:p w14:paraId="15A3DD94" w14:textId="77777777" w:rsidR="00B862C3" w:rsidRDefault="00B862C3" w:rsidP="002B1D03">
      <w:pPr>
        <w:jc w:val="both"/>
        <w:rPr>
          <w:b/>
        </w:rPr>
      </w:pPr>
    </w:p>
    <w:p w14:paraId="23C52D34" w14:textId="77777777" w:rsidR="00B862C3" w:rsidRDefault="00B862C3" w:rsidP="00B862C3">
      <w:pPr>
        <w:spacing w:line="480" w:lineRule="auto"/>
        <w:rPr>
          <w:rFonts w:ascii="Times New Roman" w:hAnsi="Times New Roman" w:cs="Times New Roman"/>
          <w:b/>
        </w:rPr>
        <w:sectPr w:rsidR="00B862C3" w:rsidSect="00961E91">
          <w:pgSz w:w="12240" w:h="15840"/>
          <w:pgMar w:top="1440" w:right="1800" w:bottom="1440" w:left="1800" w:header="720" w:footer="720" w:gutter="0"/>
          <w:cols w:space="720"/>
        </w:sectPr>
      </w:pPr>
    </w:p>
    <w:p w14:paraId="44BA93F0" w14:textId="1DDF8A31" w:rsidR="00B862C3" w:rsidRPr="00B862C3" w:rsidRDefault="00B862C3" w:rsidP="00B862C3">
      <w:pPr>
        <w:rPr>
          <w:rFonts w:ascii="Times New Roman" w:hAnsi="Times New Roman" w:cs="Times New Roman"/>
          <w:b/>
        </w:rPr>
      </w:pPr>
      <w:r w:rsidRPr="00B862C3">
        <w:rPr>
          <w:rFonts w:ascii="Times New Roman" w:hAnsi="Times New Roman" w:cs="Times New Roman"/>
          <w:b/>
        </w:rPr>
        <w:lastRenderedPageBreak/>
        <w:t>Segmenting merged DHS</w:t>
      </w:r>
    </w:p>
    <w:p w14:paraId="3AC51ABB" w14:textId="3108B3AE" w:rsidR="00B862C3" w:rsidRPr="00B862C3" w:rsidRDefault="00B862C3" w:rsidP="00B862C3">
      <w:pPr>
        <w:rPr>
          <w:rFonts w:ascii="Times New Roman" w:hAnsi="Times New Roman" w:cs="Times New Roman"/>
        </w:rPr>
        <w:sectPr w:rsidR="00B862C3" w:rsidRPr="00B862C3" w:rsidSect="00B862C3">
          <w:type w:val="continuous"/>
          <w:pgSz w:w="12240" w:h="15840"/>
          <w:pgMar w:top="1440" w:right="1800" w:bottom="1440" w:left="1800" w:header="720" w:footer="720" w:gutter="0"/>
          <w:cols w:space="720"/>
        </w:sectPr>
      </w:pPr>
      <w:r>
        <w:rPr>
          <w:rFonts w:ascii="Times New Roman" w:hAnsi="Times New Roman" w:cs="Times New Roman"/>
        </w:rPr>
        <w:t>To segment long, merged DHS that may represent multiple regulatory elements</w:t>
      </w:r>
      <w:r w:rsidRPr="00CE38C2">
        <w:rPr>
          <w:rFonts w:ascii="Times New Roman" w:hAnsi="Times New Roman" w:cs="Times New Roman"/>
        </w:rPr>
        <w:t>, for every 5</w:t>
      </w:r>
      <w:r w:rsidRPr="00CE38C2">
        <w:rPr>
          <w:rFonts w:ascii="Times New Roman" w:hAnsi="Times New Roman" w:cs="Times New Roman"/>
          <w:vertAlign w:val="superscript"/>
        </w:rPr>
        <w:t>th</w:t>
      </w:r>
      <w:r w:rsidRPr="00CE38C2">
        <w:rPr>
          <w:rFonts w:ascii="Times New Roman" w:hAnsi="Times New Roman" w:cs="Times New Roman"/>
        </w:rPr>
        <w:t xml:space="preserve"> base pair in the genome we counted the number of cell types that contained a DHS at that base. Based on this information, we identified local minima in the number of cell types, and partitioned a DHS at the local minima if the minima was less than half of the previous maximum, and if the number of cell types again increased by at least 5 (Supplementary Fig. </w:t>
      </w:r>
      <w:r w:rsidR="00AE50E8">
        <w:rPr>
          <w:rFonts w:ascii="Times New Roman" w:hAnsi="Times New Roman" w:cs="Times New Roman"/>
        </w:rPr>
        <w:t>7</w:t>
      </w:r>
      <w:r w:rsidRPr="00CE38C2">
        <w:rPr>
          <w:rFonts w:ascii="Times New Roman" w:hAnsi="Times New Roman" w:cs="Times New Roman"/>
        </w:rPr>
        <w:t xml:space="preserve">). </w:t>
      </w:r>
      <w:r>
        <w:rPr>
          <w:rFonts w:ascii="Times New Roman" w:hAnsi="Times New Roman" w:cs="Times New Roman"/>
        </w:rPr>
        <w:t xml:space="preserve">This resulted in an increase from the initial 2,026,055 merged DHS to the final </w:t>
      </w:r>
      <w:r w:rsidRPr="00634736">
        <w:rPr>
          <w:rFonts w:ascii="Times New Roman" w:hAnsi="Times New Roman" w:cs="Times New Roman"/>
        </w:rPr>
        <w:t>2,093,197</w:t>
      </w:r>
      <w:r>
        <w:rPr>
          <w:rFonts w:ascii="Times New Roman" w:hAnsi="Times New Roman" w:cs="Times New Roman"/>
        </w:rPr>
        <w:t xml:space="preserve"> DHS, so the vast majority of DHS in the analysis were not partitioned. 8,929 of the final 113,577 conserved DHS were part of a larger DHS that got partitioned, and 68 of the 524 haDHS were partitioned.</w:t>
      </w:r>
    </w:p>
    <w:p w14:paraId="09BCC522" w14:textId="77777777" w:rsidR="007B0269" w:rsidRDefault="007B0269" w:rsidP="002B1D03">
      <w:pPr>
        <w:jc w:val="both"/>
        <w:rPr>
          <w:b/>
        </w:rPr>
      </w:pPr>
    </w:p>
    <w:p w14:paraId="6664A4A8" w14:textId="2DCF8E18" w:rsidR="00E93C4C" w:rsidRDefault="00E93C4C" w:rsidP="002B1D03">
      <w:pPr>
        <w:jc w:val="both"/>
        <w:rPr>
          <w:b/>
        </w:rPr>
      </w:pPr>
      <w:r>
        <w:rPr>
          <w:b/>
        </w:rPr>
        <w:t>Calibrating the False discovery rate for conserved and human accelerated DHS</w:t>
      </w:r>
    </w:p>
    <w:p w14:paraId="3C229DD0" w14:textId="170CFD52" w:rsidR="00EF4E8B" w:rsidRPr="00CE38C2" w:rsidRDefault="00EF4E8B" w:rsidP="00EF4E8B">
      <w:pPr>
        <w:rPr>
          <w:rFonts w:ascii="Times New Roman" w:hAnsi="Times New Roman" w:cs="Times New Roman"/>
        </w:rPr>
      </w:pPr>
      <w:r w:rsidRPr="00CE38C2">
        <w:rPr>
          <w:rFonts w:ascii="Times New Roman" w:hAnsi="Times New Roman" w:cs="Times New Roman"/>
        </w:rPr>
        <w:t>To evaluate whether the FDR was appropriately calibrated in the phyloP tests, we randomly sampled regions throughout the genome from the same size distribution as the final set of DHS. We applied the same filtering strategy to this set, arriving at a final set of 47,317 simulated DHS and ran the same phyloP tests. Of the randomly sampled regions, 1.1% were called as conserved at the same p value threshold (0.00242) for the real DHS, demonstrating that our estimate of a 1% FDR for the conserved DHS is accurate. Similarly, we found that simulated DHS were called as conserved and human accelerated at 5.7% the rate that DHS from the real data set were.</w:t>
      </w:r>
      <w:r>
        <w:rPr>
          <w:rFonts w:ascii="Times New Roman" w:hAnsi="Times New Roman" w:cs="Times New Roman"/>
        </w:rPr>
        <w:t xml:space="preserve"> These data indicated that our estimated FDRs were well calibrated.</w:t>
      </w:r>
    </w:p>
    <w:p w14:paraId="7C7378BD" w14:textId="77777777" w:rsidR="00E93C4C" w:rsidRDefault="00E93C4C" w:rsidP="002B1D03">
      <w:pPr>
        <w:jc w:val="both"/>
        <w:rPr>
          <w:b/>
        </w:rPr>
      </w:pPr>
    </w:p>
    <w:p w14:paraId="633B92FC" w14:textId="77777777" w:rsidR="00C61BDB" w:rsidRPr="00CE38C2" w:rsidRDefault="00C61BDB" w:rsidP="00C61BDB">
      <w:pPr>
        <w:rPr>
          <w:rFonts w:ascii="Times New Roman" w:hAnsi="Times New Roman" w:cs="Times New Roman"/>
          <w:b/>
        </w:rPr>
      </w:pPr>
      <w:r w:rsidRPr="00CE38C2">
        <w:rPr>
          <w:rFonts w:ascii="Times New Roman" w:hAnsi="Times New Roman" w:cs="Times New Roman"/>
          <w:b/>
        </w:rPr>
        <w:t>Testing for acceleration relative to the neutral rate</w:t>
      </w:r>
    </w:p>
    <w:p w14:paraId="02B96DE8" w14:textId="22A10C99" w:rsidR="00C61BDB" w:rsidRPr="00C61BDB" w:rsidRDefault="00C61BDB" w:rsidP="00C61BDB">
      <w:pPr>
        <w:rPr>
          <w:rFonts w:ascii="Times New Roman" w:hAnsi="Times New Roman" w:cs="Times New Roman"/>
        </w:rPr>
      </w:pPr>
      <w:r w:rsidRPr="00CE38C2">
        <w:rPr>
          <w:rFonts w:ascii="Times New Roman" w:hAnsi="Times New Roman" w:cs="Times New Roman"/>
        </w:rPr>
        <w:t xml:space="preserve">We applied a non-parametric permutation strategy to determine if the human branch in each haDHS was evolving more rapidly than the estimated neutral rate. For each haDHS we first used phyloFit to fit a phylogenetic model to the alignment of the haDHS. </w:t>
      </w:r>
      <w:r>
        <w:rPr>
          <w:rFonts w:ascii="Times New Roman" w:hAnsi="Times New Roman" w:cs="Times New Roman"/>
        </w:rPr>
        <w:t>Next,</w:t>
      </w:r>
      <w:r w:rsidRPr="00CE38C2">
        <w:rPr>
          <w:rFonts w:ascii="Times New Roman" w:hAnsi="Times New Roman" w:cs="Times New Roman"/>
        </w:rPr>
        <w:t xml:space="preserve"> we sampled contiguous regions of the alignment of the same size as the haDHS from the </w:t>
      </w:r>
      <w:r>
        <w:rPr>
          <w:rFonts w:ascii="Times New Roman" w:hAnsi="Times New Roman" w:cs="Times New Roman"/>
        </w:rPr>
        <w:t xml:space="preserve">local </w:t>
      </w:r>
      <w:r w:rsidRPr="00CE38C2">
        <w:rPr>
          <w:rFonts w:ascii="Times New Roman" w:hAnsi="Times New Roman" w:cs="Times New Roman"/>
        </w:rPr>
        <w:t>neutral region</w:t>
      </w:r>
      <w:r>
        <w:rPr>
          <w:rFonts w:ascii="Times New Roman" w:hAnsi="Times New Roman" w:cs="Times New Roman"/>
        </w:rPr>
        <w:t xml:space="preserve"> (the 50kb block of sequence surrounding the haDHS)</w:t>
      </w:r>
      <w:r w:rsidRPr="00CE38C2">
        <w:rPr>
          <w:rFonts w:ascii="Times New Roman" w:hAnsi="Times New Roman" w:cs="Times New Roman"/>
        </w:rPr>
        <w:t xml:space="preserve"> </w:t>
      </w:r>
      <w:r>
        <w:rPr>
          <w:rFonts w:ascii="Times New Roman" w:hAnsi="Times New Roman" w:cs="Times New Roman"/>
        </w:rPr>
        <w:t>10</w:t>
      </w:r>
      <w:r>
        <w:rPr>
          <w:rFonts w:ascii="Times New Roman" w:hAnsi="Times New Roman" w:cs="Times New Roman"/>
          <w:vertAlign w:val="superscript"/>
        </w:rPr>
        <w:t>3</w:t>
      </w:r>
      <w:r w:rsidRPr="00CE38C2">
        <w:rPr>
          <w:rFonts w:ascii="Times New Roman" w:hAnsi="Times New Roman" w:cs="Times New Roman"/>
        </w:rPr>
        <w:t xml:space="preserve"> times, each time fitting a phylogenetic model to the alignment. haDHS with a substitution rate greater than 95% of the null distribution were determined to be evolving more rapidly than the neutral rate.</w:t>
      </w:r>
    </w:p>
    <w:p w14:paraId="1EBA116F" w14:textId="77777777" w:rsidR="00C61BDB" w:rsidRDefault="00C61BDB" w:rsidP="002B1D03">
      <w:pPr>
        <w:jc w:val="both"/>
        <w:rPr>
          <w:b/>
        </w:rPr>
      </w:pPr>
    </w:p>
    <w:p w14:paraId="17CB6D4C" w14:textId="63A399D9" w:rsidR="008D0031" w:rsidRDefault="008D0031" w:rsidP="002B1D03">
      <w:pPr>
        <w:jc w:val="both"/>
        <w:rPr>
          <w:b/>
        </w:rPr>
      </w:pPr>
      <w:r>
        <w:rPr>
          <w:b/>
        </w:rPr>
        <w:t>GC</w:t>
      </w:r>
      <w:r w:rsidR="006B57B6">
        <w:rPr>
          <w:b/>
        </w:rPr>
        <w:t>-biased gene conversion</w:t>
      </w:r>
    </w:p>
    <w:p w14:paraId="3B010469" w14:textId="12EB2435" w:rsidR="008D0031" w:rsidRDefault="006B57B6" w:rsidP="006B57B6">
      <w:pPr>
        <w:rPr>
          <w:rFonts w:ascii="Times New Roman" w:hAnsi="Times New Roman" w:cs="Times New Roman"/>
        </w:rPr>
      </w:pPr>
      <w:r w:rsidRPr="00CE38C2">
        <w:rPr>
          <w:rFonts w:ascii="Times New Roman" w:hAnsi="Times New Roman" w:cs="Times New Roman"/>
        </w:rPr>
        <w:t xml:space="preserve">We determined whether each mutation in our consDHS and haDHS </w:t>
      </w:r>
      <w:r>
        <w:rPr>
          <w:rFonts w:ascii="Times New Roman" w:hAnsi="Times New Roman" w:cs="Times New Roman"/>
        </w:rPr>
        <w:t>was</w:t>
      </w:r>
      <w:r w:rsidRPr="00CE38C2">
        <w:rPr>
          <w:rFonts w:ascii="Times New Roman" w:hAnsi="Times New Roman" w:cs="Times New Roman"/>
        </w:rPr>
        <w:t xml:space="preserve"> from weak to strong or other (strong to weak, weak to weak, or strong to strong) based on the human ancestral sequence inferred as part of the 6 primate EPO alignment. We computed an empirical null distribution to non-parametrically assess whether there was an enrichment of weak to strong mutations in haDHS. </w:t>
      </w:r>
      <w:r>
        <w:rPr>
          <w:rFonts w:ascii="Times New Roman" w:hAnsi="Times New Roman" w:cs="Times New Roman"/>
        </w:rPr>
        <w:t>To this end,</w:t>
      </w:r>
      <w:r w:rsidRPr="00CE38C2">
        <w:rPr>
          <w:rFonts w:ascii="Times New Roman" w:hAnsi="Times New Roman" w:cs="Times New Roman"/>
        </w:rPr>
        <w:t xml:space="preserve"> we randomly sampled 524 conserved (but not human accelerated) DHS </w:t>
      </w:r>
      <w:r>
        <w:rPr>
          <w:rFonts w:ascii="Times New Roman" w:hAnsi="Times New Roman" w:cs="Times New Roman"/>
        </w:rPr>
        <w:t>10</w:t>
      </w:r>
      <w:r>
        <w:rPr>
          <w:rFonts w:ascii="Times New Roman" w:hAnsi="Times New Roman" w:cs="Times New Roman"/>
          <w:vertAlign w:val="superscript"/>
        </w:rPr>
        <w:t>4</w:t>
      </w:r>
      <w:r w:rsidRPr="00CE38C2">
        <w:rPr>
          <w:rFonts w:ascii="Times New Roman" w:hAnsi="Times New Roman" w:cs="Times New Roman"/>
        </w:rPr>
        <w:t xml:space="preserve"> times and determined how often a sample contained more than the proportion of weak to strong mutations seen in the haDHS.</w:t>
      </w:r>
      <w:r>
        <w:rPr>
          <w:rFonts w:ascii="Times New Roman" w:hAnsi="Times New Roman" w:cs="Times New Roman"/>
        </w:rPr>
        <w:t xml:space="preserve"> This analysis yielded significant evidence of GC-BGC, with </w:t>
      </w:r>
      <w:r w:rsidRPr="00634736">
        <w:rPr>
          <w:rFonts w:ascii="Times New Roman" w:hAnsi="Times New Roman" w:cs="Times New Roman"/>
        </w:rPr>
        <w:t xml:space="preserve">a higher proportion of weak to strong mutations in haDHS compared to </w:t>
      </w:r>
      <w:r>
        <w:rPr>
          <w:rFonts w:ascii="Times New Roman" w:hAnsi="Times New Roman" w:cs="Times New Roman"/>
        </w:rPr>
        <w:t xml:space="preserve">the </w:t>
      </w:r>
      <w:r w:rsidRPr="00634736">
        <w:rPr>
          <w:rFonts w:ascii="Times New Roman" w:hAnsi="Times New Roman" w:cs="Times New Roman"/>
        </w:rPr>
        <w:t>conserved non-acc</w:t>
      </w:r>
      <w:r>
        <w:rPr>
          <w:rFonts w:ascii="Times New Roman" w:hAnsi="Times New Roman" w:cs="Times New Roman"/>
        </w:rPr>
        <w:t>e</w:t>
      </w:r>
      <w:r w:rsidRPr="00634736">
        <w:rPr>
          <w:rFonts w:ascii="Times New Roman" w:hAnsi="Times New Roman" w:cs="Times New Roman"/>
        </w:rPr>
        <w:t xml:space="preserve">lerated DHS </w:t>
      </w:r>
      <w:r>
        <w:rPr>
          <w:rFonts w:ascii="Times New Roman" w:hAnsi="Times New Roman" w:cs="Times New Roman"/>
        </w:rPr>
        <w:t xml:space="preserve">samples </w:t>
      </w:r>
      <w:r w:rsidRPr="00634736">
        <w:rPr>
          <w:rFonts w:ascii="Times New Roman" w:hAnsi="Times New Roman" w:cs="Times New Roman"/>
        </w:rPr>
        <w:t xml:space="preserve">(0.45 and 0.38, respectively, permutation </w:t>
      </w:r>
      <w:r w:rsidRPr="00B64DBE">
        <w:rPr>
          <w:rFonts w:ascii="Times New Roman" w:hAnsi="Times New Roman" w:cs="Times New Roman"/>
          <w:i/>
        </w:rPr>
        <w:t>P</w:t>
      </w:r>
      <w:r w:rsidRPr="00634736">
        <w:rPr>
          <w:rFonts w:ascii="Times New Roman" w:hAnsi="Times New Roman" w:cs="Times New Roman"/>
        </w:rPr>
        <w:t xml:space="preserve"> = 0.006</w:t>
      </w:r>
      <w:r w:rsidR="00AE50E8">
        <w:rPr>
          <w:rFonts w:ascii="Times New Roman" w:hAnsi="Times New Roman" w:cs="Times New Roman"/>
        </w:rPr>
        <w:t>; Supplementary Fig. 3a</w:t>
      </w:r>
      <w:r w:rsidRPr="00634736">
        <w:rPr>
          <w:rFonts w:ascii="Times New Roman" w:hAnsi="Times New Roman" w:cs="Times New Roman"/>
        </w:rPr>
        <w:t>)</w:t>
      </w:r>
      <w:r>
        <w:rPr>
          <w:rFonts w:ascii="Times New Roman" w:hAnsi="Times New Roman" w:cs="Times New Roman"/>
        </w:rPr>
        <w:t>.</w:t>
      </w:r>
      <w:r w:rsidRPr="00CE38C2">
        <w:rPr>
          <w:rFonts w:ascii="Times New Roman" w:hAnsi="Times New Roman" w:cs="Times New Roman"/>
        </w:rPr>
        <w:t xml:space="preserve"> </w:t>
      </w:r>
      <w:r w:rsidR="00C61BDB">
        <w:rPr>
          <w:rFonts w:ascii="Times New Roman" w:hAnsi="Times New Roman" w:cs="Times New Roman"/>
        </w:rPr>
        <w:t xml:space="preserve">Capra et al. (2013) recently wrote a software package, phastBias, that identifies discrete regions of </w:t>
      </w:r>
      <w:r w:rsidR="00C61BDB">
        <w:rPr>
          <w:rFonts w:ascii="Times New Roman" w:hAnsi="Times New Roman" w:cs="Times New Roman"/>
        </w:rPr>
        <w:lastRenderedPageBreak/>
        <w:t>the genome undergoing GC-biased gene conversion</w:t>
      </w:r>
      <w:r w:rsidR="00AE50E8">
        <w:rPr>
          <w:rFonts w:ascii="Times New Roman" w:hAnsi="Times New Roman" w:cs="Times New Roman"/>
        </w:rPr>
        <w:t xml:space="preserve"> </w:t>
      </w:r>
      <w:r w:rsidR="00C61BDB">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E84CACAE-1544-42D4-B4AD-2C095E463368&lt;/uuid&gt;&lt;priority&gt;0&lt;/priority&gt;&lt;publications&gt;&lt;publication&gt;&lt;volume&gt;9&lt;/volume&gt;&lt;publication_date&gt;99201308151200000000222000&lt;/publication_date&gt;&lt;number&gt;8&lt;/number&gt;&lt;doi&gt;10.1371/journal.pgen.1003684&lt;/doi&gt;&lt;startpage&gt;e1003684&lt;/startpage&gt;&lt;title&gt;A Model-Based Analysis of GC-Biased Gene Conversion in the Human and Chimpanzee Genomes&lt;/title&gt;&lt;uuid&gt;23E903FE-63C4-42A5-892F-895A8054C94D&lt;/uuid&gt;&lt;subtype&gt;400&lt;/subtype&gt;&lt;type&gt;400&lt;/type&gt;&lt;url&gt;http://dx.plos.org/10.1371/journal.pgen.1003684&lt;/url&gt;&lt;bundle&gt;&lt;publication&gt;&lt;title&gt;PLoS Genetics&lt;/title&gt;&lt;type&gt;-100&lt;/type&gt;&lt;subtype&gt;-100&lt;/subtype&gt;&lt;uuid&gt;3D21A21E-97E1-4C2E-8742-CBF77960FBEE&lt;/uuid&gt;&lt;/publication&gt;&lt;/bundle&gt;&lt;authors&gt;&lt;author&gt;&lt;firstName&gt;John&lt;/firstName&gt;&lt;middleNames&gt;A&lt;/middleNames&gt;&lt;lastName&gt;Capra&lt;/lastName&gt;&lt;/author&gt;&lt;author&gt;&lt;firstName&gt;Melissa&lt;/firstName&gt;&lt;middleNames&gt;J&lt;/middleNames&gt;&lt;lastName&gt;Hubisz&lt;/lastName&gt;&lt;/author&gt;&lt;author&gt;&lt;firstName&gt;Dennis&lt;/firstName&gt;&lt;lastName&gt;Kostka&lt;/lastName&gt;&lt;/author&gt;&lt;author&gt;&lt;firstName&gt;Katherine&lt;/firstName&gt;&lt;middleNames&gt;S&lt;/middleNames&gt;&lt;lastName&gt;Pollard&lt;/lastName&gt;&lt;/author&gt;&lt;author&gt;&lt;firstName&gt;Adam&lt;/firstName&gt;&lt;lastName&gt;Siepel&lt;/lastName&gt;&lt;/author&gt;&lt;/authors&gt;&lt;editors&gt;&lt;author&gt;&lt;firstName&gt;Graham&lt;/firstName&gt;&lt;lastName&gt;Coop&lt;/lastName&gt;&lt;/author&gt;&lt;/editors&gt;&lt;/publication&gt;&lt;/publications&gt;&lt;cites&gt;&lt;/cites&gt;&lt;/citation&gt;</w:instrText>
      </w:r>
      <w:r w:rsidR="00C61BDB">
        <w:rPr>
          <w:rFonts w:ascii="Times New Roman" w:hAnsi="Times New Roman" w:cs="Times New Roman"/>
        </w:rPr>
        <w:fldChar w:fldCharType="separate"/>
      </w:r>
      <w:r w:rsidR="00D83172">
        <w:rPr>
          <w:rFonts w:ascii="Times New Roman" w:hAnsi="Times New Roman" w:cs="Times New Roman"/>
          <w:lang w:eastAsia="ja-JP"/>
        </w:rPr>
        <w:t>(Capra et al. 2013)</w:t>
      </w:r>
      <w:r w:rsidR="00C61BDB">
        <w:rPr>
          <w:rFonts w:ascii="Times New Roman" w:hAnsi="Times New Roman" w:cs="Times New Roman"/>
        </w:rPr>
        <w:fldChar w:fldCharType="end"/>
      </w:r>
      <w:r w:rsidR="00C61BDB">
        <w:rPr>
          <w:rFonts w:ascii="Times New Roman" w:hAnsi="Times New Roman" w:cs="Times New Roman"/>
        </w:rPr>
        <w:t xml:space="preserve">. We found that 51 haDHS overlapped these regions. </w:t>
      </w:r>
      <w:r w:rsidRPr="00CE38C2">
        <w:rPr>
          <w:rFonts w:ascii="Times New Roman" w:hAnsi="Times New Roman" w:cs="Times New Roman"/>
        </w:rPr>
        <w:t>To reevaluate th</w:t>
      </w:r>
      <w:r w:rsidR="00C61BDB">
        <w:rPr>
          <w:rFonts w:ascii="Times New Roman" w:hAnsi="Times New Roman" w:cs="Times New Roman"/>
        </w:rPr>
        <w:t>e</w:t>
      </w:r>
      <w:r w:rsidRPr="00CE38C2">
        <w:rPr>
          <w:rFonts w:ascii="Times New Roman" w:hAnsi="Times New Roman" w:cs="Times New Roman"/>
        </w:rPr>
        <w:t xml:space="preserve"> </w:t>
      </w:r>
      <w:r w:rsidR="00C61BDB">
        <w:rPr>
          <w:rFonts w:ascii="Times New Roman" w:hAnsi="Times New Roman" w:cs="Times New Roman"/>
        </w:rPr>
        <w:t>effect of GC-BGC</w:t>
      </w:r>
      <w:r w:rsidRPr="00CE38C2">
        <w:rPr>
          <w:rFonts w:ascii="Times New Roman" w:hAnsi="Times New Roman" w:cs="Times New Roman"/>
        </w:rPr>
        <w:t xml:space="preserve"> after removing haDHS that overlap phastBias regions, we repeated the sampling procedure by randomly selecting 473 conserved DHS each replicate, and determined how often samples had a higher proportion of weak to strong substitutions that in the non GC-biased haDHS.</w:t>
      </w:r>
      <w:r>
        <w:rPr>
          <w:rFonts w:ascii="Times New Roman" w:hAnsi="Times New Roman" w:cs="Times New Roman"/>
        </w:rPr>
        <w:t xml:space="preserve"> </w:t>
      </w:r>
      <w:r w:rsidR="00C61BDB">
        <w:rPr>
          <w:rFonts w:ascii="Times New Roman" w:hAnsi="Times New Roman" w:cs="Times New Roman"/>
        </w:rPr>
        <w:t>We found that r</w:t>
      </w:r>
      <w:r w:rsidR="008D0031" w:rsidRPr="00634736">
        <w:rPr>
          <w:rFonts w:ascii="Times New Roman" w:hAnsi="Times New Roman" w:cs="Times New Roman"/>
        </w:rPr>
        <w:t xml:space="preserve">emoving </w:t>
      </w:r>
      <w:r w:rsidR="008D0031">
        <w:rPr>
          <w:rFonts w:ascii="Times New Roman" w:hAnsi="Times New Roman" w:cs="Times New Roman"/>
        </w:rPr>
        <w:t xml:space="preserve">the </w:t>
      </w:r>
      <w:r w:rsidR="008D0031" w:rsidRPr="00634736">
        <w:rPr>
          <w:rFonts w:ascii="Times New Roman" w:hAnsi="Times New Roman" w:cs="Times New Roman"/>
        </w:rPr>
        <w:t>51 haDHS (9.7%) that overlap regions subject to GC-BGC</w:t>
      </w:r>
      <w:r w:rsidR="008D0031">
        <w:rPr>
          <w:rFonts w:ascii="Times New Roman" w:hAnsi="Times New Roman" w:cs="Times New Roman"/>
        </w:rPr>
        <w:t xml:space="preserve"> </w:t>
      </w:r>
      <w:r w:rsidR="008D0031" w:rsidRPr="00B64DBE">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EDD6B62D-EDE4-45B0-BD83-683F4CFCB042&lt;/uuid&gt;&lt;priority&gt;0&lt;/priority&gt;&lt;publications&gt;&lt;publication&gt;&lt;volume&gt;9&lt;/volume&gt;&lt;publication_date&gt;99201308151200000000222000&lt;/publication_date&gt;&lt;number&gt;8&lt;/number&gt;&lt;doi&gt;10.1371/journal.pgen.1003684&lt;/doi&gt;&lt;startpage&gt;e1003684&lt;/startpage&gt;&lt;title&gt;A Model-Based Analysis of GC-Biased Gene Conversion in the Human and Chimpanzee Genomes&lt;/title&gt;&lt;uuid&gt;23E903FE-63C4-42A5-892F-895A8054C94D&lt;/uuid&gt;&lt;subtype&gt;400&lt;/subtype&gt;&lt;type&gt;400&lt;/type&gt;&lt;url&gt;http://dx.plos.org/10.1371/journal.pgen.1003684&lt;/url&gt;&lt;bundle&gt;&lt;publication&gt;&lt;title&gt;PLoS Genetics&lt;/title&gt;&lt;type&gt;-100&lt;/type&gt;&lt;subtype&gt;-100&lt;/subtype&gt;&lt;uuid&gt;3D21A21E-97E1-4C2E-8742-CBF77960FBEE&lt;/uuid&gt;&lt;/publication&gt;&lt;/bundle&gt;&lt;authors&gt;&lt;author&gt;&lt;firstName&gt;John&lt;/firstName&gt;&lt;middleNames&gt;A&lt;/middleNames&gt;&lt;lastName&gt;Capra&lt;/lastName&gt;&lt;/author&gt;&lt;author&gt;&lt;firstName&gt;Melissa&lt;/firstName&gt;&lt;middleNames&gt;J&lt;/middleNames&gt;&lt;lastName&gt;Hubisz&lt;/lastName&gt;&lt;/author&gt;&lt;author&gt;&lt;firstName&gt;Dennis&lt;/firstName&gt;&lt;lastName&gt;Kostka&lt;/lastName&gt;&lt;/author&gt;&lt;author&gt;&lt;firstName&gt;Katherine&lt;/firstName&gt;&lt;middleNames&gt;S&lt;/middleNames&gt;&lt;lastName&gt;Pollard&lt;/lastName&gt;&lt;/author&gt;&lt;author&gt;&lt;firstName&gt;Adam&lt;/firstName&gt;&lt;lastName&gt;Siepel&lt;/lastName&gt;&lt;/author&gt;&lt;/authors&gt;&lt;editors&gt;&lt;author&gt;&lt;firstName&gt;Graham&lt;/firstName&gt;&lt;lastName&gt;Coop&lt;/lastName&gt;&lt;/author&gt;&lt;/editors&gt;&lt;/publication&gt;&lt;/publications&gt;&lt;cites&gt;&lt;/cites&gt;&lt;/citation&gt;</w:instrText>
      </w:r>
      <w:r w:rsidR="008D0031" w:rsidRPr="00B64DBE">
        <w:rPr>
          <w:rFonts w:ascii="Times New Roman" w:hAnsi="Times New Roman" w:cs="Times New Roman"/>
        </w:rPr>
        <w:fldChar w:fldCharType="separate"/>
      </w:r>
      <w:r w:rsidR="00D83172">
        <w:rPr>
          <w:rFonts w:ascii="Times New Roman" w:hAnsi="Times New Roman" w:cs="Times New Roman"/>
          <w:lang w:eastAsia="ja-JP"/>
        </w:rPr>
        <w:t>(Capra et al. 2013)</w:t>
      </w:r>
      <w:r w:rsidR="008D0031" w:rsidRPr="00B64DBE">
        <w:rPr>
          <w:rFonts w:ascii="Times New Roman" w:hAnsi="Times New Roman" w:cs="Times New Roman"/>
        </w:rPr>
        <w:fldChar w:fldCharType="end"/>
      </w:r>
      <w:r w:rsidR="008D0031" w:rsidRPr="00634736">
        <w:rPr>
          <w:rFonts w:ascii="Times New Roman" w:hAnsi="Times New Roman" w:cs="Times New Roman"/>
        </w:rPr>
        <w:t xml:space="preserve"> </w:t>
      </w:r>
      <w:r w:rsidR="008D0031" w:rsidRPr="00B64DBE">
        <w:rPr>
          <w:rFonts w:ascii="Times New Roman" w:hAnsi="Times New Roman" w:cs="Times New Roman"/>
        </w:rPr>
        <w:t>eliminates the</w:t>
      </w:r>
      <w:r w:rsidR="008D0031">
        <w:rPr>
          <w:rFonts w:ascii="Times New Roman" w:hAnsi="Times New Roman" w:cs="Times New Roman"/>
        </w:rPr>
        <w:t xml:space="preserve"> observed</w:t>
      </w:r>
      <w:r w:rsidR="008D0031" w:rsidRPr="00B64DBE">
        <w:rPr>
          <w:rFonts w:ascii="Times New Roman" w:hAnsi="Times New Roman" w:cs="Times New Roman"/>
        </w:rPr>
        <w:t xml:space="preserve"> weak to strong bias </w:t>
      </w:r>
      <w:r w:rsidR="008D0031" w:rsidRPr="00634736">
        <w:rPr>
          <w:rFonts w:ascii="Times New Roman" w:hAnsi="Times New Roman" w:cs="Times New Roman"/>
        </w:rPr>
        <w:t xml:space="preserve">(permutation </w:t>
      </w:r>
      <w:r w:rsidR="008D0031" w:rsidRPr="00634736">
        <w:rPr>
          <w:rFonts w:ascii="Times New Roman" w:hAnsi="Times New Roman" w:cs="Times New Roman"/>
          <w:i/>
        </w:rPr>
        <w:t>P</w:t>
      </w:r>
      <w:r w:rsidR="008D0031" w:rsidRPr="00634736">
        <w:rPr>
          <w:rFonts w:ascii="Times New Roman" w:hAnsi="Times New Roman" w:cs="Times New Roman"/>
        </w:rPr>
        <w:t xml:space="preserve"> =</w:t>
      </w:r>
      <w:r w:rsidR="008D0031">
        <w:rPr>
          <w:rFonts w:ascii="Times New Roman" w:hAnsi="Times New Roman" w:cs="Times New Roman"/>
        </w:rPr>
        <w:t xml:space="preserve"> </w:t>
      </w:r>
      <w:r w:rsidR="008D0031" w:rsidRPr="00634736">
        <w:rPr>
          <w:rFonts w:ascii="Times New Roman" w:hAnsi="Times New Roman" w:cs="Times New Roman"/>
        </w:rPr>
        <w:t>0.32</w:t>
      </w:r>
      <w:r w:rsidR="00AE50E8">
        <w:rPr>
          <w:rFonts w:ascii="Times New Roman" w:hAnsi="Times New Roman" w:cs="Times New Roman"/>
        </w:rPr>
        <w:t>; Supplementary Fig. 3a</w:t>
      </w:r>
      <w:r w:rsidR="008D0031" w:rsidRPr="00634736">
        <w:rPr>
          <w:rFonts w:ascii="Times New Roman" w:hAnsi="Times New Roman" w:cs="Times New Roman"/>
        </w:rPr>
        <w:t xml:space="preserve">), indicating a small but significant effect of GC-BGC </w:t>
      </w:r>
      <w:r w:rsidR="008D0031">
        <w:rPr>
          <w:rFonts w:ascii="Times New Roman" w:hAnsi="Times New Roman" w:cs="Times New Roman"/>
        </w:rPr>
        <w:t>i</w:t>
      </w:r>
      <w:r w:rsidR="00C61BDB">
        <w:rPr>
          <w:rFonts w:ascii="Times New Roman" w:hAnsi="Times New Roman" w:cs="Times New Roman"/>
        </w:rPr>
        <w:t>n our data.</w:t>
      </w:r>
    </w:p>
    <w:p w14:paraId="00FF7595" w14:textId="77777777" w:rsidR="008D0031" w:rsidRDefault="008D0031" w:rsidP="002B1D03">
      <w:pPr>
        <w:jc w:val="both"/>
        <w:rPr>
          <w:rFonts w:ascii="Times New Roman" w:hAnsi="Times New Roman" w:cs="Times New Roman"/>
        </w:rPr>
      </w:pPr>
    </w:p>
    <w:p w14:paraId="634E81C9" w14:textId="55D5DFC0" w:rsidR="008D0031" w:rsidRDefault="008D0031" w:rsidP="002B1D03">
      <w:pPr>
        <w:jc w:val="both"/>
        <w:rPr>
          <w:rFonts w:ascii="Times New Roman" w:hAnsi="Times New Roman" w:cs="Times New Roman"/>
          <w:b/>
        </w:rPr>
      </w:pPr>
      <w:r>
        <w:rPr>
          <w:rFonts w:ascii="Times New Roman" w:hAnsi="Times New Roman" w:cs="Times New Roman"/>
          <w:b/>
        </w:rPr>
        <w:t>Human-macaque divergence</w:t>
      </w:r>
    </w:p>
    <w:p w14:paraId="3A74CE99" w14:textId="3CD39B75" w:rsidR="00EE30BC" w:rsidRPr="00EC451C" w:rsidRDefault="00C61BDB" w:rsidP="00EC451C">
      <w:pPr>
        <w:rPr>
          <w:rFonts w:ascii="Times New Roman" w:hAnsi="Times New Roman" w:cs="Times New Roman"/>
        </w:rPr>
      </w:pPr>
      <w:r>
        <w:rPr>
          <w:rFonts w:ascii="Times New Roman" w:hAnsi="Times New Roman" w:cs="Times New Roman"/>
        </w:rPr>
        <w:t xml:space="preserve">We wanted to test the hypothesis that increased </w:t>
      </w:r>
      <w:r w:rsidR="00786A3B">
        <w:rPr>
          <w:rFonts w:ascii="Times New Roman" w:hAnsi="Times New Roman" w:cs="Times New Roman"/>
        </w:rPr>
        <w:t xml:space="preserve">local </w:t>
      </w:r>
      <w:r>
        <w:rPr>
          <w:rFonts w:ascii="Times New Roman" w:hAnsi="Times New Roman" w:cs="Times New Roman"/>
        </w:rPr>
        <w:t>mutation rates could explain the rate acceleration in haDHS. To accomplish this, w</w:t>
      </w:r>
      <w:r w:rsidRPr="00CE38C2">
        <w:rPr>
          <w:rFonts w:ascii="Times New Roman" w:hAnsi="Times New Roman" w:cs="Times New Roman"/>
        </w:rPr>
        <w:t xml:space="preserve">e calculated human-macaque divergence in the surrounding 4kb </w:t>
      </w:r>
      <w:r>
        <w:rPr>
          <w:rFonts w:ascii="Times New Roman" w:hAnsi="Times New Roman" w:cs="Times New Roman"/>
        </w:rPr>
        <w:t xml:space="preserve">of sequence </w:t>
      </w:r>
      <w:r w:rsidRPr="00CE38C2">
        <w:rPr>
          <w:rFonts w:ascii="Times New Roman" w:hAnsi="Times New Roman" w:cs="Times New Roman"/>
        </w:rPr>
        <w:t xml:space="preserve">for each haDHS in order to approximate the neutral mutation rate. To do this, we obtained an alignment and used the same filtering strategy we used for the neutral regions in the LRT tests. We calculated divergence using the phyloFit program in the </w:t>
      </w:r>
      <w:r>
        <w:rPr>
          <w:rFonts w:ascii="Times New Roman" w:hAnsi="Times New Roman" w:cs="Times New Roman"/>
        </w:rPr>
        <w:t>PHAST</w:t>
      </w:r>
      <w:r w:rsidRPr="00CE38C2">
        <w:rPr>
          <w:rFonts w:ascii="Times New Roman" w:hAnsi="Times New Roman" w:cs="Times New Roman"/>
        </w:rPr>
        <w:t xml:space="preserve"> package</w:t>
      </w:r>
      <w:r w:rsidR="00786A3B">
        <w:rPr>
          <w:rFonts w:ascii="Times New Roman" w:hAnsi="Times New Roman" w:cs="Times New Roman"/>
        </w:rPr>
        <w:t xml:space="preserve"> </w:t>
      </w:r>
      <w:r w:rsidRPr="00CE38C2">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72D49CCE-37D4-4944-8463-58CE01A00ED8&lt;/uuid&gt;&lt;priority&gt;0&lt;/priority&gt;&lt;publications&gt;&lt;publication&gt;&lt;uuid&gt;B114B9AF-1583-48EF-B74D-22F74E0D3AF1&lt;/uuid&gt;&lt;volume&gt;12&lt;/volume&gt;&lt;doi&gt;10.1093/bib/bbq072&lt;/doi&gt;&lt;startpage&gt;41&lt;/startpage&gt;&lt;publication_date&gt;99201101001200000000220000&lt;/publication_date&gt;&lt;url&gt;http://bib.oxfordjournals.org/cgi/doi/10.1093/bib/bbq072&lt;/url&gt;&lt;type&gt;400&lt;/type&gt;&lt;title&gt;PHAST and RPHAST: phylogenetic analysis with space/time models.&lt;/title&gt;&lt;publisher&gt;Oxford University Press&lt;/publisher&gt;&lt;institution&gt;Department of Biological Statistics and Computational Biology, Cornell University, Ithaca, NY 14853, USA. acs4@cornell.edu&lt;/institution&gt;&lt;number&gt;1&lt;/number&gt;&lt;subtype&gt;400&lt;/subtype&gt;&lt;endpage&gt;51&lt;/endpage&gt;&lt;bundle&gt;&lt;publication&gt;&lt;title&gt;Briefings in bioinformatics&lt;/title&gt;&lt;type&gt;-100&lt;/type&gt;&lt;subtype&gt;-100&lt;/subtype&gt;&lt;uuid&gt;FC676464-13C4-4ADC-AEFC-DFFF2C08FF96&lt;/uuid&gt;&lt;/publication&gt;&lt;/bundle&gt;&lt;authors&gt;&lt;author&gt;&lt;firstName&gt;Melissa&lt;/firstName&gt;&lt;middleNames&gt;J&lt;/middleNames&gt;&lt;lastName&gt;Hubisz&lt;/lastName&gt;&lt;/author&gt;&lt;author&gt;&lt;firstName&gt;Katherine&lt;/firstName&gt;&lt;middleNames&gt;S&lt;/middleNames&gt;&lt;lastName&gt;Pollard&lt;/lastName&gt;&lt;/author&gt;&lt;author&gt;&lt;firstName&gt;Adam&lt;/firstName&gt;&lt;lastName&gt;Siepel&lt;/lastName&gt;&lt;/author&gt;&lt;/authors&gt;&lt;/publication&gt;&lt;/publications&gt;&lt;cites&gt;&lt;/cites&gt;&lt;/citation&gt;</w:instrText>
      </w:r>
      <w:r w:rsidRPr="00CE38C2">
        <w:rPr>
          <w:rFonts w:ascii="Times New Roman" w:hAnsi="Times New Roman" w:cs="Times New Roman"/>
        </w:rPr>
        <w:fldChar w:fldCharType="separate"/>
      </w:r>
      <w:r w:rsidR="00D83172">
        <w:rPr>
          <w:rFonts w:ascii="Times New Roman" w:hAnsi="Times New Roman" w:cs="Times New Roman"/>
          <w:lang w:eastAsia="ja-JP"/>
        </w:rPr>
        <w:t>(Hubisz et al. 2011)</w:t>
      </w:r>
      <w:r w:rsidRPr="00CE38C2">
        <w:rPr>
          <w:rFonts w:ascii="Times New Roman" w:hAnsi="Times New Roman" w:cs="Times New Roman"/>
        </w:rPr>
        <w:fldChar w:fldCharType="end"/>
      </w:r>
      <w:r w:rsidRPr="00CE38C2">
        <w:rPr>
          <w:rFonts w:ascii="Times New Roman" w:hAnsi="Times New Roman" w:cs="Times New Roman"/>
        </w:rPr>
        <w:t>.</w:t>
      </w:r>
      <w:r>
        <w:rPr>
          <w:rFonts w:ascii="Times New Roman" w:hAnsi="Times New Roman" w:cs="Times New Roman"/>
        </w:rPr>
        <w:t xml:space="preserve"> We </w:t>
      </w:r>
      <w:r w:rsidR="008D0031" w:rsidRPr="00634736">
        <w:rPr>
          <w:rFonts w:ascii="Times New Roman" w:hAnsi="Times New Roman" w:cs="Times New Roman"/>
        </w:rPr>
        <w:t xml:space="preserve">found that only the 51 haDHS that overlap GC-biased elements show a significant increase in human-macaque divergence relative to conserved non-accelerated DHS, indicating that </w:t>
      </w:r>
      <w:r w:rsidR="008D0031">
        <w:rPr>
          <w:rFonts w:ascii="Times New Roman" w:hAnsi="Times New Roman" w:cs="Times New Roman"/>
        </w:rPr>
        <w:t xml:space="preserve">mutation rate </w:t>
      </w:r>
      <w:r w:rsidR="008D0031" w:rsidRPr="00634736">
        <w:rPr>
          <w:rFonts w:ascii="Times New Roman" w:hAnsi="Times New Roman" w:cs="Times New Roman"/>
        </w:rPr>
        <w:t>heterogeneity is not a major factor in non GC-BGC haDHS</w:t>
      </w:r>
      <w:r w:rsidR="008D0031">
        <w:rPr>
          <w:rFonts w:ascii="Times New Roman" w:hAnsi="Times New Roman" w:cs="Times New Roman"/>
        </w:rPr>
        <w:t xml:space="preserve"> (</w:t>
      </w:r>
      <w:r w:rsidR="00AE50E8">
        <w:rPr>
          <w:rFonts w:ascii="Times New Roman" w:hAnsi="Times New Roman" w:cs="Times New Roman"/>
        </w:rPr>
        <w:t>Supplementary Fig. 3</w:t>
      </w:r>
      <w:r w:rsidR="00AC08A5">
        <w:rPr>
          <w:rFonts w:ascii="Times New Roman" w:hAnsi="Times New Roman" w:cs="Times New Roman"/>
        </w:rPr>
        <w:t>b</w:t>
      </w:r>
      <w:r w:rsidR="008D0031">
        <w:rPr>
          <w:rFonts w:ascii="Times New Roman" w:hAnsi="Times New Roman" w:cs="Times New Roman"/>
        </w:rPr>
        <w:t>)</w:t>
      </w:r>
      <w:r w:rsidR="008D0031" w:rsidRPr="00634736">
        <w:rPr>
          <w:rFonts w:ascii="Times New Roman" w:hAnsi="Times New Roman" w:cs="Times New Roman"/>
        </w:rPr>
        <w:t xml:space="preserve">. In contrast, the entire set of HAEs showed increased divergence relative to other </w:t>
      </w:r>
      <w:r w:rsidR="008D0031">
        <w:rPr>
          <w:rFonts w:ascii="Times New Roman" w:hAnsi="Times New Roman" w:cs="Times New Roman"/>
        </w:rPr>
        <w:t>highly conserved</w:t>
      </w:r>
      <w:r w:rsidR="008D0031" w:rsidRPr="00634736">
        <w:rPr>
          <w:rFonts w:ascii="Times New Roman" w:hAnsi="Times New Roman" w:cs="Times New Roman"/>
        </w:rPr>
        <w:t xml:space="preserve"> elements (</w:t>
      </w:r>
      <w:r w:rsidR="00AC08A5">
        <w:rPr>
          <w:rFonts w:ascii="Times New Roman" w:hAnsi="Times New Roman" w:cs="Times New Roman"/>
        </w:rPr>
        <w:t xml:space="preserve">Supplementary </w:t>
      </w:r>
      <w:r w:rsidR="008D0031" w:rsidRPr="00634736">
        <w:rPr>
          <w:rFonts w:ascii="Times New Roman" w:hAnsi="Times New Roman" w:cs="Times New Roman"/>
        </w:rPr>
        <w:t xml:space="preserve">Fig. </w:t>
      </w:r>
      <w:r w:rsidR="00AE50E8">
        <w:rPr>
          <w:rFonts w:ascii="Times New Roman" w:hAnsi="Times New Roman" w:cs="Times New Roman"/>
        </w:rPr>
        <w:t>3</w:t>
      </w:r>
      <w:r w:rsidR="008D0031" w:rsidRPr="00634736">
        <w:rPr>
          <w:rFonts w:ascii="Times New Roman" w:hAnsi="Times New Roman" w:cs="Times New Roman"/>
        </w:rPr>
        <w:t>b).</w:t>
      </w:r>
    </w:p>
    <w:p w14:paraId="40B33F97" w14:textId="77777777" w:rsidR="008D0031" w:rsidRPr="00CE38C2" w:rsidRDefault="008D0031" w:rsidP="008D0031">
      <w:pPr>
        <w:rPr>
          <w:rFonts w:ascii="Times New Roman" w:hAnsi="Times New Roman" w:cs="Times New Roman"/>
        </w:rPr>
      </w:pPr>
    </w:p>
    <w:p w14:paraId="379B6C4E" w14:textId="77777777" w:rsidR="008D0031" w:rsidRPr="00CE38C2" w:rsidRDefault="008D0031" w:rsidP="008D0031">
      <w:pPr>
        <w:rPr>
          <w:rFonts w:ascii="Times New Roman" w:hAnsi="Times New Roman" w:cs="Times New Roman"/>
          <w:b/>
        </w:rPr>
      </w:pPr>
      <w:r w:rsidRPr="00CE38C2">
        <w:rPr>
          <w:rFonts w:ascii="Times New Roman" w:hAnsi="Times New Roman" w:cs="Times New Roman"/>
          <w:b/>
        </w:rPr>
        <w:t>Population genetics analyses</w:t>
      </w:r>
    </w:p>
    <w:p w14:paraId="54A277F9" w14:textId="1AAD80C8" w:rsidR="008D0031" w:rsidRDefault="008D0031" w:rsidP="008D0031">
      <w:pPr>
        <w:rPr>
          <w:rFonts w:ascii="Times New Roman" w:hAnsi="Times New Roman" w:cs="Times New Roman"/>
        </w:rPr>
      </w:pPr>
      <w:r>
        <w:rPr>
          <w:rFonts w:ascii="Times New Roman" w:hAnsi="Times New Roman" w:cs="Times New Roman"/>
        </w:rPr>
        <w:t xml:space="preserve">To perform population genetic analyses on our DHS, </w:t>
      </w:r>
      <w:r w:rsidRPr="00CE38C2">
        <w:rPr>
          <w:rFonts w:ascii="Times New Roman" w:hAnsi="Times New Roman" w:cs="Times New Roman"/>
        </w:rPr>
        <w:t>we downloaded the phase1 integrated release data from the 1000 genomes projec</w:t>
      </w:r>
      <w:r w:rsidR="00D83172">
        <w:rPr>
          <w:rFonts w:ascii="Times New Roman" w:hAnsi="Times New Roman" w:cs="Times New Roman"/>
        </w:rPr>
        <w:t xml:space="preserve">t </w:t>
      </w:r>
      <w:r w:rsidR="00D83172">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10A3E5E0-D50C-4501-A32F-EE798DC749D3&lt;/uuid&gt;&lt;priority&gt;0&lt;/priority&gt;&lt;publications&gt;&lt;publication&gt;&lt;uuid&gt;B6A55948-557A-4687-ADFF-AE3BD82114A4&lt;/uuid&gt;&lt;volume&gt;491&lt;/volume&gt;&lt;accepted_date&gt;99201210011200000000222000&lt;/accepted_date&gt;&lt;doi&gt;10.1038/nature11632&lt;/doi&gt;&lt;startpage&gt;56&lt;/startpage&gt;&lt;publication_date&gt;99201211011200000000222000&lt;/publication_date&gt;&lt;url&gt;http://www.nature.com/doifinder/10.1038/nature11632&lt;/url&gt;&lt;type&gt;400&lt;/type&gt;&lt;title&gt;An integrated map of genetic variation from 1,092 human genomes.&lt;/title&gt;&lt;submission_date&gt;99201207041200000000222000&lt;/submission_date&gt;&lt;number&gt;7422&lt;/number&gt;&lt;subtype&gt;400&lt;/subtype&gt;&lt;endpage&gt;65&lt;/endpage&gt;&lt;bundle&gt;&lt;publication&gt;&lt;publisher&gt;Nature Publishing Group&lt;/publisher&gt;&lt;url&gt;http://www.nature.com/nature&lt;/url&gt;&lt;title&gt;Nature&lt;/title&gt;&lt;type&gt;-100&lt;/type&gt;&lt;subtype&gt;-100&lt;/subtype&gt;&lt;uuid&gt;8A5A6E4B-9870-46A9-9D32-F231000DC304&lt;/uuid&gt;&lt;/publication&gt;&lt;/bundle&gt;&lt;authors&gt;&lt;author&gt;&lt;lastName&gt;The 1000 Genomes Project Consortium&lt;/lastName&gt;&lt;/author&gt;&lt;/authors&gt;&lt;/publication&gt;&lt;/publications&gt;&lt;cites&gt;&lt;/cites&gt;&lt;/citation&gt;</w:instrText>
      </w:r>
      <w:r w:rsidR="00D83172">
        <w:rPr>
          <w:rFonts w:ascii="Times New Roman" w:hAnsi="Times New Roman" w:cs="Times New Roman"/>
        </w:rPr>
        <w:fldChar w:fldCharType="separate"/>
      </w:r>
      <w:r w:rsidR="00652088">
        <w:rPr>
          <w:rFonts w:ascii="Times New Roman" w:hAnsi="Times New Roman" w:cs="Times New Roman"/>
          <w:lang w:eastAsia="ja-JP"/>
        </w:rPr>
        <w:t>(The 1000 Genomes Project Consortium 2012)</w:t>
      </w:r>
      <w:r w:rsidR="00D83172">
        <w:rPr>
          <w:rFonts w:ascii="Times New Roman" w:hAnsi="Times New Roman" w:cs="Times New Roman"/>
        </w:rPr>
        <w:fldChar w:fldCharType="end"/>
      </w:r>
      <w:r w:rsidRPr="00CE38C2">
        <w:rPr>
          <w:rFonts w:ascii="Times New Roman" w:hAnsi="Times New Roman" w:cs="Times New Roman"/>
        </w:rPr>
        <w:t>. We used the ancestral and derived calls in these data to create an ancestralized human reference genome in which any polymorphic base that is derived in the reference was replaced with the ancestral base. This ancestralized reference therefore still had any fixed substitutions on the human lineage</w:t>
      </w:r>
      <w:r>
        <w:rPr>
          <w:rFonts w:ascii="Times New Roman" w:hAnsi="Times New Roman" w:cs="Times New Roman"/>
        </w:rPr>
        <w:t>, but allowed to us to identify 1000 genomes variants that occurred in ancestral CpG sites</w:t>
      </w:r>
      <w:r w:rsidRPr="00CE38C2">
        <w:rPr>
          <w:rFonts w:ascii="Times New Roman" w:hAnsi="Times New Roman" w:cs="Times New Roman"/>
        </w:rPr>
        <w:t>. We filtered any variants that occurred within CpG sites in the ancestralized reference as well as any variants called only in the high coverage exome data, so as not to bias rare variant detection in regions with different coverage, which has been shown to be an issue in previous applications of the 1000 genomes data</w:t>
      </w:r>
      <w:r>
        <w:rPr>
          <w:rFonts w:ascii="Times New Roman" w:hAnsi="Times New Roman" w:cs="Times New Roman"/>
        </w:rPr>
        <w:t xml:space="preserve"> </w:t>
      </w:r>
      <w:r>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5C357674-3F31-4D62-BBC6-A1EE7C8F8A48&lt;/uuid&gt;&lt;priority&gt;0&lt;/priority&gt;&lt;publications&gt;&lt;publication&gt;&lt;uuid&gt;8D0F08A1-9915-4BF4-B9B4-1FEB32DA6601&lt;/uuid&gt;&lt;volume&gt;340&lt;/volume&gt;&lt;doi&gt;10.1126/science.1233195&lt;/doi&gt;&lt;startpage&gt;682&lt;/startpage&gt;&lt;publication_date&gt;99201305101200000000222000&lt;/publication_date&gt;&lt;url&gt;http://www.sciencemag.org/content/340/6133/682.1.full&lt;/url&gt;&lt;type&gt;400&lt;/type&gt;&lt;title&gt;Comment on "Evidence of abundant purifying selection in humans for recently acquired regulatory functions".&lt;/title&gt;&lt;publisher&gt;American Association for the Advancement of Science&lt;/publisher&gt;&lt;location&gt;&amp;lt;html&amp;gt;&amp;lt;head&amp;gt;&amp;lt;meta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Home&amp;lt;/a&amp;gt;&amp;lt;/div&amp;gt;&amp;lt;/body&amp;gt;&amp;lt;/html&amp;gt;&lt;/location&gt;&lt;institution&gt;Genome Sciences Department, University of Washington, Seattle, WA 98195, USA. phg@uw.edu&lt;/institution&gt;&lt;number&gt;6133&lt;/number&gt;&lt;subtype&gt;400&lt;/subtype&gt;&lt;endpage&gt;682&lt;/endpage&gt;&lt;bundle&gt;&lt;publication&gt;&lt;title&gt;Science&lt;/title&gt;&lt;type&gt;-100&lt;/type&gt;&lt;subtype&gt;-100&lt;/subtype&gt;&lt;uuid&gt;3C18D1C2-7695-40B6-B6EB-003F5E7DE1AD&lt;/uuid&gt;&lt;/publication&gt;&lt;/bundle&gt;&lt;authors&gt;&lt;author&gt;&lt;firstName&gt;Phil&lt;/firstName&gt;&lt;lastName&gt;Green&lt;/lastName&gt;&lt;/author&gt;&lt;author&gt;&lt;firstName&gt;Brent&lt;/firstName&gt;&lt;lastName&gt;Ewing&lt;/lastName&gt;&lt;/author&gt;&lt;/authors&gt;&lt;/publication&gt;&lt;/publications&gt;&lt;cites&gt;&lt;/cites&gt;&lt;/citation&gt;</w:instrText>
      </w:r>
      <w:r>
        <w:rPr>
          <w:rFonts w:ascii="Times New Roman" w:hAnsi="Times New Roman" w:cs="Times New Roman"/>
        </w:rPr>
        <w:fldChar w:fldCharType="separate"/>
      </w:r>
      <w:r w:rsidR="00D83172">
        <w:rPr>
          <w:rFonts w:ascii="Times New Roman" w:hAnsi="Times New Roman" w:cs="Times New Roman"/>
          <w:lang w:eastAsia="ja-JP"/>
        </w:rPr>
        <w:t>(Green and Ewing 2013)</w:t>
      </w:r>
      <w:r>
        <w:rPr>
          <w:rFonts w:ascii="Times New Roman" w:hAnsi="Times New Roman" w:cs="Times New Roman"/>
        </w:rPr>
        <w:fldChar w:fldCharType="end"/>
      </w:r>
      <w:r>
        <w:rPr>
          <w:rFonts w:ascii="Times New Roman" w:hAnsi="Times New Roman" w:cs="Times New Roman"/>
        </w:rPr>
        <w:t>.</w:t>
      </w:r>
    </w:p>
    <w:p w14:paraId="49A7FB04" w14:textId="1D339B76" w:rsidR="008D0031" w:rsidRDefault="008D0031" w:rsidP="008D0031">
      <w:pPr>
        <w:rPr>
          <w:rFonts w:ascii="Times New Roman" w:hAnsi="Times New Roman" w:cs="Times New Roman"/>
        </w:rPr>
      </w:pPr>
      <w:r>
        <w:rPr>
          <w:rFonts w:ascii="Times New Roman" w:hAnsi="Times New Roman" w:cs="Times New Roman"/>
        </w:rPr>
        <w:tab/>
      </w:r>
      <w:r w:rsidRPr="00CE38C2">
        <w:rPr>
          <w:rFonts w:ascii="Times New Roman" w:hAnsi="Times New Roman" w:cs="Times New Roman"/>
        </w:rPr>
        <w:t xml:space="preserve">Because </w:t>
      </w:r>
      <w:r w:rsidRPr="00CE38C2">
        <w:rPr>
          <w:rFonts w:ascii="Times New Roman" w:hAnsi="Times New Roman" w:cs="Times New Roman"/>
          <w:color w:val="000000"/>
        </w:rPr>
        <w:t>α</w:t>
      </w:r>
      <w:r w:rsidRPr="00CE38C2" w:rsidDel="00E605C3">
        <w:rPr>
          <w:rFonts w:ascii="Times New Roman" w:hAnsi="Times New Roman" w:cs="Times New Roman"/>
        </w:rPr>
        <w:t xml:space="preserve"> </w:t>
      </w:r>
      <w:r w:rsidRPr="00CE38C2">
        <w:rPr>
          <w:rFonts w:ascii="Times New Roman" w:hAnsi="Times New Roman" w:cs="Times New Roman"/>
        </w:rPr>
        <w:t>can be negative due to mildly deleterious segregating sites</w:t>
      </w:r>
      <w:r>
        <w:rPr>
          <w:rFonts w:ascii="Times New Roman" w:hAnsi="Times New Roman" w:cs="Times New Roman"/>
        </w:rPr>
        <w:t xml:space="preserve"> </w:t>
      </w:r>
      <w:r>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B827DBF7-CBAD-482C-994E-26F4709140A2&lt;/uuid&gt;&lt;priority&gt;0&lt;/priority&gt;&lt;publications&gt;&lt;publication&gt;&lt;uuid&gt;F784F4FD-96F9-4504-BE41-32D80FDB7F31&lt;/uuid&gt;&lt;volume&gt;21&lt;/volume&gt;&lt;accepted_date&gt;99200606191200000000222000&lt;/accepted_date&gt;&lt;doi&gt;10.1016/j.tree.2006.06.015&lt;/doi&gt;&lt;startpage&gt;569&lt;/startpage&gt;&lt;revision_date&gt;99200605171200000000222000&lt;/revision_date&gt;&lt;publication_date&gt;99200610001200000000220000&lt;/publication_date&gt;&lt;url&gt;http://linkinghub.elsevier.com/retrieve/pii/S0169534706002035&lt;/url&gt;&lt;type&gt;400&lt;/type&gt;&lt;title&gt;The genomic rate of adaptive evolution.&lt;/title&gt;&lt;submission_date&gt;99200602081200000000222000&lt;/submission_date&gt;&lt;number&gt;10&lt;/number&gt;&lt;institution&gt;National Evolutionary Synthesis Center, Durham, NC 27705, USA. a.c.eyre-walker@sussex.ac.uk&lt;/institution&gt;&lt;subtype&gt;400&lt;/subtype&gt;&lt;endpage&gt;575&lt;/endpage&gt;&lt;bundle&gt;&lt;publication&gt;&lt;title&gt;Trends in ecology &amp;amp; evolution&lt;/title&gt;&lt;type&gt;-100&lt;/type&gt;&lt;subtype&gt;-100&lt;/subtype&gt;&lt;uuid&gt;D754C908-2840-4CB5-9B1B-2FE4A68957FF&lt;/uuid&gt;&lt;/publication&gt;&lt;/bundle&gt;&lt;authors&gt;&lt;author&gt;&lt;firstName&gt;Adam&lt;/firstName&gt;&lt;lastName&gt;Eyre-Walker&lt;/lastName&gt;&lt;/author&gt;&lt;/authors&gt;&lt;/publication&gt;&lt;/publications&gt;&lt;cites&gt;&lt;/cites&gt;&lt;/citation&gt;</w:instrText>
      </w:r>
      <w:r>
        <w:rPr>
          <w:rFonts w:ascii="Times New Roman" w:hAnsi="Times New Roman" w:cs="Times New Roman"/>
        </w:rPr>
        <w:fldChar w:fldCharType="separate"/>
      </w:r>
      <w:r w:rsidR="00D83172">
        <w:rPr>
          <w:rFonts w:ascii="Times New Roman" w:hAnsi="Times New Roman" w:cs="Times New Roman"/>
          <w:lang w:eastAsia="ja-JP"/>
        </w:rPr>
        <w:t>(Eyre-Walker 2006)</w:t>
      </w:r>
      <w:r>
        <w:rPr>
          <w:rFonts w:ascii="Times New Roman" w:hAnsi="Times New Roman" w:cs="Times New Roman"/>
        </w:rPr>
        <w:fldChar w:fldCharType="end"/>
      </w:r>
      <w:r w:rsidRPr="00CE38C2">
        <w:rPr>
          <w:rFonts w:ascii="Times New Roman" w:hAnsi="Times New Roman" w:cs="Times New Roman"/>
        </w:rPr>
        <w:t xml:space="preserve">, </w:t>
      </w:r>
      <w:r w:rsidR="00851CF5">
        <w:rPr>
          <w:rFonts w:ascii="Times New Roman" w:hAnsi="Times New Roman" w:cs="Times New Roman"/>
        </w:rPr>
        <w:t xml:space="preserve">when calculating </w:t>
      </w:r>
      <w:r w:rsidR="00851CF5" w:rsidRPr="00CE38C2">
        <w:rPr>
          <w:rFonts w:ascii="Times New Roman" w:hAnsi="Times New Roman" w:cs="Times New Roman"/>
          <w:color w:val="000000"/>
        </w:rPr>
        <w:t>α</w:t>
      </w:r>
      <w:r w:rsidR="00851CF5" w:rsidRPr="00CE38C2">
        <w:rPr>
          <w:rFonts w:ascii="Times New Roman" w:hAnsi="Times New Roman" w:cs="Times New Roman"/>
        </w:rPr>
        <w:t xml:space="preserve"> </w:t>
      </w:r>
      <w:r w:rsidRPr="00CE38C2">
        <w:rPr>
          <w:rFonts w:ascii="Times New Roman" w:hAnsi="Times New Roman" w:cs="Times New Roman"/>
        </w:rPr>
        <w:t xml:space="preserve">we filtered any 1000 genome variants below a 10% derived allele frequency in </w:t>
      </w:r>
      <w:r>
        <w:rPr>
          <w:rFonts w:ascii="Times New Roman" w:hAnsi="Times New Roman" w:cs="Times New Roman"/>
        </w:rPr>
        <w:t xml:space="preserve">all combined </w:t>
      </w:r>
      <w:r w:rsidRPr="00CE38C2">
        <w:rPr>
          <w:rFonts w:ascii="Times New Roman" w:hAnsi="Times New Roman" w:cs="Times New Roman"/>
        </w:rPr>
        <w:t>African</w:t>
      </w:r>
      <w:r>
        <w:rPr>
          <w:rFonts w:ascii="Times New Roman" w:hAnsi="Times New Roman" w:cs="Times New Roman"/>
        </w:rPr>
        <w:t xml:space="preserve"> populations</w:t>
      </w:r>
      <w:r w:rsidRPr="00CE38C2">
        <w:rPr>
          <w:rFonts w:ascii="Times New Roman" w:hAnsi="Times New Roman" w:cs="Times New Roman"/>
        </w:rPr>
        <w:t>. We filtered repeat masked sequence from all sites, and additionally filtered exons, DHS</w:t>
      </w:r>
      <w:r>
        <w:rPr>
          <w:rFonts w:ascii="Times New Roman" w:hAnsi="Times New Roman" w:cs="Times New Roman"/>
        </w:rPr>
        <w:t>,</w:t>
      </w:r>
      <w:r w:rsidRPr="00CE38C2">
        <w:rPr>
          <w:rFonts w:ascii="Times New Roman" w:hAnsi="Times New Roman" w:cs="Times New Roman"/>
        </w:rPr>
        <w:t xml:space="preserve"> and phastCons elements from the neutral class of sites.</w:t>
      </w:r>
      <w:r w:rsidR="00A15C4C">
        <w:rPr>
          <w:rFonts w:ascii="Times New Roman" w:hAnsi="Times New Roman" w:cs="Times New Roman"/>
        </w:rPr>
        <w:t xml:space="preserve"> </w:t>
      </w:r>
    </w:p>
    <w:p w14:paraId="2AB52C67" w14:textId="3FAFDB0B" w:rsidR="00A15C4C" w:rsidRDefault="00A15C4C" w:rsidP="00A15C4C">
      <w:pPr>
        <w:ind w:firstLine="720"/>
        <w:rPr>
          <w:rFonts w:ascii="Times New Roman" w:hAnsi="Times New Roman" w:cs="Times New Roman"/>
        </w:rPr>
      </w:pPr>
      <w:r w:rsidRPr="00CE38C2">
        <w:rPr>
          <w:rFonts w:ascii="Times New Roman" w:hAnsi="Times New Roman" w:cs="Times New Roman"/>
        </w:rPr>
        <w:t xml:space="preserve">To determine how our estimates of </w:t>
      </w:r>
      <w:r w:rsidRPr="00CE38C2">
        <w:rPr>
          <w:rFonts w:ascii="Times New Roman" w:hAnsi="Times New Roman" w:cs="Times New Roman"/>
          <w:color w:val="000000"/>
        </w:rPr>
        <w:t>α</w:t>
      </w:r>
      <w:r w:rsidRPr="00CE38C2" w:rsidDel="00E605C3">
        <w:rPr>
          <w:rFonts w:ascii="Times New Roman" w:hAnsi="Times New Roman" w:cs="Times New Roman"/>
        </w:rPr>
        <w:t xml:space="preserve"> </w:t>
      </w:r>
      <w:r w:rsidRPr="00CE38C2">
        <w:rPr>
          <w:rFonts w:ascii="Times New Roman" w:hAnsi="Times New Roman" w:cs="Times New Roman"/>
        </w:rPr>
        <w:t>might be affected by demographic history, we simulated 10</w:t>
      </w:r>
      <w:r w:rsidRPr="00CE38C2">
        <w:rPr>
          <w:rFonts w:ascii="Times New Roman" w:hAnsi="Times New Roman" w:cs="Times New Roman"/>
          <w:vertAlign w:val="superscript"/>
        </w:rPr>
        <w:t>4</w:t>
      </w:r>
      <w:r w:rsidRPr="00CE38C2">
        <w:rPr>
          <w:rFonts w:ascii="Times New Roman" w:hAnsi="Times New Roman" w:cs="Times New Roman"/>
        </w:rPr>
        <w:t xml:space="preserve"> haDHS and surrounding neutral regions (324 bp; the average length of all haDHS; 4000bp neutral regions) using the program ms</w:t>
      </w:r>
      <w:r>
        <w:rPr>
          <w:rFonts w:ascii="Times New Roman" w:hAnsi="Times New Roman" w:cs="Times New Roman"/>
        </w:rPr>
        <w:t xml:space="preserve"> </w:t>
      </w:r>
      <w:r w:rsidRPr="00CE38C2">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FB6E3B8E-41FC-4A44-BB42-D3CB269DAC5A&lt;/uuid&gt;&lt;priority&gt;0&lt;/priority&gt;&lt;publications&gt;&lt;publication&gt;&lt;volume&gt;18&lt;/volume&gt;&lt;publication_date&gt;99200202001200000000220000&lt;/publication_date&gt;&lt;number&gt;2&lt;/number&gt;&lt;institution&gt;Department of Ecology and Evolution, University of Chicago, 1101 E. 57th Street, Chicago, IL 60637, USA. rr-hudson@uchicago.edu&lt;/institution&gt;&lt;startpage&gt;337&lt;/startpage&gt;&lt;title&gt;Generating samples under a Wright-Fisher neutral model of genetic variation.&lt;/title&gt;&lt;uuid&gt;D852F5B8-EF1B-442A-B361-22442BA47351&lt;/uuid&gt;&lt;subtype&gt;400&lt;/subtype&gt;&lt;endpage&gt;338&lt;/endpage&gt;&lt;type&gt;400&lt;/type&gt;&lt;url&gt;http://eutils.ncbi.nlm.nih.gov/entrez/eutils/elink.fcgi?dbfrom=pubmed&amp;amp;id=11847089&amp;amp;retmode=ref&amp;amp;cmd=prlinks&lt;/url&gt;&lt;bundle&gt;&lt;publication&gt;&lt;title&gt;Bioinformatics&lt;/title&gt;&lt;type&gt;-100&lt;/type&gt;&lt;subtype&gt;-100&lt;/subtype&gt;&lt;uuid&gt;31DDEF1F-6F2F-4320-A580-0D974FBF4121&lt;/uuid&gt;&lt;/publication&gt;&lt;/bundle&gt;&lt;authors&gt;&lt;author&gt;&lt;firstName&gt;Richard&lt;/firstName&gt;&lt;middleNames&gt;R&lt;/middleNames&gt;&lt;lastName&gt;Hudson&lt;/lastName&gt;&lt;/author&gt;&lt;/authors&gt;&lt;/publication&gt;&lt;/publications&gt;&lt;cites&gt;&lt;/cites&gt;&lt;/citation&gt;</w:instrText>
      </w:r>
      <w:r w:rsidRPr="00CE38C2">
        <w:rPr>
          <w:rFonts w:ascii="Times New Roman" w:hAnsi="Times New Roman" w:cs="Times New Roman"/>
        </w:rPr>
        <w:fldChar w:fldCharType="separate"/>
      </w:r>
      <w:r w:rsidR="00D83172">
        <w:rPr>
          <w:rFonts w:ascii="Times New Roman" w:hAnsi="Times New Roman" w:cs="Times New Roman"/>
          <w:lang w:eastAsia="ja-JP"/>
        </w:rPr>
        <w:t>(Hudson 2002)</w:t>
      </w:r>
      <w:r w:rsidRPr="00CE38C2">
        <w:rPr>
          <w:rFonts w:ascii="Times New Roman" w:hAnsi="Times New Roman" w:cs="Times New Roman"/>
        </w:rPr>
        <w:fldChar w:fldCharType="end"/>
      </w:r>
      <w:r w:rsidRPr="00CE38C2">
        <w:rPr>
          <w:rFonts w:ascii="Times New Roman" w:hAnsi="Times New Roman" w:cs="Times New Roman"/>
        </w:rPr>
        <w:t xml:space="preserve"> and a demographic model used previously</w:t>
      </w:r>
      <w:r>
        <w:rPr>
          <w:rFonts w:ascii="Times New Roman" w:hAnsi="Times New Roman" w:cs="Times New Roman"/>
        </w:rPr>
        <w:t xml:space="preserve"> </w:t>
      </w:r>
      <w:r w:rsidRPr="00CE38C2">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6896B4FF-3AD3-4247-A2CA-85EBCCD9753A&lt;/uuid&gt;&lt;priority&gt;0&lt;/priority&gt;&lt;publications&gt;&lt;publication&gt;&lt;uuid&gt;A7585CDC-786F-4AAE-8E21-BA2E4978DFFD&lt;/uuid&gt;&lt;volume&gt;337&lt;/volume&gt;&lt;doi&gt;10.1126/science.1219240&lt;/doi&gt;&lt;startpage&gt;64&lt;/startpage&gt;&lt;publication_date&gt;99201207061200000000222000&lt;/publication_date&gt;&lt;url&gt;http://www.sciencemag.org/cgi/doi/10.1126/science.1219240&lt;/url&gt;&lt;type&gt;400&lt;/type&gt;&lt;title&gt;Evolution and functional impact of rare coding variation from deep sequencing of human exomes.&lt;/title&gt;&lt;publisher&gt;American Association for the Advancement of Science&lt;/publisher&gt;&lt;institution&gt;Department of Genome Sciences, University of Washington, Seattle, WA 98195, USA.&lt;/institution&gt;&lt;number&gt;6090&lt;/number&gt;&lt;subtype&gt;400&lt;/subtype&gt;&lt;endpage&gt;69&lt;/endpage&gt;&lt;bundle&gt;&lt;publication&gt;&lt;title&gt;Science&lt;/title&gt;&lt;type&gt;-100&lt;/type&gt;&lt;subtype&gt;-100&lt;/subtype&gt;&lt;uuid&gt;3C18D1C2-7695-40B6-B6EB-003F5E7DE1AD&lt;/uuid&gt;&lt;/publication&gt;&lt;/bundle&gt;&lt;authors&gt;&lt;author&gt;&lt;firstName&gt;Jacob&lt;/firstName&gt;&lt;middleNames&gt;A&lt;/middleNames&gt;&lt;lastName&gt;Tennessen&lt;/lastName&gt;&lt;/author&gt;&lt;author&gt;&lt;firstName&gt;Abigail&lt;/firstName&gt;&lt;middleNames&gt;W&lt;/middleNames&gt;&lt;lastName&gt;Bigham&lt;/lastName&gt;&lt;/author&gt;&lt;author&gt;&lt;firstName&gt;Timothy&lt;/firstName&gt;&lt;middleNames&gt;D&lt;/middleNames&gt;&lt;lastName&gt;O'Connor&lt;/lastName&gt;&lt;/author&gt;&lt;author&gt;&lt;firstName&gt;Wenqing&lt;/firstName&gt;&lt;lastName&gt;Fu&lt;/lastName&gt;&lt;/author&gt;&lt;author&gt;&lt;firstName&gt;Eimear&lt;/firstName&gt;&lt;middleNames&gt;E&lt;/middleNames&gt;&lt;lastName&gt;Kenny&lt;/lastName&gt;&lt;/author&gt;&lt;author&gt;&lt;firstName&gt;Simon&lt;/firstName&gt;&lt;lastName&gt;Gravel&lt;/lastName&gt;&lt;/author&gt;&lt;author&gt;&lt;firstName&gt;Sean&lt;/firstName&gt;&lt;lastName&gt;McGee&lt;/lastName&gt;&lt;/author&gt;&lt;author&gt;&lt;firstName&gt;Ron&lt;/firstName&gt;&lt;lastName&gt;Do&lt;/lastName&gt;&lt;/author&gt;&lt;author&gt;&lt;firstName&gt;Xiaoming&lt;/firstName&gt;&lt;lastName&gt;Liu&lt;/lastName&gt;&lt;/author&gt;&lt;author&gt;&lt;firstName&gt;Goo&lt;/firstName&gt;&lt;lastName&gt;Jun&lt;/lastName&gt;&lt;/author&gt;&lt;author&gt;&lt;firstName&gt;Hyun&lt;/firstName&gt;&lt;middleNames&gt;Min&lt;/middleNames&gt;&lt;lastName&gt;Kang&lt;/lastName&gt;&lt;/author&gt;&lt;author&gt;&lt;firstName&gt;Daniel&lt;/firstName&gt;&lt;lastName&gt;Jordan&lt;/lastName&gt;&lt;/author&gt;&lt;author&gt;&lt;firstName&gt;Suzanne&lt;/firstName&gt;&lt;middleNames&gt;M&lt;/middleNames&gt;&lt;lastName&gt;Leal&lt;/lastName&gt;&lt;/author&gt;&lt;author&gt;&lt;firstName&gt;Stacey&lt;/firstName&gt;&lt;lastName&gt;Gabriel&lt;/lastName&gt;&lt;/author&gt;&lt;author&gt;&lt;firstName&gt;Mark&lt;/firstName&gt;&lt;middleNames&gt;J&lt;/middleNames&gt;&lt;lastName&gt;Rieder&lt;/lastName&gt;&lt;/author&gt;&lt;author&gt;&lt;firstName&gt;Goncalo&lt;/firstName&gt;&lt;lastName&gt;Abecasis&lt;/lastName&gt;&lt;/author&gt;&lt;author&gt;&lt;firstName&gt;David&lt;/firstName&gt;&lt;lastName&gt;Altshuler&lt;/lastName&gt;&lt;/author&gt;&lt;author&gt;&lt;firstName&gt;Deborah&lt;/firstName&gt;&lt;middleNames&gt;A&lt;/middleNames&gt;&lt;lastName&gt;Nickerson&lt;/lastName&gt;&lt;/author&gt;&lt;author&gt;&lt;firstName&gt;Eric&lt;/firstName&gt;&lt;lastName&gt;Boerwinkle&lt;/lastName&gt;&lt;/author&gt;&lt;author&gt;&lt;firstName&gt;Shamil&lt;/firstName&gt;&lt;lastName&gt;Sunyaev&lt;/lastName&gt;&lt;/author&gt;&lt;author&gt;&lt;firstName&gt;Carlos&lt;/firstName&gt;&lt;middleNames&gt;D&lt;/middleNames&gt;&lt;lastName&gt;Bustamante&lt;/lastName&gt;&lt;/author&gt;&lt;author&gt;&lt;firstName&gt;Michael&lt;/firstName&gt;&lt;middleNames&gt;J&lt;/middleNames&gt;&lt;lastName&gt;Bamshad&lt;/lastName&gt;&lt;/author&gt;&lt;author&gt;&lt;firstName&gt;Joshua&lt;/firstName&gt;&lt;middleNames&gt;M&lt;/middleNames&gt;&lt;lastName&gt;Akey&lt;/lastName&gt;&lt;/author&gt;&lt;author&gt;&lt;lastName&gt;Broad GO&lt;/lastName&gt;&lt;/author&gt;&lt;author&gt;&lt;lastName&gt;Seattle GO&lt;/lastName&gt;&lt;/author&gt;&lt;author&gt;&lt;lastName&gt;NHLBI Exome Sequencing Project&lt;/lastName&gt;&lt;/author&gt;&lt;/authors&gt;&lt;/publication&gt;&lt;/publications&gt;&lt;cites&gt;&lt;/cites&gt;&lt;/citation&gt;</w:instrText>
      </w:r>
      <w:r w:rsidRPr="00CE38C2">
        <w:rPr>
          <w:rFonts w:ascii="Times New Roman" w:hAnsi="Times New Roman" w:cs="Times New Roman"/>
        </w:rPr>
        <w:fldChar w:fldCharType="separate"/>
      </w:r>
      <w:r w:rsidR="00D83172">
        <w:rPr>
          <w:rFonts w:ascii="Times New Roman" w:hAnsi="Times New Roman" w:cs="Times New Roman"/>
          <w:lang w:eastAsia="ja-JP"/>
        </w:rPr>
        <w:t>(Tennessen et al. 2012)</w:t>
      </w:r>
      <w:r w:rsidRPr="00CE38C2">
        <w:rPr>
          <w:rFonts w:ascii="Times New Roman" w:hAnsi="Times New Roman" w:cs="Times New Roman"/>
        </w:rPr>
        <w:fldChar w:fldCharType="end"/>
      </w:r>
      <w:r w:rsidRPr="00CE38C2">
        <w:rPr>
          <w:rFonts w:ascii="Times New Roman" w:hAnsi="Times New Roman" w:cs="Times New Roman"/>
        </w:rPr>
        <w:t>. To this we added an outgroup to model divergence from chimpanzees with the switch -ej 8.207934. We repeated these simulations with different mutation rate heterogeneity parameters, which describe how quickly the simulated haDHS evolved compared to the neutral region. Note, we did not simulate selection and thus the mutation rate parameter should affect polymorphism and divergence equally.</w:t>
      </w:r>
      <w:r w:rsidR="007101AD">
        <w:rPr>
          <w:rFonts w:ascii="Times New Roman" w:hAnsi="Times New Roman" w:cs="Times New Roman"/>
        </w:rPr>
        <w:t xml:space="preserve"> The following is the ms command line used to simulate an haDHS evolving at the neutral mutation rate (1e-08):</w:t>
      </w:r>
    </w:p>
    <w:p w14:paraId="37DCBEEB" w14:textId="77777777" w:rsidR="007101AD" w:rsidRDefault="007101AD" w:rsidP="00A15C4C">
      <w:pPr>
        <w:ind w:firstLine="720"/>
        <w:rPr>
          <w:rFonts w:ascii="Times New Roman" w:hAnsi="Times New Roman" w:cs="Times New Roman"/>
        </w:rPr>
      </w:pPr>
    </w:p>
    <w:p w14:paraId="1A570107" w14:textId="2E22EAC9" w:rsidR="007101AD" w:rsidRPr="007101AD" w:rsidRDefault="007101AD" w:rsidP="007101AD">
      <w:pPr>
        <w:rPr>
          <w:rFonts w:ascii="Times New Roman" w:hAnsi="Times New Roman" w:cs="Times New Roman"/>
        </w:rPr>
      </w:pPr>
      <w:r>
        <w:rPr>
          <w:rFonts w:ascii="Times New Roman" w:hAnsi="Times New Roman" w:cs="Times New Roman"/>
        </w:rPr>
        <w:t>ms 493 1000</w:t>
      </w:r>
      <w:r w:rsidRPr="007101AD">
        <w:rPr>
          <w:rFonts w:ascii="Times New Roman" w:hAnsi="Times New Roman" w:cs="Times New Roman"/>
        </w:rPr>
        <w:t xml:space="preserve"> -I 3 492 0 1 -t 0.0947376 -r 0.0944452 </w:t>
      </w:r>
      <w:r>
        <w:rPr>
          <w:rFonts w:ascii="Times New Roman" w:hAnsi="Times New Roman" w:cs="Times New Roman"/>
        </w:rPr>
        <w:t>324</w:t>
      </w:r>
      <w:r w:rsidRPr="007101AD">
        <w:rPr>
          <w:rFonts w:ascii="Times New Roman" w:hAnsi="Times New Roman" w:cs="Times New Roman"/>
        </w:rPr>
        <w:t xml:space="preserve"> -n 1 </w:t>
      </w:r>
      <w:r>
        <w:rPr>
          <w:rFonts w:ascii="Times New Roman" w:hAnsi="Times New Roman" w:cs="Times New Roman"/>
        </w:rPr>
        <w:t xml:space="preserve">58.002735978 -n 2 70.041039672 -eg 0 1 482.46 -eg 0 2 570.18 </w:t>
      </w:r>
      <w:r w:rsidRPr="007101AD">
        <w:rPr>
          <w:rFonts w:ascii="Times New Roman" w:hAnsi="Times New Roman" w:cs="Times New Roman"/>
        </w:rPr>
        <w:t>-em</w:t>
      </w:r>
      <w:r>
        <w:rPr>
          <w:rFonts w:ascii="Times New Roman" w:hAnsi="Times New Roman" w:cs="Times New Roman"/>
        </w:rPr>
        <w:t xml:space="preserve"> 0 1 2 0.7310 -em 0 2 1 0.7310 </w:t>
      </w:r>
      <w:r w:rsidRPr="007101AD">
        <w:rPr>
          <w:rFonts w:ascii="Times New Roman" w:hAnsi="Times New Roman" w:cs="Times New Roman"/>
        </w:rPr>
        <w:t>-eg 0.006997264</w:t>
      </w:r>
      <w:r>
        <w:rPr>
          <w:rFonts w:ascii="Times New Roman" w:hAnsi="Times New Roman" w:cs="Times New Roman"/>
        </w:rPr>
        <w:t xml:space="preserve"> 1 0 -eg 0.006997264 2 89.7668 </w:t>
      </w:r>
      <w:r w:rsidRPr="007101AD">
        <w:rPr>
          <w:rFonts w:ascii="Times New Roman" w:hAnsi="Times New Roman" w:cs="Times New Roman"/>
        </w:rPr>
        <w:t>-en 0.006997264 1 1.98002736 -en 0.031463748 2 0.14117647</w:t>
      </w:r>
      <w:r>
        <w:rPr>
          <w:rFonts w:ascii="Times New Roman" w:hAnsi="Times New Roman" w:cs="Times New Roman"/>
        </w:rPr>
        <w:t xml:space="preserve">1 -en 0.03146375 2 0.254582763 </w:t>
      </w:r>
      <w:r w:rsidRPr="007101AD">
        <w:rPr>
          <w:rFonts w:ascii="Times New Roman" w:hAnsi="Times New Roman" w:cs="Times New Roman"/>
        </w:rPr>
        <w:t>-em 0.03146375 1 2 4.386 -em 0.03146375 2 1 4.386 -em 0.0697674</w:t>
      </w:r>
      <w:r>
        <w:rPr>
          <w:rFonts w:ascii="Times New Roman" w:hAnsi="Times New Roman" w:cs="Times New Roman"/>
        </w:rPr>
        <w:t xml:space="preserve">42 1 2 0 -em 0.069767442 2 1 0 -ej 0.069767442 2 1 </w:t>
      </w:r>
      <w:r w:rsidRPr="007101AD">
        <w:rPr>
          <w:rFonts w:ascii="Times New Roman" w:hAnsi="Times New Roman" w:cs="Times New Roman"/>
        </w:rPr>
        <w:t>-en 0.069767442 1</w:t>
      </w:r>
      <w:r>
        <w:rPr>
          <w:rFonts w:ascii="Times New Roman" w:hAnsi="Times New Roman" w:cs="Times New Roman"/>
        </w:rPr>
        <w:t xml:space="preserve"> 1.98002736 -en 0.20246238 1 1 </w:t>
      </w:r>
      <w:r w:rsidRPr="007101AD">
        <w:rPr>
          <w:rFonts w:ascii="Times New Roman" w:hAnsi="Times New Roman" w:cs="Times New Roman"/>
        </w:rPr>
        <w:t>-ej 8.207934 3</w:t>
      </w:r>
      <w:r>
        <w:rPr>
          <w:rFonts w:ascii="Times New Roman" w:hAnsi="Times New Roman" w:cs="Times New Roman"/>
        </w:rPr>
        <w:t xml:space="preserve"> 1</w:t>
      </w:r>
    </w:p>
    <w:p w14:paraId="32C55A04" w14:textId="77777777" w:rsidR="007101AD" w:rsidRDefault="007101AD" w:rsidP="00A15C4C">
      <w:pPr>
        <w:ind w:firstLine="720"/>
        <w:rPr>
          <w:rFonts w:ascii="Times New Roman" w:hAnsi="Times New Roman" w:cs="Times New Roman"/>
        </w:rPr>
      </w:pPr>
    </w:p>
    <w:p w14:paraId="12AAD46B" w14:textId="306F1ECC" w:rsidR="00A15C4C" w:rsidRDefault="00A15C4C" w:rsidP="00A15C4C">
      <w:pPr>
        <w:ind w:firstLine="720"/>
        <w:rPr>
          <w:rFonts w:ascii="Times New Roman" w:hAnsi="Times New Roman" w:cs="Times New Roman"/>
        </w:rPr>
      </w:pPr>
      <w:r w:rsidRPr="00CE38C2">
        <w:rPr>
          <w:rFonts w:ascii="Times New Roman" w:hAnsi="Times New Roman" w:cs="Times New Roman"/>
        </w:rPr>
        <w:t>We calculated nucleotide diversity as</w:t>
      </w:r>
      <w:r w:rsidRPr="00CE38C2">
        <w:rPr>
          <w:rFonts w:ascii="Times New Roman" w:eastAsia="Times New Roman" w:hAnsi="Times New Roman" w:cs="Times New Roman"/>
          <w:color w:val="403838"/>
          <w:shd w:val="clear" w:color="auto" w:fill="FFFFFF"/>
        </w:rPr>
        <w:t> </w:t>
      </w:r>
      <m:oMath>
        <m:r>
          <m:rPr>
            <m:sty m:val="p"/>
          </m:rPr>
          <w:rPr>
            <w:rFonts w:ascii="Cambria Math" w:hAnsi="Cambria Math" w:cs="Times New Roman"/>
            <w:color w:val="000000"/>
          </w:rPr>
          <m:t>π=</m:t>
        </m:r>
        <m:f>
          <m:fPr>
            <m:ctrlPr>
              <w:rPr>
                <w:rFonts w:ascii="Cambria Math" w:hAnsi="Cambria Math" w:cs="Times New Roman"/>
                <w:color w:val="000000"/>
              </w:rPr>
            </m:ctrlPr>
          </m:fPr>
          <m:num>
            <m:r>
              <m:rPr>
                <m:sty m:val="p"/>
              </m:rPr>
              <w:rPr>
                <w:rFonts w:ascii="Cambria Math" w:hAnsi="Cambria Math" w:cs="Times New Roman"/>
                <w:color w:val="000000"/>
              </w:rPr>
              <m:t>n</m:t>
            </m:r>
          </m:num>
          <m:den>
            <m:r>
              <m:rPr>
                <m:sty m:val="p"/>
              </m:rPr>
              <w:rPr>
                <w:rFonts w:ascii="Cambria Math" w:hAnsi="Cambria Math" w:cs="Times New Roman"/>
                <w:color w:val="000000"/>
              </w:rPr>
              <m:t>n-1</m:t>
            </m:r>
          </m:den>
        </m:f>
        <m:d>
          <m:dPr>
            <m:ctrlPr>
              <w:rPr>
                <w:rFonts w:ascii="Cambria Math" w:hAnsi="Cambria Math" w:cs="Times New Roman"/>
                <w:i/>
                <w:color w:val="000000"/>
              </w:rPr>
            </m:ctrlPr>
          </m:dPr>
          <m:e>
            <m:nary>
              <m:naryPr>
                <m:chr m:val="∑"/>
                <m:limLoc m:val="subSup"/>
                <m:ctrlPr>
                  <w:rPr>
                    <w:rFonts w:ascii="Cambria Math" w:hAnsi="Cambria Math" w:cs="Times New Roman"/>
                    <w:i/>
                    <w:color w:val="000000"/>
                  </w:rPr>
                </m:ctrlPr>
              </m:naryPr>
              <m:sub>
                <m:r>
                  <w:rPr>
                    <w:rFonts w:ascii="Cambria Math" w:hAnsi="Cambria Math" w:cs="Times New Roman"/>
                    <w:color w:val="000000"/>
                  </w:rPr>
                  <m:t>i=1</m:t>
                </m:r>
              </m:sub>
              <m:sup>
                <m:r>
                  <w:rPr>
                    <w:rFonts w:ascii="Cambria Math" w:hAnsi="Cambria Math" w:cs="Times New Roman"/>
                    <w:color w:val="000000"/>
                  </w:rPr>
                  <m:t>S</m:t>
                </m:r>
              </m:sup>
              <m:e>
                <m:sSub>
                  <m:sSubPr>
                    <m:ctrlPr>
                      <w:rPr>
                        <w:rFonts w:ascii="Cambria Math" w:hAnsi="Cambria Math" w:cs="Times New Roman"/>
                        <w:i/>
                        <w:color w:val="000000"/>
                      </w:rPr>
                    </m:ctrlPr>
                  </m:sSubPr>
                  <m:e>
                    <m:r>
                      <w:rPr>
                        <w:rFonts w:ascii="Cambria Math" w:hAnsi="Cambria Math" w:cs="Times New Roman"/>
                        <w:color w:val="000000"/>
                      </w:rPr>
                      <m:t>2p</m:t>
                    </m:r>
                  </m:e>
                  <m:sub>
                    <m:r>
                      <w:rPr>
                        <w:rFonts w:ascii="Cambria Math" w:hAnsi="Cambria Math" w:cs="Times New Roman"/>
                        <w:color w:val="000000"/>
                      </w:rPr>
                      <m:t>i</m:t>
                    </m:r>
                  </m:sub>
                </m:sSub>
              </m:e>
            </m:nary>
            <m:d>
              <m:dPr>
                <m:ctrlPr>
                  <w:rPr>
                    <w:rFonts w:ascii="Cambria Math" w:hAnsi="Cambria Math" w:cs="Times New Roman"/>
                    <w:i/>
                    <w:color w:val="000000"/>
                  </w:rPr>
                </m:ctrlPr>
              </m:dPr>
              <m:e>
                <m:r>
                  <w:rPr>
                    <w:rFonts w:ascii="Cambria Math" w:hAnsi="Cambria Math" w:cs="Times New Roman"/>
                    <w:color w:val="000000"/>
                  </w:rPr>
                  <m:t>1-</m:t>
                </m:r>
                <m:sSub>
                  <m:sSubPr>
                    <m:ctrlPr>
                      <w:rPr>
                        <w:rFonts w:ascii="Cambria Math" w:hAnsi="Cambria Math" w:cs="Times New Roman"/>
                        <w:i/>
                        <w:color w:val="000000"/>
                      </w:rPr>
                    </m:ctrlPr>
                  </m:sSubPr>
                  <m:e>
                    <m:r>
                      <w:rPr>
                        <w:rFonts w:ascii="Cambria Math" w:hAnsi="Cambria Math" w:cs="Times New Roman"/>
                        <w:color w:val="000000"/>
                      </w:rPr>
                      <m:t>p</m:t>
                    </m:r>
                  </m:e>
                  <m:sub>
                    <m:r>
                      <w:rPr>
                        <w:rFonts w:ascii="Cambria Math" w:hAnsi="Cambria Math" w:cs="Times New Roman"/>
                        <w:color w:val="000000"/>
                      </w:rPr>
                      <m:t>i</m:t>
                    </m:r>
                  </m:sub>
                </m:sSub>
              </m:e>
            </m:d>
          </m:e>
        </m:d>
      </m:oMath>
      <w:r w:rsidRPr="00CE38C2">
        <w:rPr>
          <w:rFonts w:ascii="Times New Roman" w:eastAsia="Times New Roman" w:hAnsi="Times New Roman" w:cs="Times New Roman"/>
          <w:color w:val="000000"/>
        </w:rPr>
        <w:t xml:space="preserve">, where n is the number of chromosomes and </w:t>
      </w:r>
      <m:oMath>
        <m:sSub>
          <m:sSubPr>
            <m:ctrlPr>
              <w:rPr>
                <w:rFonts w:ascii="Cambria Math" w:hAnsi="Cambria Math" w:cs="Times New Roman"/>
                <w:i/>
                <w:color w:val="000000"/>
              </w:rPr>
            </m:ctrlPr>
          </m:sSubPr>
          <m:e>
            <m:r>
              <w:rPr>
                <w:rFonts w:ascii="Cambria Math" w:hAnsi="Cambria Math" w:cs="Times New Roman"/>
                <w:color w:val="000000"/>
              </w:rPr>
              <m:t>p</m:t>
            </m:r>
          </m:e>
          <m:sub>
            <m:r>
              <w:rPr>
                <w:rFonts w:ascii="Cambria Math" w:hAnsi="Cambria Math" w:cs="Times New Roman"/>
                <w:color w:val="000000"/>
              </w:rPr>
              <m:t>i</m:t>
            </m:r>
          </m:sub>
        </m:sSub>
      </m:oMath>
      <w:r w:rsidRPr="00CE38C2">
        <w:rPr>
          <w:rFonts w:ascii="Times New Roman" w:eastAsia="Times New Roman" w:hAnsi="Times New Roman" w:cs="Times New Roman"/>
          <w:color w:val="000000"/>
        </w:rPr>
        <w:t xml:space="preserve"> is the frequency of the major allele for th </w:t>
      </w:r>
      <w:r w:rsidRPr="00CE38C2">
        <w:rPr>
          <w:rFonts w:ascii="Times New Roman" w:eastAsia="Times New Roman" w:hAnsi="Times New Roman" w:cs="Times New Roman"/>
          <w:i/>
          <w:color w:val="000000"/>
        </w:rPr>
        <w:t>i</w:t>
      </w:r>
      <w:r w:rsidRPr="00CE38C2">
        <w:rPr>
          <w:rFonts w:ascii="Times New Roman" w:eastAsia="Times New Roman" w:hAnsi="Times New Roman" w:cs="Times New Roman"/>
          <w:color w:val="000000"/>
        </w:rPr>
        <w:t xml:space="preserve">th segregating site, </w:t>
      </w:r>
      <w:r w:rsidRPr="00CE38C2">
        <w:rPr>
          <w:rFonts w:ascii="Times New Roman" w:eastAsia="Times New Roman" w:hAnsi="Times New Roman" w:cs="Times New Roman"/>
          <w:i/>
          <w:color w:val="000000"/>
        </w:rPr>
        <w:t xml:space="preserve">S, </w:t>
      </w:r>
      <w:r w:rsidRPr="00CE38C2">
        <w:rPr>
          <w:rFonts w:ascii="Times New Roman" w:eastAsia="Times New Roman" w:hAnsi="Times New Roman" w:cs="Times New Roman"/>
          <w:color w:val="000000"/>
        </w:rPr>
        <w:t>a</w:t>
      </w:r>
      <w:r w:rsidRPr="00CE38C2">
        <w:rPr>
          <w:rFonts w:ascii="Times New Roman" w:hAnsi="Times New Roman" w:cs="Times New Roman"/>
        </w:rPr>
        <w:t xml:space="preserve">nd divided by the number of bases considered in each DHS. For comparison we calculated </w:t>
      </w:r>
      <w:r w:rsidRPr="00CE38C2">
        <w:rPr>
          <w:rFonts w:ascii="Times New Roman" w:hAnsi="Times New Roman" w:cs="Times New Roman"/>
          <w:color w:val="000000"/>
        </w:rPr>
        <w:t xml:space="preserve">π </w:t>
      </w:r>
      <w:r w:rsidRPr="00CE38C2">
        <w:rPr>
          <w:rFonts w:ascii="Times New Roman" w:hAnsi="Times New Roman" w:cs="Times New Roman"/>
        </w:rPr>
        <w:t xml:space="preserve">in four fold degenerate sites that </w:t>
      </w:r>
      <w:r w:rsidRPr="00CE38C2">
        <w:rPr>
          <w:rFonts w:ascii="Times New Roman" w:eastAsia="Times New Roman" w:hAnsi="Times New Roman" w:cs="Times New Roman"/>
          <w:color w:val="403838"/>
          <w:shd w:val="clear" w:color="auto" w:fill="FFFFFF"/>
        </w:rPr>
        <w:t xml:space="preserve">we defined using NCBI-called reading frames </w:t>
      </w:r>
      <w:r w:rsidRPr="00CE38C2">
        <w:rPr>
          <w:rFonts w:ascii="Times New Roman" w:hAnsi="Times New Roman" w:cs="Times New Roman"/>
        </w:rPr>
        <w:t xml:space="preserve">with single base phyloP scores less than zero. We also calculated </w:t>
      </w:r>
      <w:r w:rsidRPr="00CE38C2">
        <w:rPr>
          <w:rFonts w:ascii="Times New Roman" w:hAnsi="Times New Roman" w:cs="Times New Roman"/>
          <w:color w:val="000000"/>
        </w:rPr>
        <w:t xml:space="preserve">π </w:t>
      </w:r>
      <w:r w:rsidRPr="00CE38C2">
        <w:rPr>
          <w:rFonts w:ascii="Times New Roman" w:hAnsi="Times New Roman" w:cs="Times New Roman"/>
        </w:rPr>
        <w:t>in the set of previously described HAEs and phastCons elements. Coverage at each variant was obtained from ftp://ftp.1000genomes.ebi.ac.uk/vol1/ftp/release/20110521/supporting/ ALL.wgs.project_consensus_vqsr2b.20101123.snps.low_coverage.sites.vcf.gz. We used PhyloP scores that we previously calculated without the human lineage</w:t>
      </w:r>
      <w:r w:rsidRPr="00CE38C2">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&lt;citation&gt;&lt;uuid&gt;BF344019-0EA2-4399-B4B8-DB1A42647FFF&lt;/uuid&gt;&lt;priority&gt;0&lt;/priority&gt;&lt;publications&gt;&lt;publication&gt;&lt;title&gt;Characteristics of neutral and deleterious protein-coding variation among individuals and populations&lt;/title&gt;&lt;type&gt;400&lt;/type&gt;&lt;subtype&gt;400&lt;/subtype&gt;&lt;uuid&gt;F2DAD135-CD9D-496B-9FB9-F0E5B8BE21DC&lt;/uuid&gt;&lt;bundle&gt;&lt;publication&gt;&lt;title&gt;American journal of human genetics&lt;/title&gt;&lt;type&gt;-100&lt;/type&gt;&lt;subtype&gt;-100&lt;/subtype&gt;&lt;uuid&gt;1CBF0967-1AD3-4BA5-8C43-C2DB22C866F7&lt;/uuid&gt;&lt;/publication&gt;&lt;/bundle&gt;&lt;authors&gt;&lt;author&gt;&lt;firstName&gt;Weinqing&lt;/firstName&gt;&lt;lastName&gt;Fu&lt;/lastName&gt;&lt;/author&gt;&lt;author&gt;&lt;firstName&gt;Rachel&lt;/firstName&gt;&lt;middleNames&gt;M&lt;/middleNames&gt;&lt;lastName&gt;Gittelman&lt;/lastName&gt;&lt;/author&gt;&lt;author&gt;&lt;firstName&gt;Michael&lt;/firstName&gt;&lt;middleNames&gt;J&lt;/middleNames&gt;&lt;lastName&gt;Bamshad&lt;/lastName&gt;&lt;/author&gt;&lt;author&gt;&lt;firstName&gt;Josh&lt;/firstName&gt;&lt;middleNames&gt;M&lt;/middleNames&gt;&lt;lastName&gt;Akey&lt;/lastName&gt;&lt;/author&gt;&lt;/authors&gt;&lt;/publication&gt;&lt;/publications&gt;&lt;cites&gt;&lt;/cites&gt;&lt;/citation&gt;</w:instrText>
      </w:r>
      <w:r w:rsidRPr="00CE38C2">
        <w:rPr>
          <w:rFonts w:ascii="Times New Roman" w:hAnsi="Times New Roman" w:cs="Times New Roman"/>
        </w:rPr>
        <w:fldChar w:fldCharType="separate"/>
      </w:r>
      <w:r w:rsidR="00D83172">
        <w:rPr>
          <w:rFonts w:ascii="Times New Roman" w:hAnsi="Times New Roman" w:cs="Times New Roman"/>
          <w:lang w:eastAsia="ja-JP"/>
        </w:rPr>
        <w:t>(Fu et al.)</w:t>
      </w:r>
      <w:r w:rsidRPr="00CE38C2">
        <w:rPr>
          <w:rFonts w:ascii="Times New Roman" w:hAnsi="Times New Roman" w:cs="Times New Roman"/>
        </w:rPr>
        <w:fldChar w:fldCharType="end"/>
      </w:r>
      <w:r w:rsidRPr="00CE38C2">
        <w:rPr>
          <w:rFonts w:ascii="Times New Roman" w:hAnsi="Times New Roman" w:cs="Times New Roman"/>
        </w:rPr>
        <w:t xml:space="preserve">. We normalized all estimates of </w:t>
      </w:r>
      <w:r w:rsidRPr="00CE38C2">
        <w:rPr>
          <w:rFonts w:ascii="Times New Roman" w:hAnsi="Times New Roman" w:cs="Times New Roman"/>
          <w:color w:val="000000"/>
        </w:rPr>
        <w:t xml:space="preserve">π </w:t>
      </w:r>
      <w:r w:rsidRPr="00CE38C2">
        <w:rPr>
          <w:rFonts w:ascii="Times New Roman" w:hAnsi="Times New Roman" w:cs="Times New Roman"/>
        </w:rPr>
        <w:t xml:space="preserve">by the human-macaque divergence estimated previously (see section “human-macaque divergence”), since we have shown that divergence varies substantially across loci, and will thus significantly effect estimates of </w:t>
      </w:r>
      <w:r w:rsidRPr="00CE38C2">
        <w:rPr>
          <w:rFonts w:ascii="Times New Roman" w:hAnsi="Times New Roman" w:cs="Times New Roman"/>
          <w:color w:val="000000"/>
        </w:rPr>
        <w:t>π</w:t>
      </w:r>
      <w:r w:rsidRPr="00CE38C2">
        <w:rPr>
          <w:rFonts w:ascii="Times New Roman" w:hAnsi="Times New Roman" w:cs="Times New Roman"/>
        </w:rPr>
        <w:t>. We calculated nucleotide diversity separately for each population, as well as in aggregate with all populations combined.</w:t>
      </w:r>
    </w:p>
    <w:p w14:paraId="544BAB74" w14:textId="77777777" w:rsidR="005A732A" w:rsidRDefault="005A732A" w:rsidP="00A15C4C">
      <w:pPr>
        <w:ind w:firstLine="720"/>
        <w:rPr>
          <w:rFonts w:ascii="Times New Roman" w:hAnsi="Times New Roman" w:cs="Times New Roman"/>
        </w:rPr>
      </w:pPr>
    </w:p>
    <w:p w14:paraId="75FD6611" w14:textId="7A2FE901" w:rsidR="005A732A" w:rsidRDefault="005A732A" w:rsidP="005A732A">
      <w:pPr>
        <w:rPr>
          <w:rFonts w:ascii="Times New Roman" w:hAnsi="Times New Roman" w:cs="Times New Roman"/>
          <w:b/>
        </w:rPr>
      </w:pPr>
      <w:r w:rsidRPr="005A732A">
        <w:rPr>
          <w:rFonts w:ascii="Times New Roman" w:hAnsi="Times New Roman" w:cs="Times New Roman"/>
          <w:b/>
        </w:rPr>
        <w:t>Luciferase assays</w:t>
      </w:r>
    </w:p>
    <w:p w14:paraId="3DFAE727" w14:textId="232E7A5B" w:rsidR="00E676C9" w:rsidRPr="00CE38C2" w:rsidRDefault="00E676C9" w:rsidP="00E676C9">
      <w:pPr>
        <w:rPr>
          <w:rFonts w:ascii="Times New Roman" w:hAnsi="Times New Roman" w:cs="Times New Roman"/>
        </w:rPr>
      </w:pPr>
      <w:r w:rsidRPr="00CE38C2">
        <w:rPr>
          <w:rFonts w:ascii="Times New Roman" w:hAnsi="Times New Roman" w:cs="Times New Roman"/>
        </w:rPr>
        <w:t>We obtained Human DNA from Novagen and chimpanzee DNA from Coriell (S003487), and amplified both human and chimpanzee alleles for each haDHS using the following PCR reaction: 200uM dNTPs, 10uM forward primer, 10uM reverse primer, 3% DMSO, 20ng DNA, 1u/50uL phusion polymerase (NEB) and 1x phusion buffer with an annealing temperature of 63 degrees Celsius. Primers were designed using BatchPrimer3 v1.0</w:t>
      </w:r>
      <w:r>
        <w:rPr>
          <w:rFonts w:ascii="Times New Roman" w:hAnsi="Times New Roman" w:cs="Times New Roman"/>
        </w:rPr>
        <w:t xml:space="preserve"> </w:t>
      </w:r>
      <w:r w:rsidRPr="00CE38C2">
        <w:rPr>
          <w:rFonts w:ascii="Times New Roman" w:hAnsi="Times New Roman" w:cs="Times New Roman"/>
        </w:rPr>
        <w:fldChar w:fldCharType="begin"/>
      </w:r>
      <w:r w:rsidR="00652088">
        <w:rPr>
          <w:rFonts w:ascii="Times New Roman" w:hAnsi="Times New Roman" w:cs="Times New Roman"/>
        </w:rPr>
        <w:instrText xml:space="preserve"> ADDIN PAPERS2_CITATIONS &lt;citation&gt;&lt;uuid&gt;BDA05733-117B-49C3-9FB6-68C4CF344BE7&lt;/uuid&gt;&lt;priority&gt;0&lt;/priority&gt;&lt;publications&gt;&lt;publication&gt;&lt;uuid&gt;F2606568-CA01-420D-85AE-9FFCF1412CD5&lt;/uuid&gt;&lt;volume&gt;9&lt;/volume&gt;&lt;accepted_date&gt;99200805291200000000222000&lt;/accepted_date&gt;&lt;doi&gt;10.1186/1471-2105-9-253&lt;/doi&gt;&lt;startpage&gt;253&lt;/startpage&gt;&lt;publication_date&gt;99200800001200000000200000&lt;/publication_date&gt;&lt;url&gt;http://www.biomedcentral.com/1471-2105/9/253&lt;/url&gt;&lt;type&gt;400&lt;/type&gt;&lt;title&gt;BatchPrimer3: a high throughput web application for PCR and sequencing primer design.&lt;/title&gt;&lt;submission_date&gt;99200710261200000000222000&lt;/submission_date&gt;&lt;number&gt;1&lt;/number&gt;&lt;institution&gt;Department of Plant Sciences, University of California, CA 95616, USA. frank.you@ars.usda.gov&lt;/institution&gt;&lt;subtype&gt;400&lt;/subtype&gt;&lt;bundle&gt;&lt;publication&gt;&lt;title&gt;BMC bioinformatics&lt;/title&gt;&lt;type&gt;-100&lt;/type&gt;&lt;subtype&gt;-100&lt;/subtype&gt;&lt;uuid&gt;25A4615F-6AD1-4BD1-B4B7-AE49F0683ED8&lt;/uuid&gt;&lt;/publication&gt;&lt;/bundle&gt;&lt;authors&gt;&lt;author&gt;&lt;firstName&gt;Frank&lt;/firstName&gt;&lt;middleNames&gt;M&lt;/middleNames&gt;&lt;lastName&gt;You&lt;/lastName&gt;&lt;/author&gt;&lt;author&gt;&lt;firstName&gt;Naxin&lt;/firstName&gt;&lt;lastName&gt;Huo&lt;/lastName&gt;&lt;/author&gt;&lt;author&gt;&lt;firstName&gt;Yong&lt;/firstName&gt;&lt;middleNames&gt;Qiang&lt;/middleNames&gt;&lt;lastName&gt;Gu&lt;/lastName&gt;&lt;/author&gt;&lt;author&gt;&lt;firstName&gt;Ming-Cheng&lt;/firstName&gt;&lt;lastName&gt;Luo&lt;/lastName&gt;&lt;/author&gt;&lt;author&gt;&lt;firstName&gt;Yaqin&lt;/firstName&gt;&lt;lastName&gt;Ma&lt;/lastName&gt;&lt;/author&gt;&lt;author&gt;&lt;firstName&gt;Dave&lt;/firstName&gt;&lt;lastName&gt;Hane&lt;/lastName&gt;&lt;/author&gt;&lt;author&gt;&lt;firstName&gt;Gerard&lt;/firstName&gt;&lt;middleNames&gt;R&lt;/middleNames&gt;&lt;lastName&gt;Lazo&lt;/lastName&gt;&lt;/author&gt;&lt;author&gt;&lt;firstName&gt;Jan&lt;/firstName&gt;&lt;lastName&gt;Dvorak&lt;/lastName&gt;&lt;/author&gt;&lt;author&gt;&lt;firstName&gt;Olin&lt;/firstName&gt;&lt;middleNames&gt;D&lt;/middleNames&gt;&lt;lastName&gt;Anderson&lt;/lastName&gt;&lt;/author&gt;&lt;/authors&gt;&lt;/publication&gt;&lt;/publications&gt;&lt;cites&gt;&lt;/cites&gt;&lt;/citation&gt;</w:instrText>
      </w:r>
      <w:r w:rsidRPr="00CE38C2">
        <w:rPr>
          <w:rFonts w:ascii="Times New Roman" w:hAnsi="Times New Roman" w:cs="Times New Roman"/>
        </w:rPr>
        <w:fldChar w:fldCharType="separate"/>
      </w:r>
      <w:r w:rsidR="00D83172">
        <w:rPr>
          <w:rFonts w:ascii="Times New Roman" w:hAnsi="Times New Roman" w:cs="Times New Roman"/>
          <w:lang w:eastAsia="ja-JP"/>
        </w:rPr>
        <w:t>(You et al. 2008)</w:t>
      </w:r>
      <w:r w:rsidRPr="00CE38C2">
        <w:rPr>
          <w:rFonts w:ascii="Times New Roman" w:hAnsi="Times New Roman" w:cs="Times New Roman"/>
        </w:rPr>
        <w:fldChar w:fldCharType="end"/>
      </w:r>
      <w:r w:rsidRPr="00CE38C2">
        <w:rPr>
          <w:rFonts w:ascii="Times New Roman" w:hAnsi="Times New Roman" w:cs="Times New Roman"/>
        </w:rPr>
        <w:t xml:space="preserve"> (Supplementary </w:t>
      </w:r>
      <w:r>
        <w:rPr>
          <w:rFonts w:ascii="Times New Roman" w:hAnsi="Times New Roman" w:cs="Times New Roman"/>
        </w:rPr>
        <w:t>T</w:t>
      </w:r>
      <w:r w:rsidRPr="00CE38C2">
        <w:rPr>
          <w:rFonts w:ascii="Times New Roman" w:hAnsi="Times New Roman" w:cs="Times New Roman"/>
        </w:rPr>
        <w:t xml:space="preserve">able </w:t>
      </w:r>
      <w:r>
        <w:rPr>
          <w:rFonts w:ascii="Times New Roman" w:hAnsi="Times New Roman" w:cs="Times New Roman"/>
        </w:rPr>
        <w:t>7</w:t>
      </w:r>
      <w:r w:rsidRPr="00CE38C2">
        <w:rPr>
          <w:rFonts w:ascii="Times New Roman" w:hAnsi="Times New Roman" w:cs="Times New Roman"/>
        </w:rPr>
        <w:t xml:space="preserve">) and then run through In-Silico PCR downloaded from the UCSC Genome Browser to ensure they would produce one unique amplicon. PCR fragments were cloned into a pGL3-promoter (Promega) backbone with minimal promoter using the In-Fusion HD Cloning Kit from Clontech and transformed into Stellar competent cells provided with the kit. We obtained this pGL3-promoter backbone from Bing Wren’s lab, which was modified to include an EcoRV restriction site downstream of the luciferase gene for cloning. </w:t>
      </w:r>
    </w:p>
    <w:p w14:paraId="1B0AD1F0" w14:textId="5D8295F6" w:rsidR="005A732A" w:rsidRDefault="00E676C9" w:rsidP="00E676C9">
      <w:pPr>
        <w:rPr>
          <w:rFonts w:ascii="Times New Roman" w:hAnsi="Times New Roman" w:cs="Times New Roman"/>
        </w:rPr>
      </w:pPr>
      <w:r w:rsidRPr="00CE38C2">
        <w:rPr>
          <w:rFonts w:ascii="Times New Roman" w:hAnsi="Times New Roman" w:cs="Times New Roman"/>
        </w:rPr>
        <w:tab/>
        <w:t xml:space="preserve">SKNMC and IMR90 cells were grown in EMEM with 10% FBS and Penicillin-Streptomycin. Cells were grown in T175 flasks with media changes every two days until 80-85% confluency. Cells were counted and replated onto 96-well plates at 30,000 cells per well (SKNMC) or 6500 cells per well (IMR90) and allowed to settle for 24 hours. Luciferase assays were performed following the Dual-Luciferase Reporter Assay System protocol (Promega). Cells were transfected with 500ng firefly luciferase plasmid with reporter construct, and 10ng plasmid with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luciferase. After 24 hours cells were lysed and luciferase activity was measured using a Perkin Elmer VICTOR 3 V 1420 Multi-label counter with injector. Raw firefly luciferase values were normalized by dividing by the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luciferase values for each well.</w:t>
      </w:r>
    </w:p>
    <w:p w14:paraId="76126BBB" w14:textId="2A21C39D" w:rsidR="00E676C9" w:rsidRDefault="00E676C9" w:rsidP="00E676C9">
      <w:pPr>
        <w:rPr>
          <w:rFonts w:ascii="Times New Roman" w:hAnsi="Times New Roman" w:cs="Times New Roman"/>
          <w:b/>
        </w:rPr>
      </w:pPr>
      <w:r>
        <w:rPr>
          <w:rFonts w:ascii="Times New Roman" w:hAnsi="Times New Roman" w:cs="Times New Roman"/>
        </w:rPr>
        <w:tab/>
        <w:t>A close inspection of</w:t>
      </w:r>
      <w:r w:rsidRPr="00CE38C2">
        <w:rPr>
          <w:rFonts w:ascii="Times New Roman" w:hAnsi="Times New Roman" w:cs="Times New Roman"/>
        </w:rPr>
        <w:t xml:space="preserve"> the IMR90 data </w:t>
      </w:r>
      <w:r>
        <w:rPr>
          <w:rFonts w:ascii="Times New Roman" w:hAnsi="Times New Roman" w:cs="Times New Roman"/>
        </w:rPr>
        <w:t>revealed a</w:t>
      </w:r>
      <w:r w:rsidRPr="00CE38C2">
        <w:rPr>
          <w:rFonts w:ascii="Times New Roman" w:hAnsi="Times New Roman" w:cs="Times New Roman"/>
        </w:rPr>
        <w:t xml:space="preserve"> relationship between the raw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luciferase value and the firefly/</w:t>
      </w:r>
      <w:r w:rsidRPr="00320003">
        <w:rPr>
          <w:rFonts w:ascii="Times New Roman" w:hAnsi="Times New Roman" w:cs="Times New Roman"/>
          <w:i/>
        </w:rPr>
        <w:t xml:space="preserve">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ratio (Supplementary Fig. </w:t>
      </w:r>
      <w:r w:rsidR="00AE50E8">
        <w:rPr>
          <w:rFonts w:ascii="Times New Roman" w:hAnsi="Times New Roman" w:cs="Times New Roman"/>
        </w:rPr>
        <w:t>8</w:t>
      </w:r>
      <w:r w:rsidRPr="00CE38C2">
        <w:rPr>
          <w:rFonts w:ascii="Times New Roman" w:hAnsi="Times New Roman" w:cs="Times New Roman"/>
        </w:rPr>
        <w:t xml:space="preserve">). As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expression approaches zero, and the reading approaches that of an empty well without any transfected plasmid, the ratio of firefly to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will approach one, which will lead to false positives. We therefore filtered any replicates in the IMR90 data in which the </w:t>
      </w:r>
      <w:r>
        <w:rPr>
          <w:rFonts w:ascii="Times New Roman" w:hAnsi="Times New Roman" w:cs="Times New Roman"/>
          <w:i/>
        </w:rPr>
        <w:t>R</w:t>
      </w:r>
      <w:r w:rsidRPr="001E280E">
        <w:rPr>
          <w:rFonts w:ascii="Times New Roman" w:hAnsi="Times New Roman" w:cs="Times New Roman"/>
          <w:i/>
        </w:rPr>
        <w:t>enilla</w:t>
      </w:r>
      <w:r w:rsidRPr="00CE38C2">
        <w:rPr>
          <w:rFonts w:ascii="Times New Roman" w:hAnsi="Times New Roman" w:cs="Times New Roman"/>
        </w:rPr>
        <w:t xml:space="preserve"> reading was less than 2500 relative light units. Any haDHS with less than two replicates, or any plates in which the negative control had less than two remaining replicates were filtered.</w:t>
      </w:r>
    </w:p>
    <w:p w14:paraId="0924A05C" w14:textId="77777777" w:rsidR="005A732A" w:rsidRPr="005A732A" w:rsidRDefault="005A732A" w:rsidP="005A732A">
      <w:pPr>
        <w:rPr>
          <w:rFonts w:ascii="Times New Roman" w:eastAsia="Times New Roman" w:hAnsi="Times New Roman" w:cs="Times New Roman"/>
          <w:b/>
          <w:color w:val="000000"/>
        </w:rPr>
      </w:pPr>
    </w:p>
    <w:p w14:paraId="377CDC2C" w14:textId="77777777" w:rsidR="006D633F" w:rsidRDefault="006D633F" w:rsidP="002B1D03">
      <w:pPr>
        <w:jc w:val="both"/>
        <w:rPr>
          <w:b/>
        </w:rPr>
      </w:pPr>
    </w:p>
    <w:p w14:paraId="4C174EFD" w14:textId="77777777" w:rsidR="006D633F" w:rsidRDefault="006D633F" w:rsidP="002B1D03">
      <w:pPr>
        <w:jc w:val="both"/>
        <w:rPr>
          <w:b/>
        </w:rPr>
      </w:pPr>
    </w:p>
    <w:p w14:paraId="7465FDEA" w14:textId="70F5F29F" w:rsidR="002B1D03" w:rsidRDefault="00C07F5E" w:rsidP="002B1D03">
      <w:pPr>
        <w:jc w:val="both"/>
        <w:rPr>
          <w:b/>
        </w:rPr>
      </w:pPr>
      <w:r>
        <w:rPr>
          <w:b/>
        </w:rPr>
        <w:t>Supplementary Tables</w:t>
      </w:r>
      <w:r w:rsidR="002B1D03">
        <w:rPr>
          <w:b/>
        </w:rPr>
        <w:t xml:space="preserve"> Text</w:t>
      </w:r>
    </w:p>
    <w:p w14:paraId="6AB33BE5" w14:textId="77777777" w:rsidR="00432133" w:rsidRDefault="00432133" w:rsidP="002B1D03">
      <w:pPr>
        <w:jc w:val="both"/>
        <w:rPr>
          <w:b/>
        </w:rPr>
      </w:pPr>
    </w:p>
    <w:p w14:paraId="11DC50B5" w14:textId="77777777" w:rsidR="002B1D03" w:rsidRDefault="002B1D03" w:rsidP="002B1D03">
      <w:pPr>
        <w:jc w:val="both"/>
        <w:rPr>
          <w:b/>
        </w:rPr>
      </w:pPr>
      <w:r>
        <w:rPr>
          <w:b/>
        </w:rPr>
        <w:t>Tables</w:t>
      </w:r>
    </w:p>
    <w:p w14:paraId="4C10F3F0" w14:textId="77777777" w:rsidR="002B1D03" w:rsidRDefault="002B1D03" w:rsidP="002B1D03">
      <w:pPr>
        <w:jc w:val="both"/>
        <w:rPr>
          <w:b/>
        </w:rPr>
      </w:pPr>
    </w:p>
    <w:p w14:paraId="416B2344" w14:textId="77777777" w:rsidR="002B1D03" w:rsidRDefault="002B1D03" w:rsidP="002B1D03">
      <w:pPr>
        <w:jc w:val="both"/>
      </w:pPr>
      <w:r>
        <w:rPr>
          <w:b/>
        </w:rPr>
        <w:t>Table 1: Cell types used</w:t>
      </w:r>
      <w:r>
        <w:t>. This table contains information about all of the cell types used in the DHS data.</w:t>
      </w:r>
    </w:p>
    <w:p w14:paraId="4634C2D1" w14:textId="77777777" w:rsidR="002B1D03" w:rsidRDefault="002B1D03" w:rsidP="002B1D03">
      <w:pPr>
        <w:jc w:val="both"/>
      </w:pPr>
    </w:p>
    <w:p w14:paraId="7122A0F7" w14:textId="77777777" w:rsidR="002B1D03" w:rsidRDefault="002B1D03" w:rsidP="002B1D03">
      <w:pPr>
        <w:jc w:val="both"/>
      </w:pPr>
      <w:r>
        <w:rPr>
          <w:b/>
        </w:rPr>
        <w:t xml:space="preserve">Table 2: haDHS. </w:t>
      </w:r>
      <w:r>
        <w:t>This table contains information about all of the haDHS identified in this study.</w:t>
      </w:r>
    </w:p>
    <w:p w14:paraId="1C9797D7" w14:textId="77777777" w:rsidR="00F559EC" w:rsidRDefault="00F559EC" w:rsidP="002B1D03">
      <w:pPr>
        <w:jc w:val="both"/>
      </w:pPr>
    </w:p>
    <w:p w14:paraId="7EA8D8DC" w14:textId="6990CA8D" w:rsidR="00F559EC" w:rsidRPr="00F559EC" w:rsidRDefault="006D0DAF" w:rsidP="002B1D03">
      <w:pPr>
        <w:jc w:val="both"/>
      </w:pPr>
      <w:r>
        <w:rPr>
          <w:b/>
        </w:rPr>
        <w:t>Table 3</w:t>
      </w:r>
      <w:r w:rsidR="00F559EC">
        <w:rPr>
          <w:b/>
        </w:rPr>
        <w:t>: Transgenic mouse assay results</w:t>
      </w:r>
      <w:r w:rsidR="00F559EC">
        <w:t>. Results for all 18 transgenic mouse assays, including published and novel.</w:t>
      </w:r>
      <w:r w:rsidR="005E0E93">
        <w:t xml:space="preserve"> The results column contains the sequence ID in the vista enhancer browser, and the numbers in parentheses indicate how many embryos were positive for staining at that particular region. </w:t>
      </w:r>
    </w:p>
    <w:p w14:paraId="1AD94B32" w14:textId="77777777" w:rsidR="002B1D03" w:rsidRDefault="002B1D03" w:rsidP="002B1D03">
      <w:pPr>
        <w:jc w:val="both"/>
      </w:pPr>
    </w:p>
    <w:p w14:paraId="681D1923" w14:textId="59F55042" w:rsidR="006D0DAF" w:rsidRDefault="006D0DAF" w:rsidP="002B1D03">
      <w:pPr>
        <w:jc w:val="both"/>
      </w:pPr>
      <w:r>
        <w:rPr>
          <w:b/>
        </w:rPr>
        <w:t xml:space="preserve">Table 4: Luciferase data. </w:t>
      </w:r>
      <w:r>
        <w:t>This table contains expression values for all of the replicates from the luciferase experiments, as well as computed p values for each experiment</w:t>
      </w:r>
    </w:p>
    <w:p w14:paraId="7A45F035" w14:textId="77777777" w:rsidR="006D0DAF" w:rsidRDefault="006D0DAF" w:rsidP="002B1D03">
      <w:pPr>
        <w:jc w:val="both"/>
        <w:rPr>
          <w:b/>
        </w:rPr>
      </w:pPr>
    </w:p>
    <w:p w14:paraId="4D5B0C8A" w14:textId="58AE7A08" w:rsidR="006D0DAF" w:rsidRPr="00F559EC" w:rsidRDefault="006D0DAF" w:rsidP="006D0DAF">
      <w:pPr>
        <w:jc w:val="both"/>
      </w:pPr>
      <w:r>
        <w:rPr>
          <w:b/>
        </w:rPr>
        <w:t xml:space="preserve">Table 5: GO Results. </w:t>
      </w:r>
      <w:r>
        <w:t>All GO results from the WebGestault server for both conserved DHS and haDHS target genes.</w:t>
      </w:r>
    </w:p>
    <w:p w14:paraId="41A40B87" w14:textId="77777777" w:rsidR="006D0DAF" w:rsidRDefault="006D0DAF" w:rsidP="002B1D03">
      <w:pPr>
        <w:jc w:val="both"/>
        <w:rPr>
          <w:b/>
        </w:rPr>
      </w:pPr>
    </w:p>
    <w:p w14:paraId="709AA918" w14:textId="7008D7CE" w:rsidR="006D0DAF" w:rsidRPr="006D0DAF" w:rsidRDefault="006D0DAF" w:rsidP="002B1D03">
      <w:pPr>
        <w:jc w:val="both"/>
      </w:pPr>
      <w:r>
        <w:rPr>
          <w:b/>
        </w:rPr>
        <w:t xml:space="preserve">Table 6: Second set of haDHS. </w:t>
      </w:r>
      <w:r>
        <w:t>This set of haDHS</w:t>
      </w:r>
      <w:r w:rsidRPr="004C668B">
        <w:t xml:space="preserve"> was derived only from DHS that are proximal to enhancer histone modifications from the same cell type.</w:t>
      </w:r>
    </w:p>
    <w:p w14:paraId="7855ED22" w14:textId="77777777" w:rsidR="006D0DAF" w:rsidRDefault="006D0DAF" w:rsidP="002B1D03">
      <w:pPr>
        <w:jc w:val="both"/>
        <w:rPr>
          <w:b/>
        </w:rPr>
      </w:pPr>
    </w:p>
    <w:p w14:paraId="1D267BE2" w14:textId="4EDD4A19" w:rsidR="002B1D03" w:rsidRPr="00D41E92" w:rsidRDefault="00F559EC" w:rsidP="002B1D03">
      <w:pPr>
        <w:jc w:val="both"/>
      </w:pPr>
      <w:r>
        <w:rPr>
          <w:b/>
        </w:rPr>
        <w:t>Table 7</w:t>
      </w:r>
      <w:r w:rsidR="002B1D03">
        <w:rPr>
          <w:b/>
        </w:rPr>
        <w:t xml:space="preserve">: Primers. </w:t>
      </w:r>
      <w:r w:rsidR="002B1D03">
        <w:t>This table contains primers for each haDHS tested in the luciferase assays.</w:t>
      </w:r>
    </w:p>
    <w:p w14:paraId="65D08D37" w14:textId="77777777" w:rsidR="002B1D03" w:rsidRDefault="002B1D03" w:rsidP="002B1D03">
      <w:pPr>
        <w:jc w:val="both"/>
      </w:pPr>
    </w:p>
    <w:p w14:paraId="7ED73FD9" w14:textId="77777777" w:rsidR="007E03D0" w:rsidRDefault="007E03D0" w:rsidP="002B1D03">
      <w:pPr>
        <w:jc w:val="both"/>
        <w:rPr>
          <w:b/>
        </w:rPr>
      </w:pPr>
    </w:p>
    <w:p w14:paraId="06DC2975" w14:textId="5C9BDDF4" w:rsidR="00AE50E8" w:rsidRDefault="00AE50E8">
      <w:r>
        <w:br w:type="page"/>
      </w:r>
    </w:p>
    <w:p w14:paraId="629EAF35" w14:textId="61A1F5F8" w:rsidR="00AE50E8" w:rsidRDefault="00C07F5E" w:rsidP="002B1D03">
      <w:pPr>
        <w:jc w:val="both"/>
      </w:pPr>
      <w:r>
        <w:t>References</w:t>
      </w:r>
      <w:bookmarkStart w:id="0" w:name="_GoBack"/>
      <w:bookmarkEnd w:id="0"/>
    </w:p>
    <w:p w14:paraId="197CBE6C" w14:textId="77777777" w:rsidR="00C07F5E" w:rsidRDefault="00C07F5E" w:rsidP="002B1D03">
      <w:pPr>
        <w:jc w:val="both"/>
      </w:pPr>
    </w:p>
    <w:p w14:paraId="51A78A66" w14:textId="77777777" w:rsidR="00652088" w:rsidRDefault="00AE50E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fldChar w:fldCharType="begin"/>
      </w:r>
      <w:r>
        <w:instrText xml:space="preserve"> ADDIN PAPERS2_CITATIONS &lt;papers2_bibliography/&gt;</w:instrText>
      </w:r>
      <w:r>
        <w:fldChar w:fldCharType="separate"/>
      </w:r>
      <w:r w:rsidR="00652088">
        <w:rPr>
          <w:rFonts w:ascii="Cambria" w:hAnsi="Cambria" w:cs="Cambria"/>
          <w:lang w:eastAsia="ja-JP"/>
        </w:rPr>
        <w:t xml:space="preserve">Capra JA, Hubisz MJ, Kostka D, Pollard KS, Siepel A. 2013. A Model-Based Analysis of GC-Biased Gene Conversion in the Human and Chimpanzee Genomes ed. G. Coop. </w:t>
      </w:r>
      <w:r w:rsidR="00652088">
        <w:rPr>
          <w:rFonts w:ascii="Cambria" w:hAnsi="Cambria" w:cs="Cambria"/>
          <w:i/>
          <w:iCs/>
          <w:lang w:eastAsia="ja-JP"/>
        </w:rPr>
        <w:t>PLoS Genet</w:t>
      </w:r>
      <w:r w:rsidR="00652088">
        <w:rPr>
          <w:rFonts w:ascii="Cambria" w:hAnsi="Cambria" w:cs="Cambria"/>
          <w:lang w:eastAsia="ja-JP"/>
        </w:rPr>
        <w:t xml:space="preserve"> </w:t>
      </w:r>
      <w:r w:rsidR="00652088">
        <w:rPr>
          <w:rFonts w:ascii="Cambria" w:hAnsi="Cambria" w:cs="Cambria"/>
          <w:b/>
          <w:bCs/>
          <w:lang w:eastAsia="ja-JP"/>
        </w:rPr>
        <w:t>9</w:t>
      </w:r>
      <w:r w:rsidR="00652088">
        <w:rPr>
          <w:rFonts w:ascii="Cambria" w:hAnsi="Cambria" w:cs="Cambria"/>
          <w:lang w:eastAsia="ja-JP"/>
        </w:rPr>
        <w:t>: e1003684.</w:t>
      </w:r>
    </w:p>
    <w:p w14:paraId="23755455"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Eyre-Walker A. 2006. The genomic rate of adaptive evolution. </w:t>
      </w:r>
      <w:r>
        <w:rPr>
          <w:rFonts w:ascii="Cambria" w:hAnsi="Cambria" w:cs="Cambria"/>
          <w:i/>
          <w:iCs/>
          <w:lang w:eastAsia="ja-JP"/>
        </w:rPr>
        <w:t>Trends Ecol Evol (Amst)</w:t>
      </w:r>
      <w:r>
        <w:rPr>
          <w:rFonts w:ascii="Cambria" w:hAnsi="Cambria" w:cs="Cambria"/>
          <w:lang w:eastAsia="ja-JP"/>
        </w:rPr>
        <w:t xml:space="preserve"> </w:t>
      </w:r>
      <w:r>
        <w:rPr>
          <w:rFonts w:ascii="Cambria" w:hAnsi="Cambria" w:cs="Cambria"/>
          <w:b/>
          <w:bCs/>
          <w:lang w:eastAsia="ja-JP"/>
        </w:rPr>
        <w:t>21</w:t>
      </w:r>
      <w:r>
        <w:rPr>
          <w:rFonts w:ascii="Cambria" w:hAnsi="Cambria" w:cs="Cambria"/>
          <w:lang w:eastAsia="ja-JP"/>
        </w:rPr>
        <w:t>: 569–575.</w:t>
      </w:r>
    </w:p>
    <w:p w14:paraId="6730FC38"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Fu W, Gittelman RM, Bamshad MJ, Akey JM. Characteristics of neutral and deleterious protein-coding variation among individuals and populations. </w:t>
      </w:r>
      <w:r>
        <w:rPr>
          <w:rFonts w:ascii="Cambria" w:hAnsi="Cambria" w:cs="Cambria"/>
          <w:i/>
          <w:iCs/>
          <w:lang w:eastAsia="ja-JP"/>
        </w:rPr>
        <w:t>American journal of human genetics</w:t>
      </w:r>
      <w:r>
        <w:rPr>
          <w:rFonts w:ascii="Cambria" w:hAnsi="Cambria" w:cs="Cambria"/>
          <w:lang w:eastAsia="ja-JP"/>
        </w:rPr>
        <w:t>.</w:t>
      </w:r>
    </w:p>
    <w:p w14:paraId="5D48EB26"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Green P, Ewing B. 2013. Comment on "Evidence of abundant purifying selection in humans for recently acquired regulatory functions". </w:t>
      </w:r>
      <w:r>
        <w:rPr>
          <w:rFonts w:ascii="Cambria" w:hAnsi="Cambria" w:cs="Cambria"/>
          <w:i/>
          <w:iCs/>
          <w:lang w:eastAsia="ja-JP"/>
        </w:rPr>
        <w:t>Science</w:t>
      </w:r>
      <w:r>
        <w:rPr>
          <w:rFonts w:ascii="Cambria" w:hAnsi="Cambria" w:cs="Cambria"/>
          <w:lang w:eastAsia="ja-JP"/>
        </w:rPr>
        <w:t xml:space="preserve"> </w:t>
      </w:r>
      <w:r>
        <w:rPr>
          <w:rFonts w:ascii="Cambria" w:hAnsi="Cambria" w:cs="Cambria"/>
          <w:b/>
          <w:bCs/>
          <w:lang w:eastAsia="ja-JP"/>
        </w:rPr>
        <w:t>340</w:t>
      </w:r>
      <w:r>
        <w:rPr>
          <w:rFonts w:ascii="Cambria" w:hAnsi="Cambria" w:cs="Cambria"/>
          <w:lang w:eastAsia="ja-JP"/>
        </w:rPr>
        <w:t>: 682–682.</w:t>
      </w:r>
    </w:p>
    <w:p w14:paraId="517205D8"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Hubisz MJ, Pollard KS, Siepel A. 2011. PHAST and RPHAST: phylogenetic analysis with space/time models. </w:t>
      </w:r>
      <w:r>
        <w:rPr>
          <w:rFonts w:ascii="Cambria" w:hAnsi="Cambria" w:cs="Cambria"/>
          <w:i/>
          <w:iCs/>
          <w:lang w:eastAsia="ja-JP"/>
        </w:rPr>
        <w:t>Brief Bioinformatics</w:t>
      </w:r>
      <w:r>
        <w:rPr>
          <w:rFonts w:ascii="Cambria" w:hAnsi="Cambria" w:cs="Cambria"/>
          <w:lang w:eastAsia="ja-JP"/>
        </w:rPr>
        <w:t xml:space="preserve"> </w:t>
      </w:r>
      <w:r>
        <w:rPr>
          <w:rFonts w:ascii="Cambria" w:hAnsi="Cambria" w:cs="Cambria"/>
          <w:b/>
          <w:bCs/>
          <w:lang w:eastAsia="ja-JP"/>
        </w:rPr>
        <w:t>12</w:t>
      </w:r>
      <w:r>
        <w:rPr>
          <w:rFonts w:ascii="Cambria" w:hAnsi="Cambria" w:cs="Cambria"/>
          <w:lang w:eastAsia="ja-JP"/>
        </w:rPr>
        <w:t>: 41–51.</w:t>
      </w:r>
    </w:p>
    <w:p w14:paraId="1E56FEAC"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Hudson RR. 2002. Generating samples under a Wright-Fisher neutral model of genetic variation. </w:t>
      </w:r>
      <w:r>
        <w:rPr>
          <w:rFonts w:ascii="Cambria" w:hAnsi="Cambria" w:cs="Cambria"/>
          <w:i/>
          <w:iCs/>
          <w:lang w:eastAsia="ja-JP"/>
        </w:rPr>
        <w:t>Bioinformatics</w:t>
      </w:r>
      <w:r>
        <w:rPr>
          <w:rFonts w:ascii="Cambria" w:hAnsi="Cambria" w:cs="Cambria"/>
          <w:lang w:eastAsia="ja-JP"/>
        </w:rPr>
        <w:t xml:space="preserve"> </w:t>
      </w:r>
      <w:r>
        <w:rPr>
          <w:rFonts w:ascii="Cambria" w:hAnsi="Cambria" w:cs="Cambria"/>
          <w:b/>
          <w:bCs/>
          <w:lang w:eastAsia="ja-JP"/>
        </w:rPr>
        <w:t>18</w:t>
      </w:r>
      <w:r>
        <w:rPr>
          <w:rFonts w:ascii="Cambria" w:hAnsi="Cambria" w:cs="Cambria"/>
          <w:lang w:eastAsia="ja-JP"/>
        </w:rPr>
        <w:t>: 337–338.</w:t>
      </w:r>
    </w:p>
    <w:p w14:paraId="0A74BFBD"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Tennessen JA, Bigham AW, O'Connor TD, Fu W, Kenny EE, Gravel S, McGee S, Do R, Liu X, Jun G, et al. 2012. Evolution and functional impact of rare coding variation from deep sequencing of human exomes. </w:t>
      </w:r>
      <w:r>
        <w:rPr>
          <w:rFonts w:ascii="Cambria" w:hAnsi="Cambria" w:cs="Cambria"/>
          <w:i/>
          <w:iCs/>
          <w:lang w:eastAsia="ja-JP"/>
        </w:rPr>
        <w:t>Science</w:t>
      </w:r>
      <w:r>
        <w:rPr>
          <w:rFonts w:ascii="Cambria" w:hAnsi="Cambria" w:cs="Cambria"/>
          <w:lang w:eastAsia="ja-JP"/>
        </w:rPr>
        <w:t xml:space="preserve"> </w:t>
      </w:r>
      <w:r>
        <w:rPr>
          <w:rFonts w:ascii="Cambria" w:hAnsi="Cambria" w:cs="Cambria"/>
          <w:b/>
          <w:bCs/>
          <w:lang w:eastAsia="ja-JP"/>
        </w:rPr>
        <w:t>337</w:t>
      </w:r>
      <w:r>
        <w:rPr>
          <w:rFonts w:ascii="Cambria" w:hAnsi="Cambria" w:cs="Cambria"/>
          <w:lang w:eastAsia="ja-JP"/>
        </w:rPr>
        <w:t>: 64–69.</w:t>
      </w:r>
    </w:p>
    <w:p w14:paraId="3BEC726D"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The 1000 Genomes Project Consortium. 2012. An integrated map of genetic variation from 1,092 human genomes. </w:t>
      </w:r>
      <w:r>
        <w:rPr>
          <w:rFonts w:ascii="Cambria" w:hAnsi="Cambria" w:cs="Cambria"/>
          <w:i/>
          <w:iCs/>
          <w:lang w:eastAsia="ja-JP"/>
        </w:rPr>
        <w:t>Nature</w:t>
      </w:r>
      <w:r>
        <w:rPr>
          <w:rFonts w:ascii="Cambria" w:hAnsi="Cambria" w:cs="Cambria"/>
          <w:lang w:eastAsia="ja-JP"/>
        </w:rPr>
        <w:t xml:space="preserve"> </w:t>
      </w:r>
      <w:r>
        <w:rPr>
          <w:rFonts w:ascii="Cambria" w:hAnsi="Cambria" w:cs="Cambria"/>
          <w:b/>
          <w:bCs/>
          <w:lang w:eastAsia="ja-JP"/>
        </w:rPr>
        <w:t>491</w:t>
      </w:r>
      <w:r>
        <w:rPr>
          <w:rFonts w:ascii="Cambria" w:hAnsi="Cambria" w:cs="Cambria"/>
          <w:lang w:eastAsia="ja-JP"/>
        </w:rPr>
        <w:t>: 56–65.</w:t>
      </w:r>
    </w:p>
    <w:p w14:paraId="78EEA559" w14:textId="77777777" w:rsidR="00652088" w:rsidRDefault="0065208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eastAsia="ja-JP"/>
        </w:rPr>
      </w:pPr>
      <w:r>
        <w:rPr>
          <w:rFonts w:ascii="Cambria" w:hAnsi="Cambria" w:cs="Cambria"/>
          <w:lang w:eastAsia="ja-JP"/>
        </w:rPr>
        <w:t xml:space="preserve">You FM, Huo N, Gu YQ, Luo M-C, Ma Y, Hane D, Lazo GR, Dvorak J, Anderson OD. 2008. BatchPrimer3: a high throughput web application for PCR and sequencing primer design. </w:t>
      </w:r>
      <w:r>
        <w:rPr>
          <w:rFonts w:ascii="Cambria" w:hAnsi="Cambria" w:cs="Cambria"/>
          <w:i/>
          <w:iCs/>
          <w:lang w:eastAsia="ja-JP"/>
        </w:rPr>
        <w:t>BMC Bioinformatics</w:t>
      </w:r>
      <w:r>
        <w:rPr>
          <w:rFonts w:ascii="Cambria" w:hAnsi="Cambria" w:cs="Cambria"/>
          <w:lang w:eastAsia="ja-JP"/>
        </w:rPr>
        <w:t xml:space="preserve"> </w:t>
      </w:r>
      <w:r>
        <w:rPr>
          <w:rFonts w:ascii="Cambria" w:hAnsi="Cambria" w:cs="Cambria"/>
          <w:b/>
          <w:bCs/>
          <w:lang w:eastAsia="ja-JP"/>
        </w:rPr>
        <w:t>9</w:t>
      </w:r>
      <w:r>
        <w:rPr>
          <w:rFonts w:ascii="Cambria" w:hAnsi="Cambria" w:cs="Cambria"/>
          <w:lang w:eastAsia="ja-JP"/>
        </w:rPr>
        <w:t>: 253.</w:t>
      </w:r>
    </w:p>
    <w:p w14:paraId="235C2415" w14:textId="39E52A2D" w:rsidR="006F3701" w:rsidRPr="00C2094A" w:rsidRDefault="00AE50E8" w:rsidP="00652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pPr>
      <w:r>
        <w:fldChar w:fldCharType="end"/>
      </w:r>
    </w:p>
    <w:sectPr w:rsidR="006F3701" w:rsidRPr="00C2094A" w:rsidSect="00B862C3">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03"/>
    <w:rsid w:val="00012C7D"/>
    <w:rsid w:val="00013D9B"/>
    <w:rsid w:val="000817AD"/>
    <w:rsid w:val="001045FE"/>
    <w:rsid w:val="0017754B"/>
    <w:rsid w:val="00195CA5"/>
    <w:rsid w:val="00266DC9"/>
    <w:rsid w:val="002B1D03"/>
    <w:rsid w:val="003C18AD"/>
    <w:rsid w:val="00432133"/>
    <w:rsid w:val="005023AB"/>
    <w:rsid w:val="005403CF"/>
    <w:rsid w:val="0055207F"/>
    <w:rsid w:val="00596C5A"/>
    <w:rsid w:val="005A4199"/>
    <w:rsid w:val="005A732A"/>
    <w:rsid w:val="005E0E93"/>
    <w:rsid w:val="00631933"/>
    <w:rsid w:val="00652088"/>
    <w:rsid w:val="00655CBC"/>
    <w:rsid w:val="006A4E24"/>
    <w:rsid w:val="006B2AE8"/>
    <w:rsid w:val="006B57B6"/>
    <w:rsid w:val="006D0DAF"/>
    <w:rsid w:val="006D633F"/>
    <w:rsid w:val="006F3701"/>
    <w:rsid w:val="007101AD"/>
    <w:rsid w:val="00786A3B"/>
    <w:rsid w:val="007B0269"/>
    <w:rsid w:val="007C27A8"/>
    <w:rsid w:val="007E03D0"/>
    <w:rsid w:val="00851CF5"/>
    <w:rsid w:val="00892115"/>
    <w:rsid w:val="008D0031"/>
    <w:rsid w:val="00950C1E"/>
    <w:rsid w:val="00960EE9"/>
    <w:rsid w:val="00961E91"/>
    <w:rsid w:val="009C71D9"/>
    <w:rsid w:val="009E0991"/>
    <w:rsid w:val="00A15C4C"/>
    <w:rsid w:val="00AC08A5"/>
    <w:rsid w:val="00AE50E8"/>
    <w:rsid w:val="00AF0749"/>
    <w:rsid w:val="00B14E18"/>
    <w:rsid w:val="00B23FED"/>
    <w:rsid w:val="00B7631A"/>
    <w:rsid w:val="00B862C3"/>
    <w:rsid w:val="00C07F5E"/>
    <w:rsid w:val="00C2094A"/>
    <w:rsid w:val="00C4720E"/>
    <w:rsid w:val="00C61BDB"/>
    <w:rsid w:val="00C97305"/>
    <w:rsid w:val="00C97AC9"/>
    <w:rsid w:val="00D83172"/>
    <w:rsid w:val="00D94086"/>
    <w:rsid w:val="00DC7729"/>
    <w:rsid w:val="00DE1223"/>
    <w:rsid w:val="00E478F1"/>
    <w:rsid w:val="00E676C9"/>
    <w:rsid w:val="00E93C4C"/>
    <w:rsid w:val="00EB3D98"/>
    <w:rsid w:val="00EB7D37"/>
    <w:rsid w:val="00EC451C"/>
    <w:rsid w:val="00EE30BC"/>
    <w:rsid w:val="00EF4E8B"/>
    <w:rsid w:val="00F559EC"/>
    <w:rsid w:val="00FA2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51D29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03"/>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7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7AD"/>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03"/>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7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7AD"/>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4371</Words>
  <Characters>24918</Characters>
  <Application>Microsoft Macintosh Word</Application>
  <DocSecurity>0</DocSecurity>
  <Lines>207</Lines>
  <Paragraphs>58</Paragraphs>
  <ScaleCrop>false</ScaleCrop>
  <Company/>
  <LinksUpToDate>false</LinksUpToDate>
  <CharactersWithSpaces>29231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Genome Sciences User</dc:creator>
  <cp:keywords/>
  <dc:description/>
  <cp:lastModifiedBy>Genome Sciences User</cp:lastModifiedBy>
  <cp:revision>36</cp:revision>
  <dcterms:created xsi:type="dcterms:W3CDTF">2015-01-22T22:07:00Z</dcterms:created>
  <dcterms:modified xsi:type="dcterms:W3CDTF">2015-06-10T20:06:00Z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id="http://www.zotero.org/styles/genome-research"/&gt;&lt;hasBiblio/&gt;&lt;format class="21"/&gt;&lt;count citations="10" publications="9"/&gt;&lt;/info&gt;PAPERS2_INFO_END</vt:lpwstr>
  </property>
</Properties>
</file>