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AB9CDB" w14:textId="77777777" w:rsidR="00117D00" w:rsidRDefault="00503B4F" w:rsidP="00117D00">
      <w:pPr>
        <w:jc w:val="both"/>
        <w:rPr>
          <w:b/>
        </w:rPr>
      </w:pPr>
      <w:r>
        <w:rPr>
          <w:b/>
        </w:rPr>
        <w:t xml:space="preserve">Supplementary </w:t>
      </w:r>
      <w:r w:rsidR="00680E80">
        <w:rPr>
          <w:b/>
        </w:rPr>
        <w:t>Figures</w:t>
      </w:r>
    </w:p>
    <w:p w14:paraId="6EAD4C9B" w14:textId="77777777" w:rsidR="00117D00" w:rsidRDefault="00680E80" w:rsidP="00680E80">
      <w:pPr>
        <w:ind w:left="-1530" w:right="-1620"/>
        <w:jc w:val="both"/>
      </w:pPr>
      <w:r>
        <w:rPr>
          <w:b/>
          <w:noProof/>
        </w:rPr>
        <w:lastRenderedPageBreak/>
        <w:drawing>
          <wp:anchor distT="0" distB="0" distL="114300" distR="114300" simplePos="0" relativeHeight="251658240" behindDoc="0" locked="0" layoutInCell="1" allowOverlap="1" wp14:anchorId="7B73A76E" wp14:editId="1EEB0E97">
            <wp:simplePos x="0" y="0"/>
            <wp:positionH relativeFrom="column">
              <wp:posOffset>-1091565</wp:posOffset>
            </wp:positionH>
            <wp:positionV relativeFrom="paragraph">
              <wp:posOffset>-911860</wp:posOffset>
            </wp:positionV>
            <wp:extent cx="7769860" cy="1005586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a:blip r:embed="rId5">
                      <a:extLst>
                        <a:ext uri="{28A0092B-C50C-407E-A947-70E740481C1C}">
                          <a14:useLocalDpi xmlns:a14="http://schemas.microsoft.com/office/drawing/2010/main" val="0"/>
                        </a:ext>
                      </a:extLst>
                    </a:blip>
                    <a:stretch>
                      <a:fillRect/>
                    </a:stretch>
                  </pic:blipFill>
                  <pic:spPr>
                    <a:xfrm>
                      <a:off x="0" y="0"/>
                      <a:ext cx="7769860" cy="10055860"/>
                    </a:xfrm>
                    <a:prstGeom prst="rect">
                      <a:avLst/>
                    </a:prstGeom>
                  </pic:spPr>
                </pic:pic>
              </a:graphicData>
            </a:graphic>
            <wp14:sizeRelH relativeFrom="page">
              <wp14:pctWidth>0</wp14:pctWidth>
            </wp14:sizeRelH>
            <wp14:sizeRelV relativeFrom="page">
              <wp14:pctHeight>0</wp14:pctHeight>
            </wp14:sizeRelV>
          </wp:anchor>
        </w:drawing>
      </w:r>
    </w:p>
    <w:p w14:paraId="0960C85A" w14:textId="57A090FA" w:rsidR="00680E80" w:rsidRDefault="00680E80">
      <w:pPr>
        <w:rPr>
          <w:b/>
        </w:rPr>
      </w:pPr>
    </w:p>
    <w:p w14:paraId="60F2E9DA" w14:textId="7E9558ED" w:rsidR="001D75F4" w:rsidRDefault="00117D00" w:rsidP="00117D00">
      <w:pPr>
        <w:jc w:val="both"/>
      </w:pPr>
      <w:r>
        <w:rPr>
          <w:b/>
        </w:rPr>
        <w:t xml:space="preserve">Fig. 1. </w:t>
      </w:r>
      <w:proofErr w:type="gramStart"/>
      <w:r>
        <w:rPr>
          <w:b/>
        </w:rPr>
        <w:t>Distribution of conservation and acceleration across DHS.</w:t>
      </w:r>
      <w:proofErr w:type="gramEnd"/>
      <w:r>
        <w:rPr>
          <w:b/>
        </w:rPr>
        <w:t xml:space="preserve"> (a) </w:t>
      </w:r>
      <w:r>
        <w:t xml:space="preserve">The proportion of cell-type specific DHS (DHS that were active in only one cell type) that were called as conserved is shown for all 130 cell types. Cell types are colored according to category. Inset violin plot summarizes bar plot </w:t>
      </w:r>
      <w:r>
        <w:rPr>
          <w:b/>
        </w:rPr>
        <w:t xml:space="preserve">(b) </w:t>
      </w:r>
      <w:proofErr w:type="gramStart"/>
      <w:r>
        <w:t>The</w:t>
      </w:r>
      <w:proofErr w:type="gramEnd"/>
      <w:r>
        <w:t xml:space="preserve"> proportion of conserve DHS that were called as human-accelerated is shown for all 130 cell types. Cell types are colored according to category. Inset shows data for each category combined in a violin plot. </w:t>
      </w:r>
      <w:r>
        <w:rPr>
          <w:b/>
        </w:rPr>
        <w:t xml:space="preserve">(c) </w:t>
      </w:r>
      <w:r>
        <w:t xml:space="preserve">The proportion of cell-type specific DHS that were called as human-accelerated is shown for all </w:t>
      </w:r>
      <w:proofErr w:type="gramStart"/>
      <w:r>
        <w:t>130 cell</w:t>
      </w:r>
      <w:proofErr w:type="gramEnd"/>
      <w:r>
        <w:t xml:space="preserve"> types. Cell types are colored according to category. Only cell types with a proportion greater than zero are shown. Inset violin plot summarizes bar plot.</w:t>
      </w:r>
    </w:p>
    <w:p w14:paraId="4281801F" w14:textId="77777777" w:rsidR="001D75F4" w:rsidRDefault="001D75F4">
      <w:r>
        <w:br w:type="page"/>
      </w:r>
    </w:p>
    <w:p w14:paraId="39C61160" w14:textId="3CB39519" w:rsidR="00117D00" w:rsidRDefault="003F0CF0" w:rsidP="00117D00">
      <w:pPr>
        <w:jc w:val="both"/>
      </w:pPr>
      <w:r>
        <w:rPr>
          <w:b/>
          <w:noProof/>
        </w:rPr>
        <w:drawing>
          <wp:anchor distT="0" distB="0" distL="114300" distR="114300" simplePos="0" relativeHeight="251661312" behindDoc="0" locked="0" layoutInCell="1" allowOverlap="1" wp14:anchorId="4465682E" wp14:editId="71535CE4">
            <wp:simplePos x="0" y="0"/>
            <wp:positionH relativeFrom="column">
              <wp:posOffset>-1143000</wp:posOffset>
            </wp:positionH>
            <wp:positionV relativeFrom="paragraph">
              <wp:posOffset>-969010</wp:posOffset>
            </wp:positionV>
            <wp:extent cx="7772400" cy="49657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rotWithShape="1">
                    <a:blip r:embed="rId6">
                      <a:extLst>
                        <a:ext uri="{28A0092B-C50C-407E-A947-70E740481C1C}">
                          <a14:useLocalDpi xmlns:a14="http://schemas.microsoft.com/office/drawing/2010/main" val="0"/>
                        </a:ext>
                      </a:extLst>
                    </a:blip>
                    <a:srcRect t="20833" b="29798"/>
                    <a:stretch/>
                  </pic:blipFill>
                  <pic:spPr bwMode="auto">
                    <a:xfrm>
                      <a:off x="0" y="0"/>
                      <a:ext cx="7772400" cy="496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6619F" w14:textId="57463D89" w:rsidR="00117D00" w:rsidRPr="003C18AD" w:rsidRDefault="00117D00" w:rsidP="00117D00">
      <w:pPr>
        <w:jc w:val="both"/>
      </w:pPr>
      <w:r>
        <w:rPr>
          <w:b/>
        </w:rPr>
        <w:t xml:space="preserve">Fig. 2. Number of cell types each </w:t>
      </w:r>
      <w:proofErr w:type="spellStart"/>
      <w:r>
        <w:rPr>
          <w:b/>
        </w:rPr>
        <w:t>haDHS</w:t>
      </w:r>
      <w:proofErr w:type="spellEnd"/>
      <w:r>
        <w:rPr>
          <w:b/>
        </w:rPr>
        <w:t xml:space="preserve"> is active in. </w:t>
      </w:r>
      <w:r>
        <w:t xml:space="preserve">All 524 </w:t>
      </w:r>
      <w:proofErr w:type="spellStart"/>
      <w:r>
        <w:t>haDHS</w:t>
      </w:r>
      <w:proofErr w:type="spellEnd"/>
      <w:r>
        <w:t xml:space="preserve"> are shown along the </w:t>
      </w:r>
      <w:proofErr w:type="gramStart"/>
      <w:r>
        <w:t>x axis</w:t>
      </w:r>
      <w:proofErr w:type="gramEnd"/>
      <w:r>
        <w:t>, ranked from completely cell type specific to active in all or nearly all cell types. The range on the Y-axis exceeds the number of cell types analyzed (130), because in some cases multiple DHS from the same cell type were merged.</w:t>
      </w:r>
    </w:p>
    <w:p w14:paraId="3A6BC450" w14:textId="6C35EC35" w:rsidR="00117D00" w:rsidRDefault="00117D00" w:rsidP="00117D00">
      <w:pPr>
        <w:jc w:val="both"/>
        <w:rPr>
          <w:b/>
        </w:rPr>
      </w:pPr>
    </w:p>
    <w:p w14:paraId="2681D04A" w14:textId="77777777" w:rsidR="0084159B" w:rsidRDefault="0084159B">
      <w:pPr>
        <w:rPr>
          <w:b/>
        </w:rPr>
      </w:pPr>
      <w:r>
        <w:rPr>
          <w:b/>
        </w:rPr>
        <w:br w:type="page"/>
      </w:r>
    </w:p>
    <w:p w14:paraId="2E72F33C" w14:textId="2A14EF72" w:rsidR="00C27817" w:rsidRDefault="00C27817" w:rsidP="00C27817">
      <w:pPr>
        <w:jc w:val="both"/>
        <w:rPr>
          <w:rFonts w:ascii="Times New Roman" w:hAnsi="Times New Roman" w:cs="Times New Roman"/>
        </w:rPr>
      </w:pPr>
      <w:r>
        <w:rPr>
          <w:b/>
          <w:noProof/>
        </w:rPr>
        <w:drawing>
          <wp:anchor distT="0" distB="0" distL="114300" distR="114300" simplePos="0" relativeHeight="251660288" behindDoc="0" locked="0" layoutInCell="1" allowOverlap="1" wp14:anchorId="7AD13586" wp14:editId="055D373A">
            <wp:simplePos x="0" y="0"/>
            <wp:positionH relativeFrom="column">
              <wp:posOffset>-1143000</wp:posOffset>
            </wp:positionH>
            <wp:positionV relativeFrom="paragraph">
              <wp:posOffset>-969010</wp:posOffset>
            </wp:positionV>
            <wp:extent cx="7774305" cy="46863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rotWithShape="1">
                    <a:blip r:embed="rId7">
                      <a:extLst>
                        <a:ext uri="{28A0092B-C50C-407E-A947-70E740481C1C}">
                          <a14:useLocalDpi xmlns:a14="http://schemas.microsoft.com/office/drawing/2010/main" val="0"/>
                        </a:ext>
                      </a:extLst>
                    </a:blip>
                    <a:srcRect b="53420"/>
                    <a:stretch/>
                  </pic:blipFill>
                  <pic:spPr bwMode="auto">
                    <a:xfrm>
                      <a:off x="0" y="0"/>
                      <a:ext cx="7774305" cy="468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7D00">
        <w:rPr>
          <w:b/>
        </w:rPr>
        <w:t xml:space="preserve">Fig. 3. </w:t>
      </w:r>
      <w:proofErr w:type="gramStart"/>
      <w:r w:rsidR="00117D00">
        <w:rPr>
          <w:b/>
        </w:rPr>
        <w:t xml:space="preserve">Additional forces contributing to rate acceleration in </w:t>
      </w:r>
      <w:proofErr w:type="spellStart"/>
      <w:r w:rsidR="00117D00">
        <w:rPr>
          <w:b/>
        </w:rPr>
        <w:t>haDHS</w:t>
      </w:r>
      <w:proofErr w:type="spellEnd"/>
      <w:r w:rsidR="00117D00">
        <w:rPr>
          <w:b/>
        </w:rPr>
        <w:t xml:space="preserve"> and HAEs.</w:t>
      </w:r>
      <w:proofErr w:type="gramEnd"/>
      <w:r w:rsidR="00117D00">
        <w:rPr>
          <w:b/>
        </w:rPr>
        <w:t xml:space="preserve"> </w:t>
      </w:r>
      <w:r w:rsidR="00117D00" w:rsidRPr="00013D9B">
        <w:rPr>
          <w:rFonts w:ascii="Times New Roman" w:hAnsi="Times New Roman" w:cs="Times New Roman"/>
          <w:b/>
        </w:rPr>
        <w:t>(a)</w:t>
      </w:r>
      <w:r w:rsidR="00117D00" w:rsidRPr="00502350">
        <w:rPr>
          <w:rFonts w:ascii="Times New Roman" w:hAnsi="Times New Roman" w:cs="Times New Roman"/>
        </w:rPr>
        <w:t xml:space="preserve"> The proportion of weak to strong substitutions in conserved DHS (</w:t>
      </w:r>
      <w:proofErr w:type="spellStart"/>
      <w:r w:rsidR="00117D00" w:rsidRPr="00502350">
        <w:rPr>
          <w:rFonts w:ascii="Times New Roman" w:hAnsi="Times New Roman" w:cs="Times New Roman"/>
        </w:rPr>
        <w:t>consDHS</w:t>
      </w:r>
      <w:proofErr w:type="spellEnd"/>
      <w:r w:rsidR="00117D00" w:rsidRPr="00502350">
        <w:rPr>
          <w:rFonts w:ascii="Times New Roman" w:hAnsi="Times New Roman" w:cs="Times New Roman"/>
        </w:rPr>
        <w:t xml:space="preserve">), all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the set of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that do not overlap regions predicted to experience GC-BGC (no BGC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and the set of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that do overlap predicted regions of GC-BGC (GCB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w:t>
      </w:r>
      <w:r w:rsidR="00117D00" w:rsidRPr="00013D9B">
        <w:rPr>
          <w:rFonts w:ascii="Times New Roman" w:hAnsi="Times New Roman" w:cs="Times New Roman"/>
          <w:b/>
        </w:rPr>
        <w:t>(b)</w:t>
      </w:r>
      <w:r w:rsidR="00117D00" w:rsidRPr="00502350">
        <w:rPr>
          <w:rFonts w:ascii="Times New Roman" w:hAnsi="Times New Roman" w:cs="Times New Roman"/>
        </w:rPr>
        <w:t xml:space="preserve"> Mean and 95% bootstrap confidence intervals of human-macaque divergence in regions surrounding </w:t>
      </w:r>
      <w:proofErr w:type="spellStart"/>
      <w:r w:rsidR="00117D00" w:rsidRPr="00502350">
        <w:rPr>
          <w:rFonts w:ascii="Times New Roman" w:hAnsi="Times New Roman" w:cs="Times New Roman"/>
        </w:rPr>
        <w:t>haDHS</w:t>
      </w:r>
      <w:proofErr w:type="spellEnd"/>
      <w:r w:rsidR="00117D00" w:rsidRPr="00502350">
        <w:rPr>
          <w:rFonts w:ascii="Times New Roman" w:hAnsi="Times New Roman" w:cs="Times New Roman"/>
        </w:rPr>
        <w:t xml:space="preserve"> and HAEs that do or do not overlap predicted GC-BGC elements. Horizontal bars denote the 95% confidence interval of the mean human-macaque divergence for conserved DHS and </w:t>
      </w:r>
      <w:proofErr w:type="spellStart"/>
      <w:r w:rsidR="00117D00" w:rsidRPr="00502350">
        <w:rPr>
          <w:rFonts w:ascii="Times New Roman" w:hAnsi="Times New Roman" w:cs="Times New Roman"/>
        </w:rPr>
        <w:t>phastCons</w:t>
      </w:r>
      <w:proofErr w:type="spellEnd"/>
      <w:r w:rsidR="00117D00" w:rsidRPr="00502350">
        <w:rPr>
          <w:rFonts w:ascii="Times New Roman" w:hAnsi="Times New Roman" w:cs="Times New Roman"/>
        </w:rPr>
        <w:t xml:space="preserve"> elements.</w:t>
      </w:r>
    </w:p>
    <w:p w14:paraId="44830224" w14:textId="08E7B408" w:rsidR="000311E1" w:rsidRPr="000311E1" w:rsidRDefault="00C575FB" w:rsidP="000311E1">
      <w:pPr>
        <w:rPr>
          <w:rFonts w:ascii="Times New Roman" w:hAnsi="Times New Roman" w:cs="Times New Roman"/>
        </w:rPr>
      </w:pPr>
      <w:r>
        <w:rPr>
          <w:b/>
        </w:rPr>
        <w:br w:type="page"/>
      </w:r>
    </w:p>
    <w:p w14:paraId="70F5F804" w14:textId="42C285D9" w:rsidR="000311E1" w:rsidRDefault="000311E1" w:rsidP="00CE777E">
      <w:pPr>
        <w:jc w:val="both"/>
        <w:rPr>
          <w:b/>
          <w:noProof/>
        </w:rPr>
      </w:pPr>
      <w:r>
        <w:rPr>
          <w:b/>
          <w:noProof/>
        </w:rPr>
        <w:drawing>
          <wp:anchor distT="0" distB="0" distL="114300" distR="114300" simplePos="0" relativeHeight="251664384" behindDoc="0" locked="0" layoutInCell="1" allowOverlap="1" wp14:anchorId="5344531A" wp14:editId="338B7A83">
            <wp:simplePos x="0" y="0"/>
            <wp:positionH relativeFrom="column">
              <wp:posOffset>-1189990</wp:posOffset>
            </wp:positionH>
            <wp:positionV relativeFrom="paragraph">
              <wp:posOffset>-962660</wp:posOffset>
            </wp:positionV>
            <wp:extent cx="7767955" cy="1005205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a:blip r:embed="rId8">
                      <a:extLst>
                        <a:ext uri="{28A0092B-C50C-407E-A947-70E740481C1C}">
                          <a14:useLocalDpi xmlns:a14="http://schemas.microsoft.com/office/drawing/2010/main" val="0"/>
                        </a:ext>
                      </a:extLst>
                    </a:blip>
                    <a:stretch>
                      <a:fillRect/>
                    </a:stretch>
                  </pic:blipFill>
                  <pic:spPr>
                    <a:xfrm>
                      <a:off x="0" y="0"/>
                      <a:ext cx="7767955" cy="10052050"/>
                    </a:xfrm>
                    <a:prstGeom prst="rect">
                      <a:avLst/>
                    </a:prstGeom>
                  </pic:spPr>
                </pic:pic>
              </a:graphicData>
            </a:graphic>
            <wp14:sizeRelH relativeFrom="page">
              <wp14:pctWidth>0</wp14:pctWidth>
            </wp14:sizeRelH>
            <wp14:sizeRelV relativeFrom="page">
              <wp14:pctHeight>0</wp14:pctHeight>
            </wp14:sizeRelV>
          </wp:anchor>
        </w:drawing>
      </w:r>
    </w:p>
    <w:p w14:paraId="492B08FE" w14:textId="6470553D" w:rsidR="00CE777E" w:rsidRPr="00C27817" w:rsidRDefault="00C27817" w:rsidP="00CE777E">
      <w:pPr>
        <w:jc w:val="both"/>
        <w:rPr>
          <w:b/>
        </w:rPr>
      </w:pPr>
      <w:r>
        <w:rPr>
          <w:b/>
        </w:rPr>
        <w:t xml:space="preserve">Fig. 4. Estimating the proportion of substitutions subject to positive selection. </w:t>
      </w:r>
      <w:r w:rsidR="00117D00">
        <w:rPr>
          <w:b/>
        </w:rPr>
        <w:t xml:space="preserve">(a) </w:t>
      </w:r>
      <w:r w:rsidR="00117D00">
        <w:t xml:space="preserve">The bootstrapped 95% confidence interval for </w:t>
      </w:r>
      <w:r w:rsidR="00117D00" w:rsidRPr="00A56499">
        <w:rPr>
          <w:rFonts w:cs="Lucida Grande"/>
          <w:color w:val="000000"/>
        </w:rPr>
        <w:t>α</w:t>
      </w:r>
      <w:r w:rsidR="00117D00" w:rsidDel="006E2432">
        <w:t xml:space="preserve"> </w:t>
      </w:r>
      <w:r w:rsidR="00117D00">
        <w:t xml:space="preserve">is shown for different groups of elements. “Top” refers to elements that are evolving more rapidly than neutral, and do not overlap BGC regions. </w:t>
      </w:r>
      <w:r w:rsidR="00117D00">
        <w:rPr>
          <w:b/>
        </w:rPr>
        <w:t xml:space="preserve">(b) </w:t>
      </w:r>
      <w:r w:rsidR="00117D00">
        <w:t xml:space="preserve">Values of </w:t>
      </w:r>
      <w:r w:rsidR="00117D00" w:rsidRPr="00A56499">
        <w:rPr>
          <w:rFonts w:cs="Lucida Grande"/>
          <w:color w:val="000000"/>
        </w:rPr>
        <w:t>α</w:t>
      </w:r>
      <w:r w:rsidR="00117D00" w:rsidDel="006E2432">
        <w:t xml:space="preserve"> </w:t>
      </w:r>
      <w:r w:rsidR="00117D00">
        <w:t>for 10</w:t>
      </w:r>
      <w:r w:rsidR="00117D00">
        <w:rPr>
          <w:vertAlign w:val="superscript"/>
        </w:rPr>
        <w:t>4</w:t>
      </w:r>
      <w:r w:rsidR="00117D00">
        <w:t xml:space="preserve"> simulations are shown for different mutation rate heterogeneity parameters. The mutation rate parameter denotes how much more rapidly the </w:t>
      </w:r>
      <w:proofErr w:type="spellStart"/>
      <w:r w:rsidR="00117D00">
        <w:t>haDHS</w:t>
      </w:r>
      <w:proofErr w:type="spellEnd"/>
      <w:r w:rsidR="00117D00">
        <w:t xml:space="preserve"> is evolving compared to the neutral region.</w:t>
      </w:r>
    </w:p>
    <w:p w14:paraId="412C7040" w14:textId="77777777" w:rsidR="00CE777E" w:rsidRDefault="00CE777E" w:rsidP="00CE777E">
      <w:r>
        <w:br w:type="page"/>
      </w:r>
    </w:p>
    <w:p w14:paraId="499FAD8C" w14:textId="714701C7" w:rsidR="00117D00" w:rsidRDefault="00C575FB" w:rsidP="00117D00">
      <w:pPr>
        <w:jc w:val="both"/>
        <w:rPr>
          <w:b/>
        </w:rPr>
      </w:pPr>
      <w:r>
        <w:rPr>
          <w:b/>
          <w:noProof/>
        </w:rPr>
        <w:drawing>
          <wp:anchor distT="0" distB="0" distL="114300" distR="114300" simplePos="0" relativeHeight="251663360" behindDoc="0" locked="0" layoutInCell="1" allowOverlap="1" wp14:anchorId="4FF1437F" wp14:editId="289AF5C6">
            <wp:simplePos x="0" y="0"/>
            <wp:positionH relativeFrom="column">
              <wp:posOffset>-1193165</wp:posOffset>
            </wp:positionH>
            <wp:positionV relativeFrom="paragraph">
              <wp:posOffset>-969010</wp:posOffset>
            </wp:positionV>
            <wp:extent cx="7769860" cy="1005586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a:blip r:embed="rId9">
                      <a:extLst>
                        <a:ext uri="{28A0092B-C50C-407E-A947-70E740481C1C}">
                          <a14:useLocalDpi xmlns:a14="http://schemas.microsoft.com/office/drawing/2010/main" val="0"/>
                        </a:ext>
                      </a:extLst>
                    </a:blip>
                    <a:stretch>
                      <a:fillRect/>
                    </a:stretch>
                  </pic:blipFill>
                  <pic:spPr>
                    <a:xfrm>
                      <a:off x="0" y="0"/>
                      <a:ext cx="7769860" cy="10055860"/>
                    </a:xfrm>
                    <a:prstGeom prst="rect">
                      <a:avLst/>
                    </a:prstGeom>
                  </pic:spPr>
                </pic:pic>
              </a:graphicData>
            </a:graphic>
            <wp14:sizeRelH relativeFrom="page">
              <wp14:pctWidth>0</wp14:pctWidth>
            </wp14:sizeRelH>
            <wp14:sizeRelV relativeFrom="page">
              <wp14:pctHeight>0</wp14:pctHeight>
            </wp14:sizeRelV>
          </wp:anchor>
        </w:drawing>
      </w:r>
    </w:p>
    <w:p w14:paraId="1304E6DF" w14:textId="77777777" w:rsidR="00117D00" w:rsidRDefault="00117D00" w:rsidP="00117D00">
      <w:pPr>
        <w:jc w:val="both"/>
        <w:rPr>
          <w:b/>
        </w:rPr>
      </w:pPr>
    </w:p>
    <w:p w14:paraId="3E19B062" w14:textId="156C27FE" w:rsidR="00CE777E" w:rsidRDefault="00117D00" w:rsidP="00117D00">
      <w:pPr>
        <w:jc w:val="both"/>
      </w:pPr>
      <w:r>
        <w:rPr>
          <w:b/>
        </w:rPr>
        <w:t xml:space="preserve">Fig. 5. </w:t>
      </w:r>
      <w:proofErr w:type="gramStart"/>
      <w:r>
        <w:rPr>
          <w:b/>
        </w:rPr>
        <w:t>Nucleotide diversity across 1000 genomes populations</w:t>
      </w:r>
      <w:r>
        <w:t>.</w:t>
      </w:r>
      <w:proofErr w:type="gramEnd"/>
      <w:r>
        <w:t xml:space="preserve"> Boxplots of the bootstrap estimates of the mean </w:t>
      </w:r>
      <w:r w:rsidRPr="00A56499">
        <w:rPr>
          <w:rFonts w:cs="Lucida Grande"/>
          <w:color w:val="000000"/>
        </w:rPr>
        <w:t>π</w:t>
      </w:r>
      <w:r w:rsidDel="006E2432">
        <w:t xml:space="preserve"> </w:t>
      </w:r>
      <w:r>
        <w:t>is shown for each of the 1000 genomes populations, for different groups of elements, indicated in the figure legend. “Top” refers to elements that are evolving more rapidly than neutral, and do not overlap BGC regions.</w:t>
      </w:r>
    </w:p>
    <w:p w14:paraId="103E65FE" w14:textId="77777777" w:rsidR="00CE777E" w:rsidRDefault="00CE777E">
      <w:r>
        <w:br w:type="page"/>
      </w:r>
    </w:p>
    <w:p w14:paraId="50830D2F" w14:textId="23A1F004" w:rsidR="00117D00" w:rsidRDefault="00CD16FC" w:rsidP="00117D00">
      <w:pPr>
        <w:jc w:val="both"/>
      </w:pPr>
      <w:r>
        <w:rPr>
          <w:noProof/>
        </w:rPr>
        <w:drawing>
          <wp:anchor distT="0" distB="0" distL="114300" distR="114300" simplePos="0" relativeHeight="251665408" behindDoc="0" locked="0" layoutInCell="1" allowOverlap="1" wp14:anchorId="71FC07C7" wp14:editId="097C0909">
            <wp:simplePos x="0" y="0"/>
            <wp:positionH relativeFrom="column">
              <wp:posOffset>-1142365</wp:posOffset>
            </wp:positionH>
            <wp:positionV relativeFrom="paragraph">
              <wp:posOffset>-969010</wp:posOffset>
            </wp:positionV>
            <wp:extent cx="7770495" cy="1005522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a:blip r:embed="rId10">
                      <a:extLst>
                        <a:ext uri="{28A0092B-C50C-407E-A947-70E740481C1C}">
                          <a14:useLocalDpi xmlns:a14="http://schemas.microsoft.com/office/drawing/2010/main" val="0"/>
                        </a:ext>
                      </a:extLst>
                    </a:blip>
                    <a:stretch>
                      <a:fillRect/>
                    </a:stretch>
                  </pic:blipFill>
                  <pic:spPr>
                    <a:xfrm>
                      <a:off x="0" y="0"/>
                      <a:ext cx="7770495" cy="10055225"/>
                    </a:xfrm>
                    <a:prstGeom prst="rect">
                      <a:avLst/>
                    </a:prstGeom>
                  </pic:spPr>
                </pic:pic>
              </a:graphicData>
            </a:graphic>
            <wp14:sizeRelH relativeFrom="page">
              <wp14:pctWidth>0</wp14:pctWidth>
            </wp14:sizeRelH>
            <wp14:sizeRelV relativeFrom="page">
              <wp14:pctHeight>0</wp14:pctHeight>
            </wp14:sizeRelV>
          </wp:anchor>
        </w:drawing>
      </w:r>
    </w:p>
    <w:p w14:paraId="7A90825B" w14:textId="2262E9A6" w:rsidR="00117D00" w:rsidRDefault="00117D00" w:rsidP="00117D00">
      <w:pPr>
        <w:jc w:val="both"/>
      </w:pPr>
    </w:p>
    <w:p w14:paraId="14E5C656" w14:textId="7F7064F8" w:rsidR="00CE777E" w:rsidRDefault="00117D00" w:rsidP="00117D00">
      <w:pPr>
        <w:jc w:val="both"/>
      </w:pPr>
      <w:r>
        <w:rPr>
          <w:b/>
        </w:rPr>
        <w:t xml:space="preserve">Fig. 6. </w:t>
      </w:r>
      <w:proofErr w:type="gramStart"/>
      <w:r>
        <w:rPr>
          <w:b/>
        </w:rPr>
        <w:t>Luciferase reporters that did not show enhancer activity.</w:t>
      </w:r>
      <w:proofErr w:type="gramEnd"/>
      <w:r>
        <w:rPr>
          <w:b/>
        </w:rPr>
        <w:t xml:space="preserve"> </w:t>
      </w:r>
      <w:r>
        <w:t>(a)</w:t>
      </w:r>
      <w:r>
        <w:rPr>
          <w:b/>
        </w:rPr>
        <w:t xml:space="preserve"> </w:t>
      </w:r>
      <w:r>
        <w:t xml:space="preserve">Luciferase data for all SKNMC tests in which neither allele acted as an enhancer is shown. The dashed line indicates the mean of the negative control replicates. (b) Luciferase data for all IMR90 tests that passed the 2500 </w:t>
      </w:r>
      <w:proofErr w:type="spellStart"/>
      <w:r>
        <w:t>Renilla</w:t>
      </w:r>
      <w:proofErr w:type="spellEnd"/>
      <w:r>
        <w:t xml:space="preserve"> threshold but did not act as </w:t>
      </w:r>
      <w:proofErr w:type="gramStart"/>
      <w:r>
        <w:t>enhancers is</w:t>
      </w:r>
      <w:proofErr w:type="gramEnd"/>
      <w:r>
        <w:t xml:space="preserve"> shown. The dashed line indicates the mean of the negative control replicates. </w:t>
      </w:r>
    </w:p>
    <w:p w14:paraId="0C2734B6" w14:textId="77777777" w:rsidR="00373ECD" w:rsidRDefault="00373ECD">
      <w:r>
        <w:br w:type="page"/>
      </w:r>
    </w:p>
    <w:p w14:paraId="339BEA18" w14:textId="6C754127" w:rsidR="00117D00" w:rsidRDefault="00373ECD" w:rsidP="00DE1DF7">
      <w:r>
        <w:rPr>
          <w:noProof/>
        </w:rPr>
        <w:drawing>
          <wp:anchor distT="0" distB="0" distL="114300" distR="114300" simplePos="0" relativeHeight="251669504" behindDoc="0" locked="0" layoutInCell="1" allowOverlap="1" wp14:anchorId="3798E2AD" wp14:editId="238A5C24">
            <wp:simplePos x="0" y="0"/>
            <wp:positionH relativeFrom="column">
              <wp:posOffset>-1144905</wp:posOffset>
            </wp:positionH>
            <wp:positionV relativeFrom="paragraph">
              <wp:posOffset>-969010</wp:posOffset>
            </wp:positionV>
            <wp:extent cx="7769860" cy="10055225"/>
            <wp:effectExtent l="0" t="0" r="2540" b="317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ure7.tiff"/>
                    <pic:cNvPicPr/>
                  </pic:nvPicPr>
                  <pic:blipFill>
                    <a:blip r:embed="rId11">
                      <a:extLst>
                        <a:ext uri="{28A0092B-C50C-407E-A947-70E740481C1C}">
                          <a14:useLocalDpi xmlns:a14="http://schemas.microsoft.com/office/drawing/2010/main" val="0"/>
                        </a:ext>
                      </a:extLst>
                    </a:blip>
                    <a:stretch>
                      <a:fillRect/>
                    </a:stretch>
                  </pic:blipFill>
                  <pic:spPr>
                    <a:xfrm>
                      <a:off x="0" y="0"/>
                      <a:ext cx="7769860" cy="10055225"/>
                    </a:xfrm>
                    <a:prstGeom prst="rect">
                      <a:avLst/>
                    </a:prstGeom>
                  </pic:spPr>
                </pic:pic>
              </a:graphicData>
            </a:graphic>
            <wp14:sizeRelH relativeFrom="page">
              <wp14:pctWidth>0</wp14:pctWidth>
            </wp14:sizeRelH>
            <wp14:sizeRelV relativeFrom="page">
              <wp14:pctHeight>0</wp14:pctHeight>
            </wp14:sizeRelV>
          </wp:anchor>
        </w:drawing>
      </w:r>
      <w:r w:rsidR="00CE777E">
        <w:br w:type="page"/>
      </w:r>
    </w:p>
    <w:p w14:paraId="4DF68CA9" w14:textId="4E619B37" w:rsidR="00117D00" w:rsidRDefault="00117D00" w:rsidP="00117D00">
      <w:pPr>
        <w:jc w:val="both"/>
        <w:rPr>
          <w:b/>
        </w:rPr>
      </w:pPr>
    </w:p>
    <w:p w14:paraId="067F0AD0" w14:textId="2546D77A" w:rsidR="00CE777E" w:rsidRDefault="00117D00" w:rsidP="00117D00">
      <w:pPr>
        <w:jc w:val="both"/>
      </w:pPr>
      <w:r>
        <w:rPr>
          <w:b/>
        </w:rPr>
        <w:t xml:space="preserve">Fig. 7. Segmenting long merged DHS. (a) </w:t>
      </w:r>
      <w:r>
        <w:t xml:space="preserve">Schematic of segmenting. This DHS would get partitioned into two distinct DHS at the minimum, because the minimum number of cell types is less than half the previous maximum, and the rest of the region climbs by at least 5 DHS. </w:t>
      </w:r>
      <w:r>
        <w:rPr>
          <w:b/>
        </w:rPr>
        <w:t xml:space="preserve">(b) </w:t>
      </w:r>
      <w:r>
        <w:t xml:space="preserve">Segmenting of the NR2F2 region is shown as an example. </w:t>
      </w:r>
      <w:r>
        <w:rPr>
          <w:b/>
        </w:rPr>
        <w:t xml:space="preserve">(c) </w:t>
      </w:r>
      <w:r>
        <w:t>The size distribution of DHS before applying the partitioning algorithm and after is shown.</w:t>
      </w:r>
    </w:p>
    <w:p w14:paraId="29C52542" w14:textId="77777777" w:rsidR="00CE777E" w:rsidRDefault="00CE777E">
      <w:r>
        <w:br w:type="page"/>
      </w:r>
    </w:p>
    <w:p w14:paraId="4650CFF5" w14:textId="7D65B23C" w:rsidR="00117D00" w:rsidRDefault="00CD16FC" w:rsidP="00117D00">
      <w:pPr>
        <w:jc w:val="both"/>
      </w:pPr>
      <w:r>
        <w:rPr>
          <w:noProof/>
        </w:rPr>
        <w:drawing>
          <wp:anchor distT="0" distB="0" distL="114300" distR="114300" simplePos="0" relativeHeight="251667456" behindDoc="0" locked="0" layoutInCell="1" allowOverlap="1" wp14:anchorId="19D7C9E4" wp14:editId="2E085B39">
            <wp:simplePos x="0" y="0"/>
            <wp:positionH relativeFrom="column">
              <wp:posOffset>-1143000</wp:posOffset>
            </wp:positionH>
            <wp:positionV relativeFrom="paragraph">
              <wp:posOffset>-969010</wp:posOffset>
            </wp:positionV>
            <wp:extent cx="7817485" cy="554418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telman.GR.supp_figs.all.pdf"/>
                    <pic:cNvPicPr/>
                  </pic:nvPicPr>
                  <pic:blipFill rotWithShape="1">
                    <a:blip r:embed="rId12">
                      <a:extLst>
                        <a:ext uri="{28A0092B-C50C-407E-A947-70E740481C1C}">
                          <a14:useLocalDpi xmlns:a14="http://schemas.microsoft.com/office/drawing/2010/main" val="0"/>
                        </a:ext>
                      </a:extLst>
                    </a:blip>
                    <a:srcRect t="21283" b="23909"/>
                    <a:stretch/>
                  </pic:blipFill>
                  <pic:spPr bwMode="auto">
                    <a:xfrm>
                      <a:off x="0" y="0"/>
                      <a:ext cx="7817485" cy="5544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E71C1" w14:textId="1F579116" w:rsidR="00117D00" w:rsidRDefault="00117D00" w:rsidP="00117D00">
      <w:pPr>
        <w:jc w:val="both"/>
      </w:pPr>
    </w:p>
    <w:p w14:paraId="54EEC8B0" w14:textId="046E3F64" w:rsidR="00117D00" w:rsidRDefault="00117D00" w:rsidP="00117D00">
      <w:pPr>
        <w:jc w:val="both"/>
      </w:pPr>
      <w:r>
        <w:rPr>
          <w:b/>
        </w:rPr>
        <w:t xml:space="preserve">Fig. 8. </w:t>
      </w:r>
      <w:proofErr w:type="gramStart"/>
      <w:r>
        <w:rPr>
          <w:b/>
        </w:rPr>
        <w:t>IMR90 raw data</w:t>
      </w:r>
      <w:r>
        <w:t>.</w:t>
      </w:r>
      <w:proofErr w:type="gramEnd"/>
      <w:r>
        <w:t xml:space="preserve"> The ratio of firefly to </w:t>
      </w:r>
      <w:proofErr w:type="spellStart"/>
      <w:r>
        <w:t>renilla</w:t>
      </w:r>
      <w:proofErr w:type="spellEnd"/>
      <w:r>
        <w:t xml:space="preserve"> luciferase expression is plotted against raw </w:t>
      </w:r>
      <w:proofErr w:type="spellStart"/>
      <w:r>
        <w:t>renilla</w:t>
      </w:r>
      <w:proofErr w:type="spellEnd"/>
      <w:r>
        <w:t xml:space="preserve"> values. Colors indicate the date that each data point was collected.</w:t>
      </w:r>
    </w:p>
    <w:p w14:paraId="6795DE07" w14:textId="2172E850" w:rsidR="00117D00" w:rsidRDefault="00117D00">
      <w:bookmarkStart w:id="0" w:name="_GoBack"/>
      <w:bookmarkEnd w:id="0"/>
    </w:p>
    <w:sectPr w:rsidR="00117D00" w:rsidSect="00C575FB">
      <w:pgSz w:w="12240" w:h="15840"/>
      <w:pgMar w:top="1530" w:right="1800" w:bottom="81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A00002EF" w:usb1="4000004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D00"/>
    <w:rsid w:val="000311E1"/>
    <w:rsid w:val="00117D00"/>
    <w:rsid w:val="001D75F4"/>
    <w:rsid w:val="00373ECD"/>
    <w:rsid w:val="003F0CF0"/>
    <w:rsid w:val="00503B4F"/>
    <w:rsid w:val="00655CBC"/>
    <w:rsid w:val="00680E80"/>
    <w:rsid w:val="0084159B"/>
    <w:rsid w:val="00A160B5"/>
    <w:rsid w:val="00AB3257"/>
    <w:rsid w:val="00C27817"/>
    <w:rsid w:val="00C575FB"/>
    <w:rsid w:val="00CD16FC"/>
    <w:rsid w:val="00CE777E"/>
    <w:rsid w:val="00DB63AA"/>
    <w:rsid w:val="00DE1DF7"/>
    <w:rsid w:val="00F75E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881829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D00"/>
    <w:rPr>
      <w:rFonts w:asciiTheme="minorHAnsi" w:hAnsiTheme="minorHAnsi" w:cstheme="minorBidi"/>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D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7D00"/>
    <w:rPr>
      <w:rFonts w:ascii="Lucida Grande" w:hAnsi="Lucida Grande" w:cs="Lucida Grande"/>
      <w:sz w:val="18"/>
      <w:szCs w:val="18"/>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D00"/>
    <w:rPr>
      <w:rFonts w:asciiTheme="minorHAnsi" w:hAnsiTheme="minorHAnsi" w:cstheme="minorBidi"/>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D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7D00"/>
    <w:rPr>
      <w:rFonts w:ascii="Lucida Grande" w:hAnsi="Lucida Grande" w:cs="Lucida Grande"/>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image" Target="media/image8.emf"/><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emf"/><Relationship Id="rId9" Type="http://schemas.openxmlformats.org/officeDocument/2006/relationships/image" Target="media/image5.emf"/><Relationship Id="rId10"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14</Pages>
  <Words>544</Words>
  <Characters>3102</Characters>
  <Application>Microsoft Macintosh Word</Application>
  <DocSecurity>0</DocSecurity>
  <Lines>25</Lines>
  <Paragraphs>7</Paragraphs>
  <ScaleCrop>false</ScaleCrop>
  <Company/>
  <LinksUpToDate>false</LinksUpToDate>
  <CharactersWithSpaces>3639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Genome Sciences User</dc:creator>
  <cp:keywords/>
  <dc:description/>
  <cp:lastModifiedBy>Genome Sciences User</cp:lastModifiedBy>
  <cp:revision>13</cp:revision>
  <dcterms:created xsi:type="dcterms:W3CDTF">2015-06-10T18:21:00Z</dcterms:created>
  <dcterms:modified xsi:type="dcterms:W3CDTF">2015-06-10T20:03:00Z</dcterms:modified>
</cp:coreProperties>
</file>