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D1392" w14:textId="153E3C54" w:rsidR="00C65974" w:rsidRPr="005F46D8" w:rsidRDefault="001F2E5C" w:rsidP="00C65974">
      <w:pPr>
        <w:pStyle w:val="normal0"/>
        <w:spacing w:line="480" w:lineRule="auto"/>
        <w:jc w:val="center"/>
        <w:rPr>
          <w:rFonts w:eastAsia="Times New Roman"/>
          <w:b/>
          <w:color w:val="auto"/>
          <w:sz w:val="32"/>
        </w:rPr>
      </w:pPr>
      <w:r>
        <w:rPr>
          <w:rFonts w:eastAsia="Times New Roman"/>
          <w:b/>
          <w:color w:val="auto"/>
          <w:sz w:val="32"/>
        </w:rPr>
        <w:t>Supplementa</w:t>
      </w:r>
      <w:r w:rsidR="00183E9A">
        <w:rPr>
          <w:rFonts w:eastAsia="Times New Roman"/>
          <w:b/>
          <w:color w:val="auto"/>
          <w:sz w:val="32"/>
        </w:rPr>
        <w:t>l</w:t>
      </w:r>
      <w:r w:rsidR="00C65974" w:rsidRPr="005F46D8">
        <w:rPr>
          <w:rFonts w:eastAsia="Times New Roman"/>
          <w:b/>
          <w:color w:val="auto"/>
          <w:sz w:val="32"/>
        </w:rPr>
        <w:t xml:space="preserve"> </w:t>
      </w:r>
      <w:r w:rsidR="00AE5B0B">
        <w:rPr>
          <w:rFonts w:eastAsia="Times New Roman"/>
          <w:b/>
          <w:color w:val="auto"/>
          <w:sz w:val="32"/>
        </w:rPr>
        <w:t>Material</w:t>
      </w:r>
    </w:p>
    <w:p w14:paraId="0F3611CB" w14:textId="77777777" w:rsidR="00C65974" w:rsidRDefault="00C65974" w:rsidP="00C65974">
      <w:pPr>
        <w:pStyle w:val="normal0"/>
        <w:spacing w:line="480" w:lineRule="auto"/>
        <w:jc w:val="center"/>
        <w:rPr>
          <w:rFonts w:eastAsia="Times New Roman"/>
          <w:b/>
          <w:color w:val="auto"/>
          <w:sz w:val="24"/>
        </w:rPr>
      </w:pPr>
    </w:p>
    <w:p w14:paraId="7597B57F" w14:textId="2462FC8C" w:rsidR="00A75C39" w:rsidRPr="00A75C39" w:rsidRDefault="008459EF" w:rsidP="00A75C39">
      <w:pPr>
        <w:suppressAutoHyphens/>
        <w:jc w:val="left"/>
        <w:rPr>
          <w:rFonts w:eastAsia="Times New Roman" w:cs="Arial"/>
          <w:b/>
          <w:kern w:val="1"/>
          <w:sz w:val="32"/>
          <w:szCs w:val="32"/>
          <w:lang w:eastAsia="ja-JP"/>
        </w:rPr>
      </w:pPr>
      <w:r>
        <w:rPr>
          <w:rFonts w:eastAsia="Arial" w:cs="Arial"/>
          <w:b/>
          <w:kern w:val="1"/>
          <w:sz w:val="32"/>
          <w:szCs w:val="32"/>
          <w:lang w:eastAsia="ja-JP"/>
        </w:rPr>
        <w:t>Characteristics</w:t>
      </w:r>
      <w:r w:rsidR="00A75C39" w:rsidRPr="00A75C39">
        <w:rPr>
          <w:rFonts w:eastAsia="Times New Roman" w:cs="Arial"/>
          <w:b/>
          <w:kern w:val="1"/>
          <w:sz w:val="32"/>
          <w:szCs w:val="32"/>
          <w:lang w:eastAsia="ja-JP"/>
        </w:rPr>
        <w:t xml:space="preserve"> </w:t>
      </w:r>
      <w:r w:rsidR="00A75C39" w:rsidRPr="00A75C39">
        <w:rPr>
          <w:rFonts w:eastAsia="Arial" w:cs="Arial"/>
          <w:b/>
          <w:kern w:val="1"/>
          <w:sz w:val="32"/>
          <w:szCs w:val="32"/>
          <w:lang w:eastAsia="ja-JP"/>
        </w:rPr>
        <w:t xml:space="preserve">of </w:t>
      </w:r>
      <w:r w:rsidR="00A75C39" w:rsidRPr="00A75C39">
        <w:rPr>
          <w:rFonts w:eastAsia="Times New Roman" w:cs="Arial"/>
          <w:b/>
          <w:i/>
          <w:iCs/>
          <w:kern w:val="1"/>
          <w:sz w:val="32"/>
          <w:szCs w:val="32"/>
          <w:lang w:eastAsia="ja-JP"/>
        </w:rPr>
        <w:t xml:space="preserve">de novo </w:t>
      </w:r>
      <w:r w:rsidR="00A75C39" w:rsidRPr="00A75C39">
        <w:rPr>
          <w:rFonts w:eastAsia="Times New Roman" w:cs="Arial"/>
          <w:b/>
          <w:kern w:val="1"/>
          <w:sz w:val="32"/>
          <w:szCs w:val="32"/>
          <w:lang w:eastAsia="ja-JP"/>
        </w:rPr>
        <w:t xml:space="preserve">structural changes </w:t>
      </w:r>
      <w:r w:rsidR="00A75C39" w:rsidRPr="00A75C39">
        <w:rPr>
          <w:rFonts w:eastAsia="Arial" w:cs="Arial"/>
          <w:b/>
          <w:kern w:val="1"/>
          <w:sz w:val="32"/>
          <w:szCs w:val="32"/>
          <w:lang w:eastAsia="ja-JP"/>
        </w:rPr>
        <w:t xml:space="preserve">in the </w:t>
      </w:r>
      <w:r w:rsidR="00A75C39" w:rsidRPr="00A75C39">
        <w:rPr>
          <w:rFonts w:eastAsia="Times New Roman" w:cs="Arial"/>
          <w:b/>
          <w:kern w:val="1"/>
          <w:sz w:val="32"/>
          <w:szCs w:val="32"/>
          <w:lang w:eastAsia="ja-JP"/>
        </w:rPr>
        <w:t>human genome</w:t>
      </w:r>
    </w:p>
    <w:p w14:paraId="581AB39C" w14:textId="77777777" w:rsidR="00A75C39" w:rsidRPr="00A75C39" w:rsidRDefault="00A75C39" w:rsidP="00A75C39">
      <w:pPr>
        <w:suppressAutoHyphens/>
        <w:spacing w:after="120" w:line="480" w:lineRule="auto"/>
        <w:rPr>
          <w:rFonts w:eastAsia="Droid Sans Fallback" w:cs="Arial"/>
          <w:color w:val="1A1A1A"/>
          <w:kern w:val="1"/>
          <w:sz w:val="24"/>
          <w:lang w:eastAsia="ja-JP"/>
        </w:rPr>
      </w:pPr>
    </w:p>
    <w:p w14:paraId="48A9C8C3"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color w:val="1A1A1A"/>
          <w:kern w:val="1"/>
          <w:sz w:val="24"/>
          <w:lang w:eastAsia="ja-JP"/>
        </w:rPr>
        <w:t>Wigard P. Kloosterman</w:t>
      </w:r>
      <w:r w:rsidRPr="00A75C39">
        <w:rPr>
          <w:rFonts w:eastAsia="Droid Sans Fallback" w:cs="Arial"/>
          <w:color w:val="1A1A1A"/>
          <w:kern w:val="1"/>
          <w:sz w:val="24"/>
          <w:vertAlign w:val="superscript"/>
          <w:lang w:eastAsia="ja-JP"/>
        </w:rPr>
        <w:t>1,18</w:t>
      </w:r>
      <w:r w:rsidRPr="00A75C39">
        <w:rPr>
          <w:rFonts w:eastAsia="Droid Sans Fallback" w:cs="Arial"/>
          <w:color w:val="1A1A1A"/>
          <w:kern w:val="1"/>
          <w:sz w:val="24"/>
          <w:lang w:eastAsia="ja-JP"/>
        </w:rPr>
        <w:t>, Laurent C. Francioli</w:t>
      </w:r>
      <w:r w:rsidRPr="00A75C39">
        <w:rPr>
          <w:rFonts w:eastAsia="Droid Sans Fallback" w:cs="Arial"/>
          <w:color w:val="1A1A1A"/>
          <w:kern w:val="1"/>
          <w:sz w:val="24"/>
          <w:vertAlign w:val="superscript"/>
          <w:lang w:eastAsia="ja-JP"/>
        </w:rPr>
        <w:t>1,18</w:t>
      </w:r>
      <w:r w:rsidRPr="00A75C39">
        <w:rPr>
          <w:rFonts w:eastAsia="Droid Sans Fallback" w:cs="Arial"/>
          <w:color w:val="1A1A1A"/>
          <w:kern w:val="1"/>
          <w:sz w:val="24"/>
          <w:lang w:eastAsia="ja-JP"/>
        </w:rPr>
        <w:t>, Fereydoun Hormozdiari</w:t>
      </w:r>
      <w:r w:rsidRPr="00A75C39">
        <w:rPr>
          <w:rFonts w:eastAsia="Droid Sans Fallback" w:cs="Arial"/>
          <w:color w:val="1A1A1A"/>
          <w:kern w:val="1"/>
          <w:sz w:val="24"/>
          <w:vertAlign w:val="superscript"/>
          <w:lang w:eastAsia="ja-JP"/>
        </w:rPr>
        <w:t>2</w:t>
      </w:r>
      <w:r w:rsidRPr="00A75C39">
        <w:rPr>
          <w:rFonts w:eastAsia="Droid Sans Fallback" w:cs="Arial"/>
          <w:color w:val="1A1A1A"/>
          <w:kern w:val="1"/>
          <w:sz w:val="24"/>
          <w:lang w:eastAsia="ja-JP"/>
        </w:rPr>
        <w:t>, Tobias Marschall</w:t>
      </w:r>
      <w:r w:rsidRPr="00A75C39">
        <w:rPr>
          <w:rFonts w:eastAsia="Droid Sans Fallback" w:cs="Arial"/>
          <w:color w:val="1A1A1A"/>
          <w:kern w:val="1"/>
          <w:sz w:val="24"/>
          <w:vertAlign w:val="superscript"/>
          <w:lang w:eastAsia="ja-JP"/>
        </w:rPr>
        <w:t>3</w:t>
      </w:r>
      <w:r w:rsidRPr="00A75C39">
        <w:rPr>
          <w:rFonts w:eastAsia="Droid Sans Fallback" w:cs="Arial"/>
          <w:color w:val="1A1A1A"/>
          <w:kern w:val="1"/>
          <w:sz w:val="24"/>
          <w:lang w:eastAsia="ja-JP"/>
        </w:rPr>
        <w:t>, Jayne Y. Hehir-Kwa</w:t>
      </w:r>
      <w:r w:rsidRPr="00A75C39">
        <w:rPr>
          <w:rFonts w:eastAsia="Droid Sans Fallback" w:cs="Arial"/>
          <w:color w:val="1A1A1A"/>
          <w:kern w:val="1"/>
          <w:sz w:val="24"/>
          <w:vertAlign w:val="superscript"/>
          <w:lang w:eastAsia="ja-JP"/>
        </w:rPr>
        <w:t>4</w:t>
      </w:r>
      <w:r w:rsidRPr="00A75C39">
        <w:rPr>
          <w:rFonts w:eastAsia="Droid Sans Fallback" w:cs="Arial"/>
          <w:color w:val="1A1A1A"/>
          <w:kern w:val="1"/>
          <w:sz w:val="24"/>
          <w:lang w:eastAsia="ja-JP"/>
        </w:rPr>
        <w:t>, Abdel Abdellaoui</w:t>
      </w:r>
      <w:r w:rsidRPr="00A75C39">
        <w:rPr>
          <w:rFonts w:eastAsia="Droid Sans Fallback" w:cs="Arial"/>
          <w:color w:val="1A1A1A"/>
          <w:kern w:val="1"/>
          <w:sz w:val="24"/>
          <w:vertAlign w:val="superscript"/>
          <w:lang w:eastAsia="ja-JP"/>
        </w:rPr>
        <w:t>5</w:t>
      </w:r>
      <w:r w:rsidRPr="00A75C39">
        <w:rPr>
          <w:rFonts w:eastAsia="Droid Sans Fallback" w:cs="Arial"/>
          <w:color w:val="1A1A1A"/>
          <w:kern w:val="1"/>
          <w:sz w:val="24"/>
          <w:lang w:eastAsia="ja-JP"/>
        </w:rPr>
        <w:t>, Eric-Wubbo Lameijer</w:t>
      </w:r>
      <w:r w:rsidRPr="00A75C39">
        <w:rPr>
          <w:rFonts w:eastAsia="Droid Sans Fallback" w:cs="Arial"/>
          <w:color w:val="1A1A1A"/>
          <w:kern w:val="1"/>
          <w:sz w:val="24"/>
          <w:vertAlign w:val="superscript"/>
          <w:lang w:eastAsia="ja-JP"/>
        </w:rPr>
        <w:t>6</w:t>
      </w:r>
      <w:r w:rsidRPr="00A75C39">
        <w:rPr>
          <w:rFonts w:eastAsia="Droid Sans Fallback" w:cs="Arial"/>
          <w:color w:val="1A1A1A"/>
          <w:kern w:val="1"/>
          <w:sz w:val="24"/>
          <w:lang w:eastAsia="ja-JP"/>
        </w:rPr>
        <w:t>, Matthijs H. Moed</w:t>
      </w:r>
      <w:r w:rsidRPr="00A75C39">
        <w:rPr>
          <w:rFonts w:eastAsia="Droid Sans Fallback" w:cs="Arial"/>
          <w:color w:val="1A1A1A"/>
          <w:kern w:val="1"/>
          <w:sz w:val="24"/>
          <w:vertAlign w:val="superscript"/>
          <w:lang w:eastAsia="ja-JP"/>
        </w:rPr>
        <w:t>6</w:t>
      </w:r>
      <w:r w:rsidRPr="00A75C39">
        <w:rPr>
          <w:rFonts w:eastAsia="Droid Sans Fallback" w:cs="Arial"/>
          <w:color w:val="1A1A1A"/>
          <w:kern w:val="1"/>
          <w:sz w:val="24"/>
          <w:lang w:eastAsia="ja-JP"/>
        </w:rPr>
        <w:t>, Vyacheslav Koval</w:t>
      </w:r>
      <w:r w:rsidRPr="00A75C39">
        <w:rPr>
          <w:rFonts w:eastAsia="Droid Sans Fallback" w:cs="Arial"/>
          <w:color w:val="1A1A1A"/>
          <w:kern w:val="1"/>
          <w:sz w:val="24"/>
          <w:vertAlign w:val="superscript"/>
          <w:lang w:eastAsia="ja-JP"/>
        </w:rPr>
        <w:t>7</w:t>
      </w:r>
      <w:r w:rsidRPr="00A75C39">
        <w:rPr>
          <w:rFonts w:eastAsia="Droid Sans Fallback" w:cs="Arial"/>
          <w:color w:val="1A1A1A"/>
          <w:kern w:val="1"/>
          <w:sz w:val="24"/>
          <w:lang w:eastAsia="ja-JP"/>
        </w:rPr>
        <w:t>, Ivo Renkens</w:t>
      </w:r>
      <w:r w:rsidRPr="00A75C39">
        <w:rPr>
          <w:rFonts w:eastAsia="Droid Sans Fallback" w:cs="Arial"/>
          <w:color w:val="1A1A1A"/>
          <w:kern w:val="1"/>
          <w:sz w:val="24"/>
          <w:vertAlign w:val="superscript"/>
          <w:lang w:eastAsia="ja-JP"/>
        </w:rPr>
        <w:t>1</w:t>
      </w:r>
      <w:r w:rsidRPr="00A75C39">
        <w:rPr>
          <w:rFonts w:eastAsia="Droid Sans Fallback" w:cs="Arial"/>
          <w:color w:val="1A1A1A"/>
          <w:kern w:val="1"/>
          <w:sz w:val="24"/>
          <w:lang w:eastAsia="ja-JP"/>
        </w:rPr>
        <w:t>, Markus J. van Roosmalen</w:t>
      </w:r>
      <w:r w:rsidRPr="00A75C39">
        <w:rPr>
          <w:rFonts w:eastAsia="Droid Sans Fallback" w:cs="Arial"/>
          <w:color w:val="1A1A1A"/>
          <w:kern w:val="1"/>
          <w:sz w:val="24"/>
          <w:vertAlign w:val="superscript"/>
          <w:lang w:eastAsia="ja-JP"/>
        </w:rPr>
        <w:t>1</w:t>
      </w:r>
      <w:r w:rsidRPr="00A75C39">
        <w:rPr>
          <w:rFonts w:eastAsia="Droid Sans Fallback" w:cs="Arial"/>
          <w:color w:val="1A1A1A"/>
          <w:kern w:val="1"/>
          <w:sz w:val="24"/>
          <w:lang w:eastAsia="ja-JP"/>
        </w:rPr>
        <w:t>, Pascal Arp</w:t>
      </w:r>
      <w:r w:rsidRPr="00A75C39">
        <w:rPr>
          <w:rFonts w:eastAsia="Droid Sans Fallback" w:cs="Arial"/>
          <w:color w:val="1A1A1A"/>
          <w:kern w:val="1"/>
          <w:sz w:val="24"/>
          <w:vertAlign w:val="superscript"/>
          <w:lang w:eastAsia="ja-JP"/>
        </w:rPr>
        <w:t>7</w:t>
      </w:r>
      <w:r w:rsidRPr="00A75C39">
        <w:rPr>
          <w:rFonts w:eastAsia="Droid Sans Fallback" w:cs="Arial"/>
          <w:color w:val="1A1A1A"/>
          <w:kern w:val="1"/>
          <w:sz w:val="24"/>
          <w:lang w:eastAsia="ja-JP"/>
        </w:rPr>
        <w:t>, Lennart C. Karssen</w:t>
      </w:r>
      <w:r w:rsidRPr="00A75C39">
        <w:rPr>
          <w:rFonts w:eastAsia="Droid Sans Fallback" w:cs="Arial"/>
          <w:color w:val="1A1A1A"/>
          <w:kern w:val="1"/>
          <w:sz w:val="24"/>
          <w:vertAlign w:val="superscript"/>
          <w:lang w:eastAsia="ja-JP"/>
        </w:rPr>
        <w:t>8</w:t>
      </w:r>
      <w:r w:rsidRPr="00A75C39">
        <w:rPr>
          <w:rFonts w:eastAsia="Droid Sans Fallback" w:cs="Arial"/>
          <w:color w:val="1A1A1A"/>
          <w:kern w:val="1"/>
          <w:sz w:val="24"/>
          <w:lang w:eastAsia="ja-JP"/>
        </w:rPr>
        <w:t>, Bradley P. Coe</w:t>
      </w:r>
      <w:r w:rsidRPr="00A75C39">
        <w:rPr>
          <w:rFonts w:eastAsia="Droid Sans Fallback" w:cs="Arial"/>
          <w:color w:val="1A1A1A"/>
          <w:kern w:val="1"/>
          <w:sz w:val="24"/>
          <w:vertAlign w:val="superscript"/>
          <w:lang w:eastAsia="ja-JP"/>
        </w:rPr>
        <w:t>2</w:t>
      </w:r>
      <w:r w:rsidRPr="00A75C39">
        <w:rPr>
          <w:rFonts w:eastAsia="Droid Sans Fallback" w:cs="Arial"/>
          <w:color w:val="1A1A1A"/>
          <w:kern w:val="1"/>
          <w:sz w:val="24"/>
          <w:lang w:eastAsia="ja-JP"/>
        </w:rPr>
        <w:t>, Robert E. Handsaker</w:t>
      </w:r>
      <w:r w:rsidRPr="00A75C39">
        <w:rPr>
          <w:rFonts w:eastAsia="Droid Sans Fallback" w:cs="Arial"/>
          <w:color w:val="1A1A1A"/>
          <w:kern w:val="1"/>
          <w:sz w:val="24"/>
          <w:vertAlign w:val="superscript"/>
          <w:lang w:eastAsia="ja-JP"/>
        </w:rPr>
        <w:t>9</w:t>
      </w:r>
      <w:r w:rsidRPr="00A75C39">
        <w:rPr>
          <w:rFonts w:eastAsia="Droid Sans Fallback" w:cs="Arial"/>
          <w:color w:val="1A1A1A"/>
          <w:kern w:val="1"/>
          <w:sz w:val="24"/>
          <w:lang w:eastAsia="ja-JP"/>
        </w:rPr>
        <w:t xml:space="preserve">, Eka </w:t>
      </w:r>
      <w:r w:rsidRPr="00A75C39">
        <w:rPr>
          <w:rFonts w:eastAsia="Droid Sans Fallback" w:cs="Arial"/>
          <w:kern w:val="1"/>
          <w:sz w:val="24"/>
          <w:lang w:eastAsia="ja-JP"/>
        </w:rPr>
        <w:t>D. Suchiman</w:t>
      </w:r>
      <w:r w:rsidRPr="00A75C39">
        <w:rPr>
          <w:rFonts w:eastAsia="Droid Sans Fallback" w:cs="Arial"/>
          <w:kern w:val="1"/>
          <w:sz w:val="24"/>
          <w:vertAlign w:val="superscript"/>
          <w:lang w:eastAsia="ja-JP"/>
        </w:rPr>
        <w:t>6</w:t>
      </w:r>
      <w:r w:rsidRPr="00A75C39">
        <w:rPr>
          <w:rFonts w:eastAsia="Droid Sans Fallback" w:cs="Arial"/>
          <w:kern w:val="1"/>
          <w:sz w:val="24"/>
          <w:lang w:eastAsia="ja-JP"/>
        </w:rPr>
        <w:t xml:space="preserve">, </w:t>
      </w:r>
      <w:r w:rsidRPr="00A75C39">
        <w:rPr>
          <w:rFonts w:eastAsia="Droid Sans Fallback" w:cs="Arial"/>
          <w:color w:val="1A1A1A"/>
          <w:kern w:val="1"/>
          <w:sz w:val="24"/>
          <w:lang w:eastAsia="ja-JP"/>
        </w:rPr>
        <w:t>Edwin Cuppen</w:t>
      </w:r>
      <w:r w:rsidRPr="00A75C39">
        <w:rPr>
          <w:rFonts w:eastAsia="Droid Sans Fallback" w:cs="Arial"/>
          <w:color w:val="1A1A1A"/>
          <w:kern w:val="1"/>
          <w:sz w:val="24"/>
          <w:vertAlign w:val="superscript"/>
          <w:lang w:eastAsia="ja-JP"/>
        </w:rPr>
        <w:t>1</w:t>
      </w:r>
      <w:r w:rsidRPr="00A75C39">
        <w:rPr>
          <w:rFonts w:eastAsia="Droid Sans Fallback" w:cs="Arial"/>
          <w:color w:val="1A1A1A"/>
          <w:kern w:val="1"/>
          <w:sz w:val="24"/>
          <w:lang w:eastAsia="ja-JP"/>
        </w:rPr>
        <w:t>, Djie T. Thung</w:t>
      </w:r>
      <w:r w:rsidRPr="00A75C39">
        <w:rPr>
          <w:rFonts w:eastAsia="Droid Sans Fallback" w:cs="Arial"/>
          <w:color w:val="1A1A1A"/>
          <w:kern w:val="1"/>
          <w:sz w:val="24"/>
          <w:vertAlign w:val="superscript"/>
          <w:lang w:eastAsia="ja-JP"/>
        </w:rPr>
        <w:t>4</w:t>
      </w:r>
      <w:r w:rsidRPr="00A75C39">
        <w:rPr>
          <w:rFonts w:eastAsia="Droid Sans Fallback" w:cs="Arial"/>
          <w:color w:val="1A1A1A"/>
          <w:kern w:val="1"/>
          <w:sz w:val="24"/>
          <w:lang w:eastAsia="ja-JP"/>
        </w:rPr>
        <w:t>, Mitch McVey</w:t>
      </w:r>
      <w:r w:rsidRPr="00A75C39">
        <w:rPr>
          <w:rFonts w:eastAsia="Droid Sans Fallback" w:cs="Arial"/>
          <w:color w:val="1A1A1A"/>
          <w:kern w:val="1"/>
          <w:sz w:val="24"/>
          <w:vertAlign w:val="superscript"/>
          <w:lang w:eastAsia="ja-JP"/>
        </w:rPr>
        <w:t>10</w:t>
      </w:r>
      <w:r w:rsidRPr="00A75C39">
        <w:rPr>
          <w:rFonts w:eastAsia="Droid Sans Fallback" w:cs="Arial"/>
          <w:color w:val="1A1A1A"/>
          <w:kern w:val="1"/>
          <w:sz w:val="24"/>
          <w:lang w:eastAsia="ja-JP"/>
        </w:rPr>
        <w:t xml:space="preserve">, </w:t>
      </w:r>
      <w:r w:rsidRPr="00A75C39">
        <w:rPr>
          <w:rFonts w:eastAsia="Droid Sans Fallback" w:cs="Arial"/>
          <w:kern w:val="1"/>
          <w:sz w:val="24"/>
          <w:lang w:eastAsia="ja-JP"/>
        </w:rPr>
        <w:t>Michael C. Wendl</w:t>
      </w:r>
      <w:r w:rsidRPr="00A75C39">
        <w:rPr>
          <w:rFonts w:eastAsia="Droid Sans Fallback" w:cs="Arial"/>
          <w:kern w:val="1"/>
          <w:sz w:val="24"/>
          <w:vertAlign w:val="superscript"/>
          <w:lang w:eastAsia="ja-JP"/>
        </w:rPr>
        <w:t>11,12</w:t>
      </w:r>
      <w:r w:rsidRPr="00A75C39">
        <w:rPr>
          <w:rFonts w:eastAsia="Droid Sans Fallback" w:cs="Arial"/>
          <w:color w:val="1A1A1A"/>
          <w:kern w:val="1"/>
          <w:sz w:val="24"/>
          <w:lang w:eastAsia="ja-JP"/>
        </w:rPr>
        <w:t>, Genome of the Netherlands Consortium, Andre Uitterlinden</w:t>
      </w:r>
      <w:r w:rsidRPr="00A75C39">
        <w:rPr>
          <w:rFonts w:eastAsia="Droid Sans Fallback" w:cs="Arial"/>
          <w:color w:val="1A1A1A"/>
          <w:kern w:val="1"/>
          <w:sz w:val="24"/>
          <w:vertAlign w:val="superscript"/>
          <w:lang w:eastAsia="ja-JP"/>
        </w:rPr>
        <w:t>7</w:t>
      </w:r>
      <w:r w:rsidRPr="00A75C39">
        <w:rPr>
          <w:rFonts w:eastAsia="Droid Sans Fallback" w:cs="Arial"/>
          <w:color w:val="1A1A1A"/>
          <w:kern w:val="1"/>
          <w:sz w:val="24"/>
          <w:lang w:eastAsia="ja-JP"/>
        </w:rPr>
        <w:t xml:space="preserve">, </w:t>
      </w:r>
      <w:r w:rsidRPr="00A75C39">
        <w:rPr>
          <w:rFonts w:eastAsia="Droid Sans Fallback" w:cs="Arial"/>
          <w:kern w:val="1"/>
          <w:sz w:val="24"/>
          <w:lang w:eastAsia="ja-JP"/>
        </w:rPr>
        <w:t>Cornelia M. van Duijn</w:t>
      </w:r>
      <w:r w:rsidRPr="00A75C39">
        <w:rPr>
          <w:rFonts w:eastAsia="Droid Sans Fallback" w:cs="Arial"/>
          <w:kern w:val="1"/>
          <w:sz w:val="24"/>
          <w:vertAlign w:val="superscript"/>
          <w:lang w:eastAsia="ja-JP"/>
        </w:rPr>
        <w:t>8</w:t>
      </w:r>
      <w:r w:rsidRPr="00A75C39">
        <w:rPr>
          <w:rFonts w:eastAsia="Droid Sans Fallback" w:cs="Arial"/>
          <w:kern w:val="1"/>
          <w:sz w:val="24"/>
          <w:lang w:eastAsia="ja-JP"/>
        </w:rPr>
        <w:t>, Morris Swertz</w:t>
      </w:r>
      <w:r w:rsidRPr="00A75C39">
        <w:rPr>
          <w:rFonts w:eastAsia="Droid Sans Fallback" w:cs="Arial"/>
          <w:kern w:val="1"/>
          <w:sz w:val="24"/>
          <w:vertAlign w:val="superscript"/>
          <w:lang w:eastAsia="ja-JP"/>
        </w:rPr>
        <w:t>13,14</w:t>
      </w:r>
      <w:r w:rsidRPr="00A75C39">
        <w:rPr>
          <w:rFonts w:eastAsia="Droid Sans Fallback" w:cs="Arial"/>
          <w:kern w:val="1"/>
          <w:sz w:val="24"/>
          <w:lang w:eastAsia="ja-JP"/>
        </w:rPr>
        <w:t xml:space="preserve">, </w:t>
      </w:r>
      <w:r w:rsidRPr="00A75C39">
        <w:rPr>
          <w:rFonts w:eastAsia="Droid Sans Fallback" w:cs="Arial"/>
          <w:color w:val="1A1A1A"/>
          <w:kern w:val="1"/>
          <w:sz w:val="24"/>
          <w:lang w:eastAsia="ja-JP"/>
        </w:rPr>
        <w:t>Cisca Wijmenga</w:t>
      </w:r>
      <w:r w:rsidRPr="00A75C39">
        <w:rPr>
          <w:rFonts w:eastAsia="Droid Sans Fallback" w:cs="Arial"/>
          <w:color w:val="1A1A1A"/>
          <w:kern w:val="1"/>
          <w:sz w:val="24"/>
          <w:vertAlign w:val="superscript"/>
          <w:lang w:eastAsia="ja-JP"/>
        </w:rPr>
        <w:t>13,14</w:t>
      </w:r>
      <w:r w:rsidRPr="00A75C39">
        <w:rPr>
          <w:rFonts w:eastAsia="Droid Sans Fallback" w:cs="Arial"/>
          <w:color w:val="1A1A1A"/>
          <w:kern w:val="1"/>
          <w:sz w:val="24"/>
          <w:lang w:eastAsia="ja-JP"/>
        </w:rPr>
        <w:t>, Gertjan van Ommen</w:t>
      </w:r>
      <w:r w:rsidRPr="00A75C39">
        <w:rPr>
          <w:rFonts w:eastAsia="Droid Sans Fallback" w:cs="Arial"/>
          <w:color w:val="1A1A1A"/>
          <w:kern w:val="1"/>
          <w:sz w:val="24"/>
          <w:vertAlign w:val="superscript"/>
          <w:lang w:eastAsia="ja-JP"/>
        </w:rPr>
        <w:t>15</w:t>
      </w:r>
      <w:r w:rsidRPr="00A75C39">
        <w:rPr>
          <w:rFonts w:eastAsia="Droid Sans Fallback" w:cs="Arial"/>
          <w:color w:val="1A1A1A"/>
          <w:kern w:val="1"/>
          <w:sz w:val="24"/>
          <w:lang w:eastAsia="ja-JP"/>
        </w:rPr>
        <w:t>, P. Eline Slagboom</w:t>
      </w:r>
      <w:r w:rsidRPr="00A75C39">
        <w:rPr>
          <w:rFonts w:eastAsia="Droid Sans Fallback" w:cs="Arial"/>
          <w:color w:val="1A1A1A"/>
          <w:kern w:val="1"/>
          <w:sz w:val="24"/>
          <w:vertAlign w:val="superscript"/>
          <w:lang w:eastAsia="ja-JP"/>
        </w:rPr>
        <w:t>6</w:t>
      </w:r>
      <w:r w:rsidRPr="00A75C39">
        <w:rPr>
          <w:rFonts w:eastAsia="Droid Sans Fallback" w:cs="Arial"/>
          <w:color w:val="1A1A1A"/>
          <w:kern w:val="1"/>
          <w:sz w:val="24"/>
          <w:lang w:eastAsia="ja-JP"/>
        </w:rPr>
        <w:t>, Dorret I. Boomsma</w:t>
      </w:r>
      <w:r w:rsidRPr="00A75C39">
        <w:rPr>
          <w:rFonts w:eastAsia="Droid Sans Fallback" w:cs="Arial"/>
          <w:color w:val="1A1A1A"/>
          <w:kern w:val="1"/>
          <w:sz w:val="24"/>
          <w:vertAlign w:val="superscript"/>
          <w:lang w:eastAsia="ja-JP"/>
        </w:rPr>
        <w:t>5</w:t>
      </w:r>
      <w:r w:rsidRPr="00A75C39">
        <w:rPr>
          <w:rFonts w:eastAsia="Droid Sans Fallback" w:cs="Arial"/>
          <w:color w:val="1A1A1A"/>
          <w:kern w:val="1"/>
          <w:sz w:val="24"/>
          <w:lang w:eastAsia="ja-JP"/>
        </w:rPr>
        <w:t>, Alexander Schönhuth</w:t>
      </w:r>
      <w:r w:rsidRPr="00A75C39">
        <w:rPr>
          <w:rFonts w:eastAsia="Droid Sans Fallback" w:cs="Arial"/>
          <w:color w:val="1A1A1A"/>
          <w:kern w:val="1"/>
          <w:sz w:val="24"/>
          <w:vertAlign w:val="superscript"/>
          <w:lang w:eastAsia="ja-JP"/>
        </w:rPr>
        <w:t>3</w:t>
      </w:r>
      <w:r w:rsidRPr="00A75C39">
        <w:rPr>
          <w:rFonts w:eastAsia="Droid Sans Fallback" w:cs="Arial"/>
          <w:color w:val="1A1A1A"/>
          <w:kern w:val="1"/>
          <w:sz w:val="24"/>
          <w:lang w:eastAsia="ja-JP"/>
        </w:rPr>
        <w:t>, Evan E. Eichler</w:t>
      </w:r>
      <w:r w:rsidRPr="00A75C39">
        <w:rPr>
          <w:rFonts w:eastAsia="Droid Sans Fallback" w:cs="Arial"/>
          <w:color w:val="1A1A1A"/>
          <w:kern w:val="1"/>
          <w:sz w:val="24"/>
          <w:vertAlign w:val="superscript"/>
          <w:lang w:eastAsia="ja-JP"/>
        </w:rPr>
        <w:t>2</w:t>
      </w:r>
      <w:r w:rsidRPr="00A75C39">
        <w:rPr>
          <w:rFonts w:eastAsia="Droid Sans Fallback" w:cs="Arial"/>
          <w:color w:val="1A1A1A"/>
          <w:kern w:val="1"/>
          <w:sz w:val="24"/>
          <w:lang w:eastAsia="ja-JP"/>
        </w:rPr>
        <w:t>,</w:t>
      </w:r>
      <w:r w:rsidRPr="00A75C39">
        <w:rPr>
          <w:rFonts w:eastAsia="Droid Sans Fallback" w:cs="Arial"/>
          <w:kern w:val="1"/>
          <w:sz w:val="24"/>
          <w:lang w:eastAsia="ja-JP"/>
        </w:rPr>
        <w:t xml:space="preserve"> Paul I. W. de Bakker</w:t>
      </w:r>
      <w:r w:rsidRPr="00A75C39">
        <w:rPr>
          <w:rFonts w:eastAsia="Droid Sans Fallback" w:cs="Arial"/>
          <w:kern w:val="1"/>
          <w:sz w:val="24"/>
          <w:vertAlign w:val="superscript"/>
          <w:lang w:eastAsia="ja-JP"/>
        </w:rPr>
        <w:t>1,16</w:t>
      </w:r>
      <w:r w:rsidRPr="00A75C39">
        <w:rPr>
          <w:rFonts w:eastAsia="Droid Sans Fallback" w:cs="Arial"/>
          <w:color w:val="1A1A1A"/>
          <w:kern w:val="1"/>
          <w:sz w:val="24"/>
          <w:lang w:eastAsia="ja-JP"/>
        </w:rPr>
        <w:t>, Kai Ye</w:t>
      </w:r>
      <w:r w:rsidRPr="00A75C39">
        <w:rPr>
          <w:rFonts w:eastAsia="Droid Sans Fallback" w:cs="Arial"/>
          <w:color w:val="1A1A1A"/>
          <w:kern w:val="1"/>
          <w:sz w:val="24"/>
          <w:vertAlign w:val="superscript"/>
          <w:lang w:eastAsia="ja-JP"/>
        </w:rPr>
        <w:t>11,*</w:t>
      </w:r>
      <w:r w:rsidRPr="00A75C39">
        <w:rPr>
          <w:rFonts w:eastAsia="Droid Sans Fallback" w:cs="Arial"/>
          <w:color w:val="1A1A1A"/>
          <w:kern w:val="1"/>
          <w:sz w:val="24"/>
          <w:lang w:eastAsia="ja-JP"/>
        </w:rPr>
        <w:t xml:space="preserve"> and Victor Guryev</w:t>
      </w:r>
      <w:r w:rsidRPr="00A75C39">
        <w:rPr>
          <w:rFonts w:eastAsia="Droid Sans Fallback" w:cs="Arial"/>
          <w:color w:val="1A1A1A"/>
          <w:kern w:val="1"/>
          <w:sz w:val="24"/>
          <w:vertAlign w:val="superscript"/>
          <w:lang w:eastAsia="ja-JP"/>
        </w:rPr>
        <w:t>17,*</w:t>
      </w:r>
    </w:p>
    <w:p w14:paraId="3487B164" w14:textId="77777777" w:rsidR="00A75C39" w:rsidRPr="00A75C39" w:rsidRDefault="00A75C39" w:rsidP="00A75C39">
      <w:pPr>
        <w:suppressAutoHyphens/>
        <w:spacing w:line="480" w:lineRule="auto"/>
        <w:jc w:val="left"/>
        <w:rPr>
          <w:rFonts w:eastAsia="Times New Roman" w:cs="Arial"/>
          <w:kern w:val="1"/>
          <w:sz w:val="24"/>
          <w:lang w:eastAsia="ja-JP"/>
        </w:rPr>
      </w:pPr>
    </w:p>
    <w:p w14:paraId="54AD06EB"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1</w:t>
      </w:r>
      <w:r w:rsidRPr="00A75C39">
        <w:rPr>
          <w:rFonts w:eastAsia="Droid Sans Fallback" w:cs="Arial"/>
          <w:kern w:val="1"/>
          <w:sz w:val="24"/>
          <w:lang w:eastAsia="ja-JP"/>
        </w:rPr>
        <w:t xml:space="preserve"> Department of Medical Genetics, University Medical Center Utrecht, Utrecht, 3584CG, The Netherlands </w:t>
      </w:r>
    </w:p>
    <w:p w14:paraId="0CEF4B0D" w14:textId="77777777" w:rsidR="00A75C39" w:rsidRPr="00A75C39" w:rsidRDefault="00A75C39" w:rsidP="00A75C39">
      <w:pPr>
        <w:suppressAutoHyphens/>
        <w:spacing w:line="480" w:lineRule="auto"/>
        <w:jc w:val="left"/>
        <w:outlineLvl w:val="0"/>
        <w:rPr>
          <w:rFonts w:eastAsia="Times New Roman" w:cs="Arial"/>
          <w:kern w:val="1"/>
          <w:sz w:val="24"/>
          <w:lang w:eastAsia="ja-JP"/>
        </w:rPr>
      </w:pPr>
      <w:r w:rsidRPr="00A75C39">
        <w:rPr>
          <w:rFonts w:eastAsia="Times New Roman" w:cs="Arial"/>
          <w:kern w:val="1"/>
          <w:sz w:val="24"/>
          <w:vertAlign w:val="superscript"/>
          <w:lang w:eastAsia="ja-JP"/>
        </w:rPr>
        <w:t xml:space="preserve">2 </w:t>
      </w:r>
      <w:r w:rsidRPr="00A75C39">
        <w:rPr>
          <w:rFonts w:eastAsia="Times New Roman" w:cs="Arial"/>
          <w:kern w:val="1"/>
          <w:sz w:val="24"/>
          <w:lang w:eastAsia="ja-JP"/>
        </w:rPr>
        <w:t>Department of Genome Sciences, University of Washington, Seattle, 98105, USA</w:t>
      </w:r>
    </w:p>
    <w:p w14:paraId="531EF7DB"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3</w:t>
      </w:r>
      <w:r w:rsidRPr="00A75C39">
        <w:rPr>
          <w:rFonts w:eastAsia="Droid Sans Fallback" w:cs="Arial"/>
          <w:kern w:val="1"/>
          <w:sz w:val="24"/>
          <w:lang w:eastAsia="ja-JP"/>
        </w:rPr>
        <w:t xml:space="preserve"> Life Sciences Group, Centrum voor Wiskunde en Informatica, Amsterdam, 1098XG, The Netherlands</w:t>
      </w:r>
    </w:p>
    <w:p w14:paraId="661766FF"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4</w:t>
      </w:r>
      <w:r w:rsidRPr="00A75C39">
        <w:rPr>
          <w:rFonts w:eastAsia="Droid Sans Fallback" w:cs="Arial"/>
          <w:kern w:val="1"/>
          <w:sz w:val="24"/>
          <w:lang w:eastAsia="ja-JP"/>
        </w:rPr>
        <w:t xml:space="preserve"> Department of Human Genetics, Radboud University Medical Center, Nijmegen, 6525GA, The Netherlands. </w:t>
      </w:r>
    </w:p>
    <w:p w14:paraId="2AD727B2"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lastRenderedPageBreak/>
        <w:t>5</w:t>
      </w:r>
      <w:r w:rsidRPr="00A75C39">
        <w:rPr>
          <w:rFonts w:eastAsia="Droid Sans Fallback" w:cs="Arial"/>
          <w:kern w:val="1"/>
          <w:sz w:val="24"/>
          <w:lang w:eastAsia="ja-JP"/>
        </w:rPr>
        <w:t xml:space="preserve"> Department of Biological Psychology, VU University Amsterdam, Amsterdam, 1081BT, The Netherlands</w:t>
      </w:r>
    </w:p>
    <w:p w14:paraId="1B1A9016"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6</w:t>
      </w:r>
      <w:r w:rsidRPr="00A75C39">
        <w:rPr>
          <w:rFonts w:eastAsia="Droid Sans Fallback" w:cs="Arial"/>
          <w:kern w:val="1"/>
          <w:sz w:val="24"/>
          <w:lang w:eastAsia="ja-JP"/>
        </w:rPr>
        <w:t xml:space="preserve"> Department of Medical Statistics and Bioinformatics, Leiden University Medical Center, Leiden, 2300RC, The Netherlands</w:t>
      </w:r>
    </w:p>
    <w:p w14:paraId="65166D36"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7</w:t>
      </w:r>
      <w:r w:rsidRPr="00A75C39">
        <w:rPr>
          <w:rFonts w:eastAsia="Droid Sans Fallback" w:cs="Arial"/>
          <w:kern w:val="1"/>
          <w:sz w:val="24"/>
          <w:lang w:eastAsia="ja-JP"/>
        </w:rPr>
        <w:t xml:space="preserve"> Department of Internal Medicine, Erasmus Medical Center, Rotterdam, 3000CA, The Netherlands</w:t>
      </w:r>
    </w:p>
    <w:p w14:paraId="2868ACED" w14:textId="77777777" w:rsidR="00A75C39" w:rsidRPr="00A75C39" w:rsidRDefault="00A75C39" w:rsidP="00A75C39">
      <w:pPr>
        <w:suppressAutoHyphens/>
        <w:spacing w:after="120" w:line="480" w:lineRule="auto"/>
        <w:outlineLvl w:val="0"/>
        <w:rPr>
          <w:rFonts w:eastAsia="Droid Sans Fallback" w:cs="Arial"/>
          <w:kern w:val="1"/>
          <w:sz w:val="24"/>
          <w:lang w:eastAsia="ja-JP"/>
        </w:rPr>
      </w:pPr>
      <w:r w:rsidRPr="00A75C39">
        <w:rPr>
          <w:rFonts w:eastAsia="Droid Sans Fallback" w:cs="Arial"/>
          <w:kern w:val="1"/>
          <w:sz w:val="24"/>
          <w:vertAlign w:val="superscript"/>
          <w:lang w:eastAsia="ja-JP"/>
        </w:rPr>
        <w:t>8</w:t>
      </w:r>
      <w:r w:rsidRPr="00A75C39">
        <w:rPr>
          <w:rFonts w:eastAsia="Droid Sans Fallback" w:cs="Arial"/>
          <w:kern w:val="1"/>
          <w:sz w:val="24"/>
          <w:lang w:eastAsia="ja-JP"/>
        </w:rPr>
        <w:t xml:space="preserve"> Department of Epidemiology, Erasmus Medical Center, Rotterdam, 3000CA, The Netherlands</w:t>
      </w:r>
    </w:p>
    <w:p w14:paraId="52BEC0AF" w14:textId="77777777" w:rsidR="00A75C39" w:rsidRPr="00A75C39" w:rsidRDefault="00A75C39" w:rsidP="00A75C39">
      <w:pPr>
        <w:suppressAutoHyphens/>
        <w:spacing w:after="120" w:line="480" w:lineRule="auto"/>
        <w:rPr>
          <w:rFonts w:eastAsia="Droid Sans Fallback" w:cs="Arial"/>
          <w:kern w:val="1"/>
          <w:sz w:val="24"/>
          <w:szCs w:val="20"/>
          <w:lang w:eastAsia="ja-JP"/>
        </w:rPr>
      </w:pPr>
      <w:r w:rsidRPr="00A75C39">
        <w:rPr>
          <w:rFonts w:eastAsia="Droid Sans Fallback" w:cs="Arial"/>
          <w:kern w:val="1"/>
          <w:sz w:val="24"/>
          <w:vertAlign w:val="superscript"/>
          <w:lang w:eastAsia="ja-JP"/>
        </w:rPr>
        <w:t xml:space="preserve">9 </w:t>
      </w:r>
      <w:r w:rsidRPr="00A75C39">
        <w:rPr>
          <w:rFonts w:eastAsia="Droid Sans Fallback" w:cs="Arial"/>
          <w:kern w:val="1"/>
          <w:sz w:val="24"/>
          <w:szCs w:val="20"/>
          <w:lang w:eastAsia="ja-JP"/>
        </w:rPr>
        <w:t>Department of Genetics, Harvard Medical School, Boston, MA 02115, USA</w:t>
      </w:r>
    </w:p>
    <w:p w14:paraId="7AF2E970" w14:textId="77777777" w:rsidR="00A75C39" w:rsidRPr="00A75C39" w:rsidRDefault="00A75C39" w:rsidP="00A75C39">
      <w:pPr>
        <w:suppressAutoHyphens/>
        <w:spacing w:after="120" w:line="480" w:lineRule="auto"/>
        <w:rPr>
          <w:rFonts w:ascii="Times" w:eastAsia="Times New Roman" w:hAnsi="Times" w:cs="Times New Roman"/>
          <w:szCs w:val="20"/>
        </w:rPr>
      </w:pPr>
      <w:r w:rsidRPr="00A75C39">
        <w:rPr>
          <w:rFonts w:eastAsia="Droid Sans Fallback" w:cs="Arial"/>
          <w:kern w:val="1"/>
          <w:sz w:val="24"/>
          <w:szCs w:val="20"/>
          <w:vertAlign w:val="superscript"/>
          <w:lang w:eastAsia="ja-JP"/>
        </w:rPr>
        <w:t>10</w:t>
      </w:r>
      <w:r w:rsidRPr="00A75C39">
        <w:rPr>
          <w:rFonts w:eastAsia="Times New Roman" w:cs="Times New Roman"/>
          <w:color w:val="000000"/>
          <w:sz w:val="24"/>
          <w:shd w:val="clear" w:color="auto" w:fill="FFFFFF"/>
        </w:rPr>
        <w:t xml:space="preserve"> Department of Biology, Tufts University, Medford, MA 02115, USA</w:t>
      </w:r>
    </w:p>
    <w:p w14:paraId="53F27528"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11</w:t>
      </w:r>
      <w:r w:rsidRPr="00A75C39">
        <w:rPr>
          <w:rFonts w:eastAsia="Droid Sans Fallback" w:cs="Arial"/>
          <w:kern w:val="1"/>
          <w:sz w:val="24"/>
          <w:lang w:eastAsia="ja-JP"/>
        </w:rPr>
        <w:t xml:space="preserve"> The Genome Institute, Washington University, St. Louis, MO 63108, USA</w:t>
      </w:r>
    </w:p>
    <w:p w14:paraId="178568F5" w14:textId="77777777" w:rsidR="00A75C39" w:rsidRPr="00A75C39" w:rsidRDefault="00A75C39" w:rsidP="00A75C39">
      <w:pPr>
        <w:suppressAutoHyphens/>
        <w:spacing w:after="120" w:line="480" w:lineRule="auto"/>
        <w:rPr>
          <w:rFonts w:eastAsia="Droid Sans Fallback" w:cs="Arial"/>
          <w:kern w:val="1"/>
          <w:sz w:val="24"/>
          <w:vertAlign w:val="superscript"/>
          <w:lang w:eastAsia="ja-JP"/>
        </w:rPr>
      </w:pPr>
      <w:r w:rsidRPr="00A75C39">
        <w:rPr>
          <w:rFonts w:eastAsia="Droid Sans Fallback" w:cs="Arial"/>
          <w:kern w:val="1"/>
          <w:sz w:val="24"/>
          <w:vertAlign w:val="superscript"/>
          <w:lang w:eastAsia="ja-JP"/>
        </w:rPr>
        <w:t>12</w:t>
      </w:r>
      <w:r w:rsidRPr="00A75C39">
        <w:rPr>
          <w:rFonts w:eastAsia="Droid Sans Fallback" w:cs="Arial"/>
          <w:kern w:val="1"/>
          <w:sz w:val="24"/>
          <w:lang w:eastAsia="ja-JP"/>
        </w:rPr>
        <w:t xml:space="preserve"> Department of Mathematics, Washington University, St. Louis, MO 63108, USA</w:t>
      </w:r>
    </w:p>
    <w:p w14:paraId="74184848" w14:textId="77777777" w:rsidR="00A75C39" w:rsidRPr="00A75C39" w:rsidRDefault="00A75C39" w:rsidP="00A75C39">
      <w:pPr>
        <w:widowControl w:val="0"/>
        <w:suppressAutoHyphens/>
        <w:autoSpaceDE w:val="0"/>
        <w:autoSpaceDN w:val="0"/>
        <w:adjustRightInd w:val="0"/>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13</w:t>
      </w:r>
      <w:r w:rsidRPr="00A75C39">
        <w:rPr>
          <w:rFonts w:eastAsia="Droid Sans Fallback" w:cs="Arial"/>
          <w:kern w:val="1"/>
          <w:sz w:val="24"/>
          <w:lang w:eastAsia="ja-JP"/>
        </w:rPr>
        <w:t xml:space="preserve"> Department of Genetics, University of Groningen, University Medical Center Groningen, Groningen, 9700RB, The Netherlands</w:t>
      </w:r>
    </w:p>
    <w:p w14:paraId="6299E4B8" w14:textId="77777777" w:rsidR="00A75C39" w:rsidRPr="00A75C39" w:rsidRDefault="00A75C39" w:rsidP="00A75C39">
      <w:pPr>
        <w:widowControl w:val="0"/>
        <w:suppressAutoHyphens/>
        <w:autoSpaceDE w:val="0"/>
        <w:autoSpaceDN w:val="0"/>
        <w:adjustRightInd w:val="0"/>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14</w:t>
      </w:r>
      <w:r w:rsidRPr="00A75C39">
        <w:rPr>
          <w:rFonts w:eastAsia="Droid Sans Fallback" w:cs="Arial"/>
          <w:kern w:val="1"/>
          <w:sz w:val="24"/>
          <w:lang w:eastAsia="ja-JP"/>
        </w:rPr>
        <w:t xml:space="preserve"> Genomics Coordination Center, University of Groningen, University Medical Center Groningen, Groningen, 9700RB, The Netherlands</w:t>
      </w:r>
    </w:p>
    <w:p w14:paraId="44E85CB5"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15</w:t>
      </w:r>
      <w:r w:rsidRPr="00A75C39">
        <w:rPr>
          <w:rFonts w:eastAsia="Droid Sans Fallback" w:cs="Arial"/>
          <w:kern w:val="1"/>
          <w:sz w:val="24"/>
          <w:lang w:eastAsia="ja-JP"/>
        </w:rPr>
        <w:t xml:space="preserve"> Department of Human Genetics, Leiden University Medical Center, Leiden, 2300RC, The Netherlands</w:t>
      </w:r>
    </w:p>
    <w:p w14:paraId="21395AE1"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16</w:t>
      </w:r>
      <w:r w:rsidRPr="00A75C39">
        <w:rPr>
          <w:rFonts w:eastAsia="Droid Sans Fallback" w:cs="Arial"/>
          <w:kern w:val="1"/>
          <w:sz w:val="24"/>
          <w:lang w:eastAsia="ja-JP"/>
        </w:rPr>
        <w:t xml:space="preserve"> Department of Epidemiology, University Medical Center Utrecht, Utrecht, 3584CG, The Netherlands</w:t>
      </w:r>
    </w:p>
    <w:p w14:paraId="30603C63"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17</w:t>
      </w:r>
      <w:r w:rsidRPr="00A75C39">
        <w:rPr>
          <w:rFonts w:eastAsia="Droid Sans Fallback" w:cs="Arial"/>
          <w:kern w:val="1"/>
          <w:sz w:val="24"/>
          <w:lang w:eastAsia="ja-JP"/>
        </w:rPr>
        <w:t xml:space="preserve"> European Research Institute for the Biology of Ageing, University of Groningen, University Medical Center Groningen, Groningen, 9713AD, The Netherlands</w:t>
      </w:r>
    </w:p>
    <w:p w14:paraId="76F962DA" w14:textId="77777777" w:rsidR="00A75C39" w:rsidRPr="00A75C39" w:rsidRDefault="00A75C39" w:rsidP="00A75C39">
      <w:pPr>
        <w:suppressAutoHyphens/>
        <w:spacing w:after="120" w:line="480" w:lineRule="auto"/>
        <w:rPr>
          <w:rFonts w:eastAsia="Droid Sans Fallback" w:cs="Arial"/>
          <w:kern w:val="1"/>
          <w:sz w:val="24"/>
          <w:lang w:eastAsia="ja-JP"/>
        </w:rPr>
      </w:pPr>
      <w:r w:rsidRPr="00A75C39">
        <w:rPr>
          <w:rFonts w:eastAsia="Droid Sans Fallback" w:cs="Arial"/>
          <w:kern w:val="1"/>
          <w:sz w:val="24"/>
          <w:vertAlign w:val="superscript"/>
          <w:lang w:eastAsia="ja-JP"/>
        </w:rPr>
        <w:t>18</w:t>
      </w:r>
      <w:r w:rsidRPr="00A75C39">
        <w:rPr>
          <w:rFonts w:eastAsia="Droid Sans Fallback" w:cs="Arial"/>
          <w:kern w:val="1"/>
          <w:sz w:val="24"/>
          <w:lang w:eastAsia="ja-JP"/>
        </w:rPr>
        <w:t xml:space="preserve"> These authors contributed equally to this work</w:t>
      </w:r>
    </w:p>
    <w:p w14:paraId="58522A92" w14:textId="77777777" w:rsidR="00A75C39" w:rsidRPr="00A75C39" w:rsidRDefault="00A75C39" w:rsidP="00A75C39">
      <w:pPr>
        <w:suppressAutoHyphens/>
        <w:spacing w:after="120" w:line="480" w:lineRule="auto"/>
        <w:outlineLvl w:val="0"/>
        <w:rPr>
          <w:rFonts w:eastAsia="Droid Sans Fallback" w:cs="Arial"/>
          <w:kern w:val="1"/>
          <w:sz w:val="24"/>
          <w:lang w:eastAsia="ja-JP"/>
        </w:rPr>
      </w:pPr>
      <w:r w:rsidRPr="00A75C39">
        <w:rPr>
          <w:rFonts w:eastAsia="Droid Sans Fallback" w:cs="Arial"/>
          <w:kern w:val="1"/>
          <w:sz w:val="24"/>
          <w:vertAlign w:val="superscript"/>
          <w:lang w:eastAsia="ja-JP"/>
        </w:rPr>
        <w:t>*</w:t>
      </w:r>
      <w:r w:rsidRPr="00A75C39">
        <w:rPr>
          <w:rFonts w:eastAsia="Droid Sans Fallback" w:cs="Arial"/>
          <w:kern w:val="1"/>
          <w:sz w:val="24"/>
          <w:lang w:eastAsia="ja-JP"/>
        </w:rPr>
        <w:t xml:space="preserve"> Correspondence: </w:t>
      </w:r>
    </w:p>
    <w:p w14:paraId="63381A19" w14:textId="77777777" w:rsidR="00A75C39" w:rsidRPr="00A75C39" w:rsidRDefault="00A75C39" w:rsidP="00A75C39">
      <w:pPr>
        <w:suppressAutoHyphens/>
        <w:spacing w:after="120" w:line="480" w:lineRule="auto"/>
        <w:outlineLvl w:val="0"/>
        <w:rPr>
          <w:rFonts w:eastAsia="Droid Sans Fallback" w:cs="Arial"/>
          <w:kern w:val="1"/>
          <w:sz w:val="24"/>
          <w:lang w:eastAsia="ja-JP"/>
        </w:rPr>
      </w:pPr>
      <w:r w:rsidRPr="00A75C39">
        <w:rPr>
          <w:rFonts w:eastAsia="Droid Sans Fallback" w:cs="Arial"/>
          <w:kern w:val="1"/>
          <w:sz w:val="24"/>
          <w:lang w:eastAsia="ja-JP"/>
        </w:rPr>
        <w:t xml:space="preserve">Kai Ye: The Genome Institute, Washington University School of Medicine, Campus Box 8501, 4444 Forest Park Ave, St. Louis, MO 63108, USA. Phone: +1 (314) 286-1800. Fax: +1 (314) 286-1810. E-mail: </w:t>
      </w:r>
      <w:hyperlink r:id="rId9" w:history="1">
        <w:r w:rsidRPr="00A75C39">
          <w:rPr>
            <w:rFonts w:eastAsia="Droid Sans Fallback" w:cs="Arial"/>
            <w:color w:val="000080"/>
            <w:kern w:val="1"/>
            <w:sz w:val="24"/>
            <w:u w:val="single"/>
            <w:lang w:eastAsia="ja-JP"/>
          </w:rPr>
          <w:t>kye@genome.wustl.edu</w:t>
        </w:r>
      </w:hyperlink>
      <w:r w:rsidRPr="00A75C39">
        <w:rPr>
          <w:rFonts w:eastAsia="Droid Sans Fallback" w:cs="Arial"/>
          <w:kern w:val="1"/>
          <w:sz w:val="24"/>
          <w:lang w:eastAsia="ja-JP"/>
        </w:rPr>
        <w:t xml:space="preserve"> </w:t>
      </w:r>
    </w:p>
    <w:p w14:paraId="7A4E22F8" w14:textId="77777777" w:rsidR="00A75C39" w:rsidRPr="00A75C39" w:rsidRDefault="00A75C39" w:rsidP="00A75C39">
      <w:pPr>
        <w:suppressAutoHyphens/>
        <w:spacing w:after="120" w:line="480" w:lineRule="auto"/>
        <w:outlineLvl w:val="0"/>
        <w:rPr>
          <w:rFonts w:eastAsia="Droid Sans Fallback" w:cs="Arial"/>
          <w:color w:val="000080"/>
          <w:kern w:val="1"/>
          <w:sz w:val="24"/>
          <w:u w:val="single"/>
          <w:lang w:eastAsia="ja-JP"/>
        </w:rPr>
      </w:pPr>
      <w:r w:rsidRPr="00A75C39">
        <w:rPr>
          <w:rFonts w:eastAsia="Droid Sans Fallback" w:cs="Arial"/>
          <w:kern w:val="1"/>
          <w:sz w:val="24"/>
          <w:lang w:eastAsia="ja-JP"/>
        </w:rPr>
        <w:t>Victor Guryev:</w:t>
      </w:r>
      <w:r w:rsidRPr="00A75C39">
        <w:rPr>
          <w:rFonts w:eastAsia="Droid Sans Fallback" w:cs="font248"/>
          <w:kern w:val="1"/>
          <w:sz w:val="24"/>
          <w:lang w:eastAsia="ja-JP"/>
        </w:rPr>
        <w:t xml:space="preserve"> </w:t>
      </w:r>
      <w:r w:rsidRPr="00A75C39">
        <w:rPr>
          <w:rFonts w:eastAsia="Droid Sans Fallback" w:cs="Arial"/>
          <w:kern w:val="1"/>
          <w:sz w:val="24"/>
          <w:lang w:eastAsia="ja-JP"/>
        </w:rPr>
        <w:t xml:space="preserve">European Research Institute for the Biology of Ageing, University Medical Center Groningen, Antonius Deusinglaan 1, Building 3226, Int. Zip FA50, 9700AD, Groningen, The Netherlands. Phone: +31 (6) 5272 4873. Fax: +31 (50) 361 7300. Email: </w:t>
      </w:r>
      <w:hyperlink r:id="rId10" w:history="1">
        <w:r w:rsidRPr="00A75C39">
          <w:rPr>
            <w:rFonts w:eastAsia="Droid Sans Fallback" w:cs="Arial"/>
            <w:color w:val="000080"/>
            <w:kern w:val="1"/>
            <w:sz w:val="24"/>
            <w:u w:val="single"/>
            <w:lang w:eastAsia="ja-JP"/>
          </w:rPr>
          <w:t>v.guryev@umcg.nl</w:t>
        </w:r>
      </w:hyperlink>
    </w:p>
    <w:p w14:paraId="719AA451" w14:textId="27BA3D0E" w:rsidR="00CF129F" w:rsidRPr="002621B6" w:rsidRDefault="00333EF7" w:rsidP="002621B6">
      <w:pPr>
        <w:rPr>
          <w:rFonts w:cs="Arial"/>
          <w:szCs w:val="20"/>
        </w:rPr>
      </w:pPr>
      <w:r w:rsidRPr="00BC3719">
        <w:rPr>
          <w:rFonts w:cs="Arial"/>
          <w:szCs w:val="20"/>
        </w:rPr>
        <w:br w:type="page"/>
      </w:r>
      <w:r w:rsidR="00CF129F" w:rsidRPr="00ED7578">
        <w:rPr>
          <w:rFonts w:cs="Arial"/>
          <w:b/>
          <w:sz w:val="28"/>
          <w:szCs w:val="28"/>
        </w:rPr>
        <w:t>Content</w:t>
      </w:r>
    </w:p>
    <w:p w14:paraId="4879B61E" w14:textId="77777777" w:rsidR="004A1973" w:rsidRDefault="002E63AA">
      <w:pPr>
        <w:pStyle w:val="TOC1"/>
        <w:tabs>
          <w:tab w:val="left" w:pos="380"/>
          <w:tab w:val="right" w:leader="dot" w:pos="8290"/>
        </w:tabs>
        <w:rPr>
          <w:b w:val="0"/>
          <w:noProof/>
          <w:lang w:eastAsia="ja-JP"/>
        </w:rPr>
      </w:pPr>
      <w:r>
        <w:rPr>
          <w:rFonts w:cs="Arial"/>
          <w:b w:val="0"/>
          <w:szCs w:val="28"/>
        </w:rPr>
        <w:fldChar w:fldCharType="begin"/>
      </w:r>
      <w:r>
        <w:rPr>
          <w:rFonts w:cs="Arial"/>
          <w:b w:val="0"/>
          <w:szCs w:val="28"/>
        </w:rPr>
        <w:instrText xml:space="preserve"> TOC \o "1-3" </w:instrText>
      </w:r>
      <w:r>
        <w:rPr>
          <w:rFonts w:cs="Arial"/>
          <w:b w:val="0"/>
          <w:szCs w:val="28"/>
        </w:rPr>
        <w:fldChar w:fldCharType="separate"/>
      </w:r>
      <w:r w:rsidR="004A1973">
        <w:rPr>
          <w:noProof/>
        </w:rPr>
        <w:t>I.</w:t>
      </w:r>
      <w:r w:rsidR="004A1973">
        <w:rPr>
          <w:b w:val="0"/>
          <w:noProof/>
          <w:lang w:eastAsia="ja-JP"/>
        </w:rPr>
        <w:tab/>
      </w:r>
      <w:r w:rsidR="004A1973">
        <w:rPr>
          <w:noProof/>
        </w:rPr>
        <w:t>Supplemental Figures</w:t>
      </w:r>
      <w:r w:rsidR="004A1973">
        <w:rPr>
          <w:noProof/>
        </w:rPr>
        <w:tab/>
      </w:r>
      <w:r w:rsidR="004A1973">
        <w:rPr>
          <w:noProof/>
        </w:rPr>
        <w:fldChar w:fldCharType="begin"/>
      </w:r>
      <w:r w:rsidR="004A1973">
        <w:rPr>
          <w:noProof/>
        </w:rPr>
        <w:instrText xml:space="preserve"> PAGEREF _Toc289421701 \h </w:instrText>
      </w:r>
      <w:r w:rsidR="004A1973">
        <w:rPr>
          <w:noProof/>
        </w:rPr>
      </w:r>
      <w:r w:rsidR="004A1973">
        <w:rPr>
          <w:noProof/>
        </w:rPr>
        <w:fldChar w:fldCharType="separate"/>
      </w:r>
      <w:r w:rsidR="004A1973">
        <w:rPr>
          <w:noProof/>
        </w:rPr>
        <w:t>5</w:t>
      </w:r>
      <w:r w:rsidR="004A1973">
        <w:rPr>
          <w:noProof/>
        </w:rPr>
        <w:fldChar w:fldCharType="end"/>
      </w:r>
    </w:p>
    <w:p w14:paraId="004C86ED" w14:textId="77777777" w:rsidR="004A1973" w:rsidRDefault="004A1973">
      <w:pPr>
        <w:pStyle w:val="TOC1"/>
        <w:tabs>
          <w:tab w:val="left" w:pos="463"/>
          <w:tab w:val="right" w:leader="dot" w:pos="8290"/>
        </w:tabs>
        <w:rPr>
          <w:b w:val="0"/>
          <w:noProof/>
          <w:lang w:eastAsia="ja-JP"/>
        </w:rPr>
      </w:pPr>
      <w:r>
        <w:rPr>
          <w:noProof/>
        </w:rPr>
        <w:t>II.</w:t>
      </w:r>
      <w:r>
        <w:rPr>
          <w:b w:val="0"/>
          <w:noProof/>
          <w:lang w:eastAsia="ja-JP"/>
        </w:rPr>
        <w:tab/>
      </w:r>
      <w:r>
        <w:rPr>
          <w:noProof/>
        </w:rPr>
        <w:t>Supplemental Methods</w:t>
      </w:r>
      <w:r>
        <w:rPr>
          <w:noProof/>
        </w:rPr>
        <w:tab/>
      </w:r>
      <w:r>
        <w:rPr>
          <w:noProof/>
        </w:rPr>
        <w:fldChar w:fldCharType="begin"/>
      </w:r>
      <w:r>
        <w:rPr>
          <w:noProof/>
        </w:rPr>
        <w:instrText xml:space="preserve"> PAGEREF _Toc289421702 \h </w:instrText>
      </w:r>
      <w:r>
        <w:rPr>
          <w:noProof/>
        </w:rPr>
      </w:r>
      <w:r>
        <w:rPr>
          <w:noProof/>
        </w:rPr>
        <w:fldChar w:fldCharType="separate"/>
      </w:r>
      <w:r>
        <w:rPr>
          <w:noProof/>
        </w:rPr>
        <w:t>8</w:t>
      </w:r>
      <w:r>
        <w:rPr>
          <w:noProof/>
        </w:rPr>
        <w:fldChar w:fldCharType="end"/>
      </w:r>
    </w:p>
    <w:p w14:paraId="12E0E667" w14:textId="77777777" w:rsidR="004A1973" w:rsidRDefault="004A1973">
      <w:pPr>
        <w:pStyle w:val="TOC1"/>
        <w:tabs>
          <w:tab w:val="left" w:pos="382"/>
          <w:tab w:val="right" w:leader="dot" w:pos="8290"/>
        </w:tabs>
        <w:rPr>
          <w:b w:val="0"/>
          <w:noProof/>
          <w:lang w:eastAsia="ja-JP"/>
        </w:rPr>
      </w:pPr>
      <w:r>
        <w:rPr>
          <w:noProof/>
        </w:rPr>
        <w:t>1</w:t>
      </w:r>
      <w:r>
        <w:rPr>
          <w:b w:val="0"/>
          <w:noProof/>
          <w:lang w:eastAsia="ja-JP"/>
        </w:rPr>
        <w:tab/>
      </w:r>
      <w:r>
        <w:rPr>
          <w:noProof/>
        </w:rPr>
        <w:t xml:space="preserve">Detection of </w:t>
      </w:r>
      <w:r w:rsidRPr="00627E97">
        <w:rPr>
          <w:i/>
          <w:noProof/>
        </w:rPr>
        <w:t>de novo</w:t>
      </w:r>
      <w:r>
        <w:rPr>
          <w:noProof/>
        </w:rPr>
        <w:t xml:space="preserve"> variants</w:t>
      </w:r>
      <w:r>
        <w:rPr>
          <w:noProof/>
        </w:rPr>
        <w:tab/>
      </w:r>
      <w:r>
        <w:rPr>
          <w:noProof/>
        </w:rPr>
        <w:fldChar w:fldCharType="begin"/>
      </w:r>
      <w:r>
        <w:rPr>
          <w:noProof/>
        </w:rPr>
        <w:instrText xml:space="preserve"> PAGEREF _Toc289421703 \h </w:instrText>
      </w:r>
      <w:r>
        <w:rPr>
          <w:noProof/>
        </w:rPr>
      </w:r>
      <w:r>
        <w:rPr>
          <w:noProof/>
        </w:rPr>
        <w:fldChar w:fldCharType="separate"/>
      </w:r>
      <w:r>
        <w:rPr>
          <w:noProof/>
        </w:rPr>
        <w:t>8</w:t>
      </w:r>
      <w:r>
        <w:rPr>
          <w:noProof/>
        </w:rPr>
        <w:fldChar w:fldCharType="end"/>
      </w:r>
    </w:p>
    <w:p w14:paraId="58F3A8A7" w14:textId="77777777" w:rsidR="004A1973" w:rsidRDefault="004A1973">
      <w:pPr>
        <w:pStyle w:val="TOC2"/>
        <w:tabs>
          <w:tab w:val="left" w:pos="752"/>
          <w:tab w:val="right" w:leader="dot" w:pos="8290"/>
        </w:tabs>
        <w:rPr>
          <w:b w:val="0"/>
          <w:noProof/>
          <w:sz w:val="24"/>
          <w:szCs w:val="24"/>
          <w:lang w:eastAsia="ja-JP"/>
        </w:rPr>
      </w:pPr>
      <w:r>
        <w:rPr>
          <w:noProof/>
        </w:rPr>
        <w:t>1.1</w:t>
      </w:r>
      <w:r>
        <w:rPr>
          <w:b w:val="0"/>
          <w:noProof/>
          <w:sz w:val="24"/>
          <w:szCs w:val="24"/>
          <w:lang w:eastAsia="ja-JP"/>
        </w:rPr>
        <w:tab/>
      </w:r>
      <w:r>
        <w:rPr>
          <w:noProof/>
        </w:rPr>
        <w:t>GATK UnifiedGenotyper</w:t>
      </w:r>
      <w:r>
        <w:rPr>
          <w:noProof/>
        </w:rPr>
        <w:tab/>
      </w:r>
      <w:r>
        <w:rPr>
          <w:noProof/>
        </w:rPr>
        <w:fldChar w:fldCharType="begin"/>
      </w:r>
      <w:r>
        <w:rPr>
          <w:noProof/>
        </w:rPr>
        <w:instrText xml:space="preserve"> PAGEREF _Toc289421704 \h </w:instrText>
      </w:r>
      <w:r>
        <w:rPr>
          <w:noProof/>
        </w:rPr>
      </w:r>
      <w:r>
        <w:rPr>
          <w:noProof/>
        </w:rPr>
        <w:fldChar w:fldCharType="separate"/>
      </w:r>
      <w:r>
        <w:rPr>
          <w:noProof/>
        </w:rPr>
        <w:t>8</w:t>
      </w:r>
      <w:r>
        <w:rPr>
          <w:noProof/>
        </w:rPr>
        <w:fldChar w:fldCharType="end"/>
      </w:r>
    </w:p>
    <w:p w14:paraId="1699EF76" w14:textId="77777777" w:rsidR="004A1973" w:rsidRDefault="004A1973">
      <w:pPr>
        <w:pStyle w:val="TOC2"/>
        <w:tabs>
          <w:tab w:val="left" w:pos="752"/>
          <w:tab w:val="right" w:leader="dot" w:pos="8290"/>
        </w:tabs>
        <w:rPr>
          <w:b w:val="0"/>
          <w:noProof/>
          <w:sz w:val="24"/>
          <w:szCs w:val="24"/>
          <w:lang w:eastAsia="ja-JP"/>
        </w:rPr>
      </w:pPr>
      <w:r>
        <w:rPr>
          <w:noProof/>
        </w:rPr>
        <w:t>1.2</w:t>
      </w:r>
      <w:r>
        <w:rPr>
          <w:b w:val="0"/>
          <w:noProof/>
          <w:sz w:val="24"/>
          <w:szCs w:val="24"/>
          <w:lang w:eastAsia="ja-JP"/>
        </w:rPr>
        <w:tab/>
      </w:r>
      <w:r>
        <w:rPr>
          <w:noProof/>
        </w:rPr>
        <w:t>GATK HaplotypeCaller</w:t>
      </w:r>
      <w:r>
        <w:rPr>
          <w:noProof/>
        </w:rPr>
        <w:tab/>
      </w:r>
      <w:r>
        <w:rPr>
          <w:noProof/>
        </w:rPr>
        <w:fldChar w:fldCharType="begin"/>
      </w:r>
      <w:r>
        <w:rPr>
          <w:noProof/>
        </w:rPr>
        <w:instrText xml:space="preserve"> PAGEREF _Toc289421705 \h </w:instrText>
      </w:r>
      <w:r>
        <w:rPr>
          <w:noProof/>
        </w:rPr>
      </w:r>
      <w:r>
        <w:rPr>
          <w:noProof/>
        </w:rPr>
        <w:fldChar w:fldCharType="separate"/>
      </w:r>
      <w:r>
        <w:rPr>
          <w:noProof/>
        </w:rPr>
        <w:t>9</w:t>
      </w:r>
      <w:r>
        <w:rPr>
          <w:noProof/>
        </w:rPr>
        <w:fldChar w:fldCharType="end"/>
      </w:r>
    </w:p>
    <w:p w14:paraId="2A8430EC" w14:textId="77777777" w:rsidR="004A1973" w:rsidRDefault="004A1973">
      <w:pPr>
        <w:pStyle w:val="TOC2"/>
        <w:tabs>
          <w:tab w:val="left" w:pos="752"/>
          <w:tab w:val="right" w:leader="dot" w:pos="8290"/>
        </w:tabs>
        <w:rPr>
          <w:b w:val="0"/>
          <w:noProof/>
          <w:sz w:val="24"/>
          <w:szCs w:val="24"/>
          <w:lang w:eastAsia="ja-JP"/>
        </w:rPr>
      </w:pPr>
      <w:r>
        <w:rPr>
          <w:noProof/>
        </w:rPr>
        <w:t>1.3</w:t>
      </w:r>
      <w:r>
        <w:rPr>
          <w:b w:val="0"/>
          <w:noProof/>
          <w:sz w:val="24"/>
          <w:szCs w:val="24"/>
          <w:lang w:eastAsia="ja-JP"/>
        </w:rPr>
        <w:tab/>
      </w:r>
      <w:r>
        <w:rPr>
          <w:noProof/>
        </w:rPr>
        <w:t>Pindel</w:t>
      </w:r>
      <w:r>
        <w:rPr>
          <w:noProof/>
        </w:rPr>
        <w:tab/>
      </w:r>
      <w:r>
        <w:rPr>
          <w:noProof/>
        </w:rPr>
        <w:fldChar w:fldCharType="begin"/>
      </w:r>
      <w:r>
        <w:rPr>
          <w:noProof/>
        </w:rPr>
        <w:instrText xml:space="preserve"> PAGEREF _Toc289421706 \h </w:instrText>
      </w:r>
      <w:r>
        <w:rPr>
          <w:noProof/>
        </w:rPr>
      </w:r>
      <w:r>
        <w:rPr>
          <w:noProof/>
        </w:rPr>
        <w:fldChar w:fldCharType="separate"/>
      </w:r>
      <w:r>
        <w:rPr>
          <w:noProof/>
        </w:rPr>
        <w:t>9</w:t>
      </w:r>
      <w:r>
        <w:rPr>
          <w:noProof/>
        </w:rPr>
        <w:fldChar w:fldCharType="end"/>
      </w:r>
    </w:p>
    <w:p w14:paraId="2C55AA46" w14:textId="77777777" w:rsidR="004A1973" w:rsidRDefault="004A1973">
      <w:pPr>
        <w:pStyle w:val="TOC2"/>
        <w:tabs>
          <w:tab w:val="left" w:pos="752"/>
          <w:tab w:val="right" w:leader="dot" w:pos="8290"/>
        </w:tabs>
        <w:rPr>
          <w:b w:val="0"/>
          <w:noProof/>
          <w:sz w:val="24"/>
          <w:szCs w:val="24"/>
          <w:lang w:eastAsia="ja-JP"/>
        </w:rPr>
      </w:pPr>
      <w:r>
        <w:rPr>
          <w:noProof/>
        </w:rPr>
        <w:t>1.4</w:t>
      </w:r>
      <w:r>
        <w:rPr>
          <w:b w:val="0"/>
          <w:noProof/>
          <w:sz w:val="24"/>
          <w:szCs w:val="24"/>
          <w:lang w:eastAsia="ja-JP"/>
        </w:rPr>
        <w:tab/>
      </w:r>
      <w:r>
        <w:rPr>
          <w:noProof/>
        </w:rPr>
        <w:t>1-2-3 SV</w:t>
      </w:r>
      <w:r>
        <w:rPr>
          <w:noProof/>
        </w:rPr>
        <w:tab/>
      </w:r>
      <w:r>
        <w:rPr>
          <w:noProof/>
        </w:rPr>
        <w:fldChar w:fldCharType="begin"/>
      </w:r>
      <w:r>
        <w:rPr>
          <w:noProof/>
        </w:rPr>
        <w:instrText xml:space="preserve"> PAGEREF _Toc289421707 \h </w:instrText>
      </w:r>
      <w:r>
        <w:rPr>
          <w:noProof/>
        </w:rPr>
      </w:r>
      <w:r>
        <w:rPr>
          <w:noProof/>
        </w:rPr>
        <w:fldChar w:fldCharType="separate"/>
      </w:r>
      <w:r>
        <w:rPr>
          <w:noProof/>
        </w:rPr>
        <w:t>9</w:t>
      </w:r>
      <w:r>
        <w:rPr>
          <w:noProof/>
        </w:rPr>
        <w:fldChar w:fldCharType="end"/>
      </w:r>
    </w:p>
    <w:p w14:paraId="6D71FF6A" w14:textId="77777777" w:rsidR="004A1973" w:rsidRDefault="004A1973">
      <w:pPr>
        <w:pStyle w:val="TOC2"/>
        <w:tabs>
          <w:tab w:val="left" w:pos="752"/>
          <w:tab w:val="right" w:leader="dot" w:pos="8290"/>
        </w:tabs>
        <w:rPr>
          <w:b w:val="0"/>
          <w:noProof/>
          <w:sz w:val="24"/>
          <w:szCs w:val="24"/>
          <w:lang w:eastAsia="ja-JP"/>
        </w:rPr>
      </w:pPr>
      <w:r>
        <w:rPr>
          <w:noProof/>
        </w:rPr>
        <w:t>1.5</w:t>
      </w:r>
      <w:r>
        <w:rPr>
          <w:b w:val="0"/>
          <w:noProof/>
          <w:sz w:val="24"/>
          <w:szCs w:val="24"/>
          <w:lang w:eastAsia="ja-JP"/>
        </w:rPr>
        <w:tab/>
      </w:r>
      <w:r>
        <w:rPr>
          <w:noProof/>
        </w:rPr>
        <w:t>DWAC-seq</w:t>
      </w:r>
      <w:r>
        <w:rPr>
          <w:noProof/>
        </w:rPr>
        <w:tab/>
      </w:r>
      <w:r>
        <w:rPr>
          <w:noProof/>
        </w:rPr>
        <w:fldChar w:fldCharType="begin"/>
      </w:r>
      <w:r>
        <w:rPr>
          <w:noProof/>
        </w:rPr>
        <w:instrText xml:space="preserve"> PAGEREF _Toc289421708 \h </w:instrText>
      </w:r>
      <w:r>
        <w:rPr>
          <w:noProof/>
        </w:rPr>
      </w:r>
      <w:r>
        <w:rPr>
          <w:noProof/>
        </w:rPr>
        <w:fldChar w:fldCharType="separate"/>
      </w:r>
      <w:r>
        <w:rPr>
          <w:noProof/>
        </w:rPr>
        <w:t>9</w:t>
      </w:r>
      <w:r>
        <w:rPr>
          <w:noProof/>
        </w:rPr>
        <w:fldChar w:fldCharType="end"/>
      </w:r>
    </w:p>
    <w:p w14:paraId="49608A5B" w14:textId="77777777" w:rsidR="004A1973" w:rsidRDefault="004A1973">
      <w:pPr>
        <w:pStyle w:val="TOC2"/>
        <w:tabs>
          <w:tab w:val="left" w:pos="752"/>
          <w:tab w:val="right" w:leader="dot" w:pos="8290"/>
        </w:tabs>
        <w:rPr>
          <w:b w:val="0"/>
          <w:noProof/>
          <w:sz w:val="24"/>
          <w:szCs w:val="24"/>
          <w:lang w:eastAsia="ja-JP"/>
        </w:rPr>
      </w:pPr>
      <w:r>
        <w:rPr>
          <w:noProof/>
        </w:rPr>
        <w:t>1.6</w:t>
      </w:r>
      <w:r>
        <w:rPr>
          <w:b w:val="0"/>
          <w:noProof/>
          <w:sz w:val="24"/>
          <w:szCs w:val="24"/>
          <w:lang w:eastAsia="ja-JP"/>
        </w:rPr>
        <w:tab/>
      </w:r>
      <w:r>
        <w:rPr>
          <w:noProof/>
        </w:rPr>
        <w:t>MATE-CLEVER</w:t>
      </w:r>
      <w:r>
        <w:rPr>
          <w:noProof/>
        </w:rPr>
        <w:tab/>
      </w:r>
      <w:r>
        <w:rPr>
          <w:noProof/>
        </w:rPr>
        <w:fldChar w:fldCharType="begin"/>
      </w:r>
      <w:r>
        <w:rPr>
          <w:noProof/>
        </w:rPr>
        <w:instrText xml:space="preserve"> PAGEREF _Toc289421709 \h </w:instrText>
      </w:r>
      <w:r>
        <w:rPr>
          <w:noProof/>
        </w:rPr>
      </w:r>
      <w:r>
        <w:rPr>
          <w:noProof/>
        </w:rPr>
        <w:fldChar w:fldCharType="separate"/>
      </w:r>
      <w:r>
        <w:rPr>
          <w:noProof/>
        </w:rPr>
        <w:t>9</w:t>
      </w:r>
      <w:r>
        <w:rPr>
          <w:noProof/>
        </w:rPr>
        <w:fldChar w:fldCharType="end"/>
      </w:r>
    </w:p>
    <w:p w14:paraId="17A8A0D9" w14:textId="77777777" w:rsidR="004A1973" w:rsidRDefault="004A1973">
      <w:pPr>
        <w:pStyle w:val="TOC2"/>
        <w:tabs>
          <w:tab w:val="left" w:pos="752"/>
          <w:tab w:val="right" w:leader="dot" w:pos="8290"/>
        </w:tabs>
        <w:rPr>
          <w:b w:val="0"/>
          <w:noProof/>
          <w:sz w:val="24"/>
          <w:szCs w:val="24"/>
          <w:lang w:eastAsia="ja-JP"/>
        </w:rPr>
      </w:pPr>
      <w:r>
        <w:rPr>
          <w:noProof/>
        </w:rPr>
        <w:t>1.7</w:t>
      </w:r>
      <w:r>
        <w:rPr>
          <w:b w:val="0"/>
          <w:noProof/>
          <w:sz w:val="24"/>
          <w:szCs w:val="24"/>
          <w:lang w:eastAsia="ja-JP"/>
        </w:rPr>
        <w:tab/>
      </w:r>
      <w:r>
        <w:rPr>
          <w:noProof/>
        </w:rPr>
        <w:t>Genome STRiP</w:t>
      </w:r>
      <w:r>
        <w:rPr>
          <w:noProof/>
        </w:rPr>
        <w:tab/>
      </w:r>
      <w:r>
        <w:rPr>
          <w:noProof/>
        </w:rPr>
        <w:fldChar w:fldCharType="begin"/>
      </w:r>
      <w:r>
        <w:rPr>
          <w:noProof/>
        </w:rPr>
        <w:instrText xml:space="preserve"> PAGEREF _Toc289421710 \h </w:instrText>
      </w:r>
      <w:r>
        <w:rPr>
          <w:noProof/>
        </w:rPr>
      </w:r>
      <w:r>
        <w:rPr>
          <w:noProof/>
        </w:rPr>
        <w:fldChar w:fldCharType="separate"/>
      </w:r>
      <w:r>
        <w:rPr>
          <w:noProof/>
        </w:rPr>
        <w:t>10</w:t>
      </w:r>
      <w:r>
        <w:rPr>
          <w:noProof/>
        </w:rPr>
        <w:fldChar w:fldCharType="end"/>
      </w:r>
    </w:p>
    <w:p w14:paraId="3B2F6BDD" w14:textId="77777777" w:rsidR="004A1973" w:rsidRDefault="004A1973">
      <w:pPr>
        <w:pStyle w:val="TOC2"/>
        <w:tabs>
          <w:tab w:val="left" w:pos="752"/>
          <w:tab w:val="right" w:leader="dot" w:pos="8290"/>
        </w:tabs>
        <w:rPr>
          <w:b w:val="0"/>
          <w:noProof/>
          <w:sz w:val="24"/>
          <w:szCs w:val="24"/>
          <w:lang w:eastAsia="ja-JP"/>
        </w:rPr>
      </w:pPr>
      <w:r>
        <w:rPr>
          <w:noProof/>
        </w:rPr>
        <w:t>1.8</w:t>
      </w:r>
      <w:r>
        <w:rPr>
          <w:b w:val="0"/>
          <w:noProof/>
          <w:sz w:val="24"/>
          <w:szCs w:val="24"/>
          <w:lang w:eastAsia="ja-JP"/>
        </w:rPr>
        <w:tab/>
      </w:r>
      <w:r>
        <w:rPr>
          <w:noProof/>
        </w:rPr>
        <w:t>Mobster</w:t>
      </w:r>
      <w:r>
        <w:rPr>
          <w:noProof/>
        </w:rPr>
        <w:tab/>
      </w:r>
      <w:r>
        <w:rPr>
          <w:noProof/>
        </w:rPr>
        <w:fldChar w:fldCharType="begin"/>
      </w:r>
      <w:r>
        <w:rPr>
          <w:noProof/>
        </w:rPr>
        <w:instrText xml:space="preserve"> PAGEREF _Toc289421711 \h </w:instrText>
      </w:r>
      <w:r>
        <w:rPr>
          <w:noProof/>
        </w:rPr>
      </w:r>
      <w:r>
        <w:rPr>
          <w:noProof/>
        </w:rPr>
        <w:fldChar w:fldCharType="separate"/>
      </w:r>
      <w:r>
        <w:rPr>
          <w:noProof/>
        </w:rPr>
        <w:t>10</w:t>
      </w:r>
      <w:r>
        <w:rPr>
          <w:noProof/>
        </w:rPr>
        <w:fldChar w:fldCharType="end"/>
      </w:r>
    </w:p>
    <w:p w14:paraId="2549DE9E" w14:textId="77777777" w:rsidR="004A1973" w:rsidRDefault="004A1973">
      <w:pPr>
        <w:pStyle w:val="TOC2"/>
        <w:tabs>
          <w:tab w:val="left" w:pos="752"/>
          <w:tab w:val="right" w:leader="dot" w:pos="8290"/>
        </w:tabs>
        <w:rPr>
          <w:b w:val="0"/>
          <w:noProof/>
          <w:sz w:val="24"/>
          <w:szCs w:val="24"/>
          <w:lang w:eastAsia="ja-JP"/>
        </w:rPr>
      </w:pPr>
      <w:r>
        <w:rPr>
          <w:noProof/>
        </w:rPr>
        <w:t>1.9</w:t>
      </w:r>
      <w:r>
        <w:rPr>
          <w:b w:val="0"/>
          <w:noProof/>
          <w:sz w:val="24"/>
          <w:szCs w:val="24"/>
          <w:lang w:eastAsia="ja-JP"/>
        </w:rPr>
        <w:tab/>
      </w:r>
      <w:r w:rsidRPr="00627E97">
        <w:rPr>
          <w:i/>
          <w:noProof/>
        </w:rPr>
        <w:t>De novo</w:t>
      </w:r>
      <w:r>
        <w:rPr>
          <w:noProof/>
        </w:rPr>
        <w:t xml:space="preserve"> indel and SV detection sensitivity analysis</w:t>
      </w:r>
      <w:r>
        <w:rPr>
          <w:noProof/>
        </w:rPr>
        <w:tab/>
      </w:r>
      <w:r>
        <w:rPr>
          <w:noProof/>
        </w:rPr>
        <w:fldChar w:fldCharType="begin"/>
      </w:r>
      <w:r>
        <w:rPr>
          <w:noProof/>
        </w:rPr>
        <w:instrText xml:space="preserve"> PAGEREF _Toc289421712 \h </w:instrText>
      </w:r>
      <w:r>
        <w:rPr>
          <w:noProof/>
        </w:rPr>
      </w:r>
      <w:r>
        <w:rPr>
          <w:noProof/>
        </w:rPr>
        <w:fldChar w:fldCharType="separate"/>
      </w:r>
      <w:r>
        <w:rPr>
          <w:noProof/>
        </w:rPr>
        <w:t>10</w:t>
      </w:r>
      <w:r>
        <w:rPr>
          <w:noProof/>
        </w:rPr>
        <w:fldChar w:fldCharType="end"/>
      </w:r>
    </w:p>
    <w:p w14:paraId="1DEE2B5E" w14:textId="77777777" w:rsidR="004A1973" w:rsidRDefault="004A1973">
      <w:pPr>
        <w:pStyle w:val="TOC1"/>
        <w:tabs>
          <w:tab w:val="left" w:pos="382"/>
          <w:tab w:val="right" w:leader="dot" w:pos="8290"/>
        </w:tabs>
        <w:rPr>
          <w:b w:val="0"/>
          <w:noProof/>
          <w:lang w:eastAsia="ja-JP"/>
        </w:rPr>
      </w:pPr>
      <w:r>
        <w:rPr>
          <w:noProof/>
        </w:rPr>
        <w:t>2</w:t>
      </w:r>
      <w:r>
        <w:rPr>
          <w:b w:val="0"/>
          <w:noProof/>
          <w:lang w:eastAsia="ja-JP"/>
        </w:rPr>
        <w:tab/>
      </w:r>
      <w:r>
        <w:rPr>
          <w:noProof/>
        </w:rPr>
        <w:t>Breakpoint mapping and primer design</w:t>
      </w:r>
      <w:r>
        <w:rPr>
          <w:noProof/>
        </w:rPr>
        <w:tab/>
      </w:r>
      <w:r>
        <w:rPr>
          <w:noProof/>
        </w:rPr>
        <w:fldChar w:fldCharType="begin"/>
      </w:r>
      <w:r>
        <w:rPr>
          <w:noProof/>
        </w:rPr>
        <w:instrText xml:space="preserve"> PAGEREF _Toc289421713 \h </w:instrText>
      </w:r>
      <w:r>
        <w:rPr>
          <w:noProof/>
        </w:rPr>
      </w:r>
      <w:r>
        <w:rPr>
          <w:noProof/>
        </w:rPr>
        <w:fldChar w:fldCharType="separate"/>
      </w:r>
      <w:r>
        <w:rPr>
          <w:noProof/>
        </w:rPr>
        <w:t>11</w:t>
      </w:r>
      <w:r>
        <w:rPr>
          <w:noProof/>
        </w:rPr>
        <w:fldChar w:fldCharType="end"/>
      </w:r>
    </w:p>
    <w:p w14:paraId="55027210" w14:textId="77777777" w:rsidR="004A1973" w:rsidRDefault="004A1973">
      <w:pPr>
        <w:pStyle w:val="TOC1"/>
        <w:tabs>
          <w:tab w:val="left" w:pos="382"/>
          <w:tab w:val="right" w:leader="dot" w:pos="8290"/>
        </w:tabs>
        <w:rPr>
          <w:b w:val="0"/>
          <w:noProof/>
          <w:lang w:eastAsia="ja-JP"/>
        </w:rPr>
      </w:pPr>
      <w:r>
        <w:rPr>
          <w:noProof/>
        </w:rPr>
        <w:t>3</w:t>
      </w:r>
      <w:r>
        <w:rPr>
          <w:b w:val="0"/>
          <w:noProof/>
          <w:lang w:eastAsia="ja-JP"/>
        </w:rPr>
        <w:tab/>
      </w:r>
      <w:r>
        <w:rPr>
          <w:noProof/>
        </w:rPr>
        <w:t>Validation experiments</w:t>
      </w:r>
      <w:r>
        <w:rPr>
          <w:noProof/>
        </w:rPr>
        <w:tab/>
      </w:r>
      <w:r>
        <w:rPr>
          <w:noProof/>
        </w:rPr>
        <w:fldChar w:fldCharType="begin"/>
      </w:r>
      <w:r>
        <w:rPr>
          <w:noProof/>
        </w:rPr>
        <w:instrText xml:space="preserve"> PAGEREF _Toc289421714 \h </w:instrText>
      </w:r>
      <w:r>
        <w:rPr>
          <w:noProof/>
        </w:rPr>
      </w:r>
      <w:r>
        <w:rPr>
          <w:noProof/>
        </w:rPr>
        <w:fldChar w:fldCharType="separate"/>
      </w:r>
      <w:r>
        <w:rPr>
          <w:noProof/>
        </w:rPr>
        <w:t>11</w:t>
      </w:r>
      <w:r>
        <w:rPr>
          <w:noProof/>
        </w:rPr>
        <w:fldChar w:fldCharType="end"/>
      </w:r>
    </w:p>
    <w:p w14:paraId="59DEC380" w14:textId="77777777" w:rsidR="004A1973" w:rsidRDefault="004A1973">
      <w:pPr>
        <w:pStyle w:val="TOC2"/>
        <w:tabs>
          <w:tab w:val="left" w:pos="752"/>
          <w:tab w:val="right" w:leader="dot" w:pos="8290"/>
        </w:tabs>
        <w:rPr>
          <w:b w:val="0"/>
          <w:noProof/>
          <w:sz w:val="24"/>
          <w:szCs w:val="24"/>
          <w:lang w:eastAsia="ja-JP"/>
        </w:rPr>
      </w:pPr>
      <w:r>
        <w:rPr>
          <w:noProof/>
        </w:rPr>
        <w:t>3.1</w:t>
      </w:r>
      <w:r>
        <w:rPr>
          <w:b w:val="0"/>
          <w:noProof/>
          <w:sz w:val="24"/>
          <w:szCs w:val="24"/>
          <w:lang w:eastAsia="ja-JP"/>
        </w:rPr>
        <w:tab/>
      </w:r>
      <w:r>
        <w:rPr>
          <w:noProof/>
        </w:rPr>
        <w:t>Technologies</w:t>
      </w:r>
      <w:r>
        <w:rPr>
          <w:noProof/>
        </w:rPr>
        <w:tab/>
      </w:r>
      <w:r>
        <w:rPr>
          <w:noProof/>
        </w:rPr>
        <w:fldChar w:fldCharType="begin"/>
      </w:r>
      <w:r>
        <w:rPr>
          <w:noProof/>
        </w:rPr>
        <w:instrText xml:space="preserve"> PAGEREF _Toc289421715 \h </w:instrText>
      </w:r>
      <w:r>
        <w:rPr>
          <w:noProof/>
        </w:rPr>
      </w:r>
      <w:r>
        <w:rPr>
          <w:noProof/>
        </w:rPr>
        <w:fldChar w:fldCharType="separate"/>
      </w:r>
      <w:r>
        <w:rPr>
          <w:noProof/>
        </w:rPr>
        <w:t>11</w:t>
      </w:r>
      <w:r>
        <w:rPr>
          <w:noProof/>
        </w:rPr>
        <w:fldChar w:fldCharType="end"/>
      </w:r>
    </w:p>
    <w:p w14:paraId="51FEF0B9" w14:textId="77777777" w:rsidR="004A1973" w:rsidRDefault="004A1973">
      <w:pPr>
        <w:pStyle w:val="TOC3"/>
        <w:tabs>
          <w:tab w:val="left" w:pos="1096"/>
          <w:tab w:val="right" w:leader="dot" w:pos="8290"/>
        </w:tabs>
        <w:rPr>
          <w:noProof/>
          <w:sz w:val="24"/>
          <w:szCs w:val="24"/>
          <w:lang w:eastAsia="ja-JP"/>
        </w:rPr>
      </w:pPr>
      <w:r>
        <w:rPr>
          <w:noProof/>
        </w:rPr>
        <w:t>3.1.1</w:t>
      </w:r>
      <w:r>
        <w:rPr>
          <w:noProof/>
          <w:sz w:val="24"/>
          <w:szCs w:val="24"/>
          <w:lang w:eastAsia="ja-JP"/>
        </w:rPr>
        <w:tab/>
      </w:r>
      <w:r>
        <w:rPr>
          <w:noProof/>
        </w:rPr>
        <w:t>Sanger validation</w:t>
      </w:r>
      <w:r>
        <w:rPr>
          <w:noProof/>
        </w:rPr>
        <w:tab/>
      </w:r>
      <w:r>
        <w:rPr>
          <w:noProof/>
        </w:rPr>
        <w:fldChar w:fldCharType="begin"/>
      </w:r>
      <w:r>
        <w:rPr>
          <w:noProof/>
        </w:rPr>
        <w:instrText xml:space="preserve"> PAGEREF _Toc289421716 \h </w:instrText>
      </w:r>
      <w:r>
        <w:rPr>
          <w:noProof/>
        </w:rPr>
      </w:r>
      <w:r>
        <w:rPr>
          <w:noProof/>
        </w:rPr>
        <w:fldChar w:fldCharType="separate"/>
      </w:r>
      <w:r>
        <w:rPr>
          <w:noProof/>
        </w:rPr>
        <w:t>11</w:t>
      </w:r>
      <w:r>
        <w:rPr>
          <w:noProof/>
        </w:rPr>
        <w:fldChar w:fldCharType="end"/>
      </w:r>
    </w:p>
    <w:p w14:paraId="3C65C046" w14:textId="77777777" w:rsidR="004A1973" w:rsidRDefault="004A1973">
      <w:pPr>
        <w:pStyle w:val="TOC3"/>
        <w:tabs>
          <w:tab w:val="left" w:pos="1096"/>
          <w:tab w:val="right" w:leader="dot" w:pos="8290"/>
        </w:tabs>
        <w:rPr>
          <w:noProof/>
          <w:sz w:val="24"/>
          <w:szCs w:val="24"/>
          <w:lang w:eastAsia="ja-JP"/>
        </w:rPr>
      </w:pPr>
      <w:r>
        <w:rPr>
          <w:noProof/>
        </w:rPr>
        <w:t>3.1.2</w:t>
      </w:r>
      <w:r>
        <w:rPr>
          <w:noProof/>
          <w:sz w:val="24"/>
          <w:szCs w:val="24"/>
          <w:lang w:eastAsia="ja-JP"/>
        </w:rPr>
        <w:tab/>
      </w:r>
      <w:r>
        <w:rPr>
          <w:noProof/>
        </w:rPr>
        <w:t>Miseq validation</w:t>
      </w:r>
      <w:r>
        <w:rPr>
          <w:noProof/>
        </w:rPr>
        <w:tab/>
      </w:r>
      <w:r>
        <w:rPr>
          <w:noProof/>
        </w:rPr>
        <w:fldChar w:fldCharType="begin"/>
      </w:r>
      <w:r>
        <w:rPr>
          <w:noProof/>
        </w:rPr>
        <w:instrText xml:space="preserve"> PAGEREF _Toc289421717 \h </w:instrText>
      </w:r>
      <w:r>
        <w:rPr>
          <w:noProof/>
        </w:rPr>
      </w:r>
      <w:r>
        <w:rPr>
          <w:noProof/>
        </w:rPr>
        <w:fldChar w:fldCharType="separate"/>
      </w:r>
      <w:r>
        <w:rPr>
          <w:noProof/>
        </w:rPr>
        <w:t>12</w:t>
      </w:r>
      <w:r>
        <w:rPr>
          <w:noProof/>
        </w:rPr>
        <w:fldChar w:fldCharType="end"/>
      </w:r>
    </w:p>
    <w:p w14:paraId="268E19D1" w14:textId="77777777" w:rsidR="004A1973" w:rsidRDefault="004A1973">
      <w:pPr>
        <w:pStyle w:val="TOC3"/>
        <w:tabs>
          <w:tab w:val="left" w:pos="1096"/>
          <w:tab w:val="right" w:leader="dot" w:pos="8290"/>
        </w:tabs>
        <w:rPr>
          <w:noProof/>
          <w:sz w:val="24"/>
          <w:szCs w:val="24"/>
          <w:lang w:eastAsia="ja-JP"/>
        </w:rPr>
      </w:pPr>
      <w:r>
        <w:rPr>
          <w:noProof/>
        </w:rPr>
        <w:t>3.1.3</w:t>
      </w:r>
      <w:r>
        <w:rPr>
          <w:noProof/>
          <w:sz w:val="24"/>
          <w:szCs w:val="24"/>
          <w:lang w:eastAsia="ja-JP"/>
        </w:rPr>
        <w:tab/>
      </w:r>
      <w:r>
        <w:rPr>
          <w:noProof/>
        </w:rPr>
        <w:t>IonTorrent validation</w:t>
      </w:r>
      <w:r>
        <w:rPr>
          <w:noProof/>
        </w:rPr>
        <w:tab/>
      </w:r>
      <w:r>
        <w:rPr>
          <w:noProof/>
        </w:rPr>
        <w:fldChar w:fldCharType="begin"/>
      </w:r>
      <w:r>
        <w:rPr>
          <w:noProof/>
        </w:rPr>
        <w:instrText xml:space="preserve"> PAGEREF _Toc289421718 \h </w:instrText>
      </w:r>
      <w:r>
        <w:rPr>
          <w:noProof/>
        </w:rPr>
      </w:r>
      <w:r>
        <w:rPr>
          <w:noProof/>
        </w:rPr>
        <w:fldChar w:fldCharType="separate"/>
      </w:r>
      <w:r>
        <w:rPr>
          <w:noProof/>
        </w:rPr>
        <w:t>12</w:t>
      </w:r>
      <w:r>
        <w:rPr>
          <w:noProof/>
        </w:rPr>
        <w:fldChar w:fldCharType="end"/>
      </w:r>
    </w:p>
    <w:p w14:paraId="34813F58" w14:textId="77777777" w:rsidR="004A1973" w:rsidRDefault="004A1973">
      <w:pPr>
        <w:pStyle w:val="TOC2"/>
        <w:tabs>
          <w:tab w:val="left" w:pos="752"/>
          <w:tab w:val="right" w:leader="dot" w:pos="8290"/>
        </w:tabs>
        <w:rPr>
          <w:b w:val="0"/>
          <w:noProof/>
          <w:sz w:val="24"/>
          <w:szCs w:val="24"/>
          <w:lang w:eastAsia="ja-JP"/>
        </w:rPr>
      </w:pPr>
      <w:r>
        <w:rPr>
          <w:noProof/>
        </w:rPr>
        <w:t>3.2</w:t>
      </w:r>
      <w:r>
        <w:rPr>
          <w:b w:val="0"/>
          <w:noProof/>
          <w:sz w:val="24"/>
          <w:szCs w:val="24"/>
          <w:lang w:eastAsia="ja-JP"/>
        </w:rPr>
        <w:tab/>
      </w:r>
      <w:r w:rsidRPr="00627E97">
        <w:rPr>
          <w:i/>
          <w:noProof/>
        </w:rPr>
        <w:t xml:space="preserve">De novo </w:t>
      </w:r>
      <w:r>
        <w:rPr>
          <w:noProof/>
        </w:rPr>
        <w:t>indel validation results</w:t>
      </w:r>
      <w:r>
        <w:rPr>
          <w:noProof/>
        </w:rPr>
        <w:tab/>
      </w:r>
      <w:r>
        <w:rPr>
          <w:noProof/>
        </w:rPr>
        <w:fldChar w:fldCharType="begin"/>
      </w:r>
      <w:r>
        <w:rPr>
          <w:noProof/>
        </w:rPr>
        <w:instrText xml:space="preserve"> PAGEREF _Toc289421719 \h </w:instrText>
      </w:r>
      <w:r>
        <w:rPr>
          <w:noProof/>
        </w:rPr>
      </w:r>
      <w:r>
        <w:rPr>
          <w:noProof/>
        </w:rPr>
        <w:fldChar w:fldCharType="separate"/>
      </w:r>
      <w:r>
        <w:rPr>
          <w:noProof/>
        </w:rPr>
        <w:t>12</w:t>
      </w:r>
      <w:r>
        <w:rPr>
          <w:noProof/>
        </w:rPr>
        <w:fldChar w:fldCharType="end"/>
      </w:r>
    </w:p>
    <w:p w14:paraId="5D67D355" w14:textId="77777777" w:rsidR="004A1973" w:rsidRDefault="004A1973">
      <w:pPr>
        <w:pStyle w:val="TOC2"/>
        <w:tabs>
          <w:tab w:val="left" w:pos="752"/>
          <w:tab w:val="right" w:leader="dot" w:pos="8290"/>
        </w:tabs>
        <w:rPr>
          <w:b w:val="0"/>
          <w:noProof/>
          <w:sz w:val="24"/>
          <w:szCs w:val="24"/>
          <w:lang w:eastAsia="ja-JP"/>
        </w:rPr>
      </w:pPr>
      <w:r w:rsidRPr="00627E97">
        <w:rPr>
          <w:noProof/>
        </w:rPr>
        <w:t>3.3</w:t>
      </w:r>
      <w:r>
        <w:rPr>
          <w:b w:val="0"/>
          <w:noProof/>
          <w:sz w:val="24"/>
          <w:szCs w:val="24"/>
          <w:lang w:eastAsia="ja-JP"/>
        </w:rPr>
        <w:tab/>
      </w:r>
      <w:r w:rsidRPr="00627E97">
        <w:rPr>
          <w:i/>
          <w:noProof/>
        </w:rPr>
        <w:t xml:space="preserve">De novo </w:t>
      </w:r>
      <w:r w:rsidRPr="00627E97">
        <w:rPr>
          <w:noProof/>
        </w:rPr>
        <w:t>SV validation results</w:t>
      </w:r>
      <w:r>
        <w:rPr>
          <w:noProof/>
        </w:rPr>
        <w:tab/>
      </w:r>
      <w:r>
        <w:rPr>
          <w:noProof/>
        </w:rPr>
        <w:fldChar w:fldCharType="begin"/>
      </w:r>
      <w:r>
        <w:rPr>
          <w:noProof/>
        </w:rPr>
        <w:instrText xml:space="preserve"> PAGEREF _Toc289421720 \h </w:instrText>
      </w:r>
      <w:r>
        <w:rPr>
          <w:noProof/>
        </w:rPr>
      </w:r>
      <w:r>
        <w:rPr>
          <w:noProof/>
        </w:rPr>
        <w:fldChar w:fldCharType="separate"/>
      </w:r>
      <w:r>
        <w:rPr>
          <w:noProof/>
        </w:rPr>
        <w:t>12</w:t>
      </w:r>
      <w:r>
        <w:rPr>
          <w:noProof/>
        </w:rPr>
        <w:fldChar w:fldCharType="end"/>
      </w:r>
    </w:p>
    <w:p w14:paraId="73233ED7" w14:textId="77777777" w:rsidR="004A1973" w:rsidRDefault="004A1973">
      <w:pPr>
        <w:pStyle w:val="TOC3"/>
        <w:tabs>
          <w:tab w:val="left" w:pos="1096"/>
          <w:tab w:val="right" w:leader="dot" w:pos="8290"/>
        </w:tabs>
        <w:rPr>
          <w:noProof/>
          <w:sz w:val="24"/>
          <w:szCs w:val="24"/>
          <w:lang w:eastAsia="ja-JP"/>
        </w:rPr>
      </w:pPr>
      <w:r>
        <w:rPr>
          <w:noProof/>
        </w:rPr>
        <w:t>3.3.1</w:t>
      </w:r>
      <w:r>
        <w:rPr>
          <w:noProof/>
          <w:sz w:val="24"/>
          <w:szCs w:val="24"/>
          <w:lang w:eastAsia="ja-JP"/>
        </w:rPr>
        <w:tab/>
      </w:r>
      <w:r>
        <w:rPr>
          <w:noProof/>
        </w:rPr>
        <w:t>Pilot validation of split-reads and discordant reads predictions</w:t>
      </w:r>
      <w:r>
        <w:rPr>
          <w:noProof/>
        </w:rPr>
        <w:tab/>
      </w:r>
      <w:r>
        <w:rPr>
          <w:noProof/>
        </w:rPr>
        <w:fldChar w:fldCharType="begin"/>
      </w:r>
      <w:r>
        <w:rPr>
          <w:noProof/>
        </w:rPr>
        <w:instrText xml:space="preserve"> PAGEREF _Toc289421721 \h </w:instrText>
      </w:r>
      <w:r>
        <w:rPr>
          <w:noProof/>
        </w:rPr>
      </w:r>
      <w:r>
        <w:rPr>
          <w:noProof/>
        </w:rPr>
        <w:fldChar w:fldCharType="separate"/>
      </w:r>
      <w:r>
        <w:rPr>
          <w:noProof/>
        </w:rPr>
        <w:t>13</w:t>
      </w:r>
      <w:r>
        <w:rPr>
          <w:noProof/>
        </w:rPr>
        <w:fldChar w:fldCharType="end"/>
      </w:r>
    </w:p>
    <w:p w14:paraId="2A2EAB94" w14:textId="77777777" w:rsidR="004A1973" w:rsidRDefault="004A1973">
      <w:pPr>
        <w:pStyle w:val="TOC3"/>
        <w:tabs>
          <w:tab w:val="left" w:pos="1096"/>
          <w:tab w:val="right" w:leader="dot" w:pos="8290"/>
        </w:tabs>
        <w:rPr>
          <w:noProof/>
          <w:sz w:val="24"/>
          <w:szCs w:val="24"/>
          <w:lang w:eastAsia="ja-JP"/>
        </w:rPr>
      </w:pPr>
      <w:r>
        <w:rPr>
          <w:noProof/>
        </w:rPr>
        <w:t>3.3.2</w:t>
      </w:r>
      <w:r>
        <w:rPr>
          <w:noProof/>
          <w:sz w:val="24"/>
          <w:szCs w:val="24"/>
          <w:lang w:eastAsia="ja-JP"/>
        </w:rPr>
        <w:tab/>
      </w:r>
      <w:r>
        <w:rPr>
          <w:noProof/>
        </w:rPr>
        <w:t>Large SVs / discordant pair and read depth approaches</w:t>
      </w:r>
      <w:r>
        <w:rPr>
          <w:noProof/>
        </w:rPr>
        <w:tab/>
      </w:r>
      <w:r>
        <w:rPr>
          <w:noProof/>
        </w:rPr>
        <w:fldChar w:fldCharType="begin"/>
      </w:r>
      <w:r>
        <w:rPr>
          <w:noProof/>
        </w:rPr>
        <w:instrText xml:space="preserve"> PAGEREF _Toc289421722 \h </w:instrText>
      </w:r>
      <w:r>
        <w:rPr>
          <w:noProof/>
        </w:rPr>
      </w:r>
      <w:r>
        <w:rPr>
          <w:noProof/>
        </w:rPr>
        <w:fldChar w:fldCharType="separate"/>
      </w:r>
      <w:r>
        <w:rPr>
          <w:noProof/>
        </w:rPr>
        <w:t>13</w:t>
      </w:r>
      <w:r>
        <w:rPr>
          <w:noProof/>
        </w:rPr>
        <w:fldChar w:fldCharType="end"/>
      </w:r>
    </w:p>
    <w:p w14:paraId="5B790EC7" w14:textId="77777777" w:rsidR="004A1973" w:rsidRDefault="004A1973">
      <w:pPr>
        <w:pStyle w:val="TOC3"/>
        <w:tabs>
          <w:tab w:val="left" w:pos="1096"/>
          <w:tab w:val="right" w:leader="dot" w:pos="8290"/>
        </w:tabs>
        <w:rPr>
          <w:noProof/>
          <w:sz w:val="24"/>
          <w:szCs w:val="24"/>
          <w:lang w:eastAsia="ja-JP"/>
        </w:rPr>
      </w:pPr>
      <w:r>
        <w:rPr>
          <w:noProof/>
        </w:rPr>
        <w:t>3.3.3</w:t>
      </w:r>
      <w:r>
        <w:rPr>
          <w:noProof/>
          <w:sz w:val="24"/>
          <w:szCs w:val="24"/>
          <w:lang w:eastAsia="ja-JP"/>
        </w:rPr>
        <w:tab/>
      </w:r>
      <w:r>
        <w:rPr>
          <w:noProof/>
        </w:rPr>
        <w:t>Large SVs / read depth-based methods</w:t>
      </w:r>
      <w:r>
        <w:rPr>
          <w:noProof/>
        </w:rPr>
        <w:tab/>
      </w:r>
      <w:r>
        <w:rPr>
          <w:noProof/>
        </w:rPr>
        <w:fldChar w:fldCharType="begin"/>
      </w:r>
      <w:r>
        <w:rPr>
          <w:noProof/>
        </w:rPr>
        <w:instrText xml:space="preserve"> PAGEREF _Toc289421723 \h </w:instrText>
      </w:r>
      <w:r>
        <w:rPr>
          <w:noProof/>
        </w:rPr>
      </w:r>
      <w:r>
        <w:rPr>
          <w:noProof/>
        </w:rPr>
        <w:fldChar w:fldCharType="separate"/>
      </w:r>
      <w:r>
        <w:rPr>
          <w:noProof/>
        </w:rPr>
        <w:t>13</w:t>
      </w:r>
      <w:r>
        <w:rPr>
          <w:noProof/>
        </w:rPr>
        <w:fldChar w:fldCharType="end"/>
      </w:r>
    </w:p>
    <w:p w14:paraId="4E38C31B" w14:textId="77777777" w:rsidR="004A1973" w:rsidRDefault="004A1973">
      <w:pPr>
        <w:pStyle w:val="TOC3"/>
        <w:tabs>
          <w:tab w:val="left" w:pos="1096"/>
          <w:tab w:val="right" w:leader="dot" w:pos="8290"/>
        </w:tabs>
        <w:rPr>
          <w:noProof/>
          <w:sz w:val="24"/>
          <w:szCs w:val="24"/>
          <w:lang w:eastAsia="ja-JP"/>
        </w:rPr>
      </w:pPr>
      <w:r>
        <w:rPr>
          <w:noProof/>
        </w:rPr>
        <w:t>3.3.4</w:t>
      </w:r>
      <w:r>
        <w:rPr>
          <w:noProof/>
          <w:sz w:val="24"/>
          <w:szCs w:val="24"/>
          <w:lang w:eastAsia="ja-JP"/>
        </w:rPr>
        <w:tab/>
      </w:r>
      <w:r>
        <w:rPr>
          <w:noProof/>
        </w:rPr>
        <w:t>Short SVs produced by MATE-CLEVER</w:t>
      </w:r>
      <w:r>
        <w:rPr>
          <w:noProof/>
        </w:rPr>
        <w:tab/>
      </w:r>
      <w:r>
        <w:rPr>
          <w:noProof/>
        </w:rPr>
        <w:fldChar w:fldCharType="begin"/>
      </w:r>
      <w:r>
        <w:rPr>
          <w:noProof/>
        </w:rPr>
        <w:instrText xml:space="preserve"> PAGEREF _Toc289421724 \h </w:instrText>
      </w:r>
      <w:r>
        <w:rPr>
          <w:noProof/>
        </w:rPr>
      </w:r>
      <w:r>
        <w:rPr>
          <w:noProof/>
        </w:rPr>
        <w:fldChar w:fldCharType="separate"/>
      </w:r>
      <w:r>
        <w:rPr>
          <w:noProof/>
        </w:rPr>
        <w:t>13</w:t>
      </w:r>
      <w:r>
        <w:rPr>
          <w:noProof/>
        </w:rPr>
        <w:fldChar w:fldCharType="end"/>
      </w:r>
    </w:p>
    <w:p w14:paraId="72A1C257" w14:textId="77777777" w:rsidR="004A1973" w:rsidRDefault="004A1973">
      <w:pPr>
        <w:pStyle w:val="TOC3"/>
        <w:tabs>
          <w:tab w:val="left" w:pos="1096"/>
          <w:tab w:val="right" w:leader="dot" w:pos="8290"/>
        </w:tabs>
        <w:rPr>
          <w:noProof/>
          <w:sz w:val="24"/>
          <w:szCs w:val="24"/>
          <w:lang w:eastAsia="ja-JP"/>
        </w:rPr>
      </w:pPr>
      <w:r>
        <w:rPr>
          <w:noProof/>
        </w:rPr>
        <w:t>3.3.5</w:t>
      </w:r>
      <w:r>
        <w:rPr>
          <w:noProof/>
          <w:sz w:val="24"/>
          <w:szCs w:val="24"/>
          <w:lang w:eastAsia="ja-JP"/>
        </w:rPr>
        <w:tab/>
      </w:r>
      <w:r>
        <w:rPr>
          <w:noProof/>
        </w:rPr>
        <w:t>Large scale validation</w:t>
      </w:r>
      <w:r>
        <w:rPr>
          <w:noProof/>
        </w:rPr>
        <w:tab/>
      </w:r>
      <w:r>
        <w:rPr>
          <w:noProof/>
        </w:rPr>
        <w:fldChar w:fldCharType="begin"/>
      </w:r>
      <w:r>
        <w:rPr>
          <w:noProof/>
        </w:rPr>
        <w:instrText xml:space="preserve"> PAGEREF _Toc289421725 \h </w:instrText>
      </w:r>
      <w:r>
        <w:rPr>
          <w:noProof/>
        </w:rPr>
      </w:r>
      <w:r>
        <w:rPr>
          <w:noProof/>
        </w:rPr>
        <w:fldChar w:fldCharType="separate"/>
      </w:r>
      <w:r>
        <w:rPr>
          <w:noProof/>
        </w:rPr>
        <w:t>13</w:t>
      </w:r>
      <w:r>
        <w:rPr>
          <w:noProof/>
        </w:rPr>
        <w:fldChar w:fldCharType="end"/>
      </w:r>
    </w:p>
    <w:p w14:paraId="42A97426" w14:textId="77777777" w:rsidR="004A1973" w:rsidRDefault="004A1973">
      <w:pPr>
        <w:pStyle w:val="TOC3"/>
        <w:tabs>
          <w:tab w:val="left" w:pos="1096"/>
          <w:tab w:val="right" w:leader="dot" w:pos="8290"/>
        </w:tabs>
        <w:rPr>
          <w:noProof/>
          <w:sz w:val="24"/>
          <w:szCs w:val="24"/>
          <w:lang w:eastAsia="ja-JP"/>
        </w:rPr>
      </w:pPr>
      <w:r>
        <w:rPr>
          <w:noProof/>
        </w:rPr>
        <w:t>3.3.6</w:t>
      </w:r>
      <w:r>
        <w:rPr>
          <w:noProof/>
          <w:sz w:val="24"/>
          <w:szCs w:val="24"/>
          <w:lang w:eastAsia="ja-JP"/>
        </w:rPr>
        <w:tab/>
      </w:r>
      <w:r>
        <w:rPr>
          <w:noProof/>
        </w:rPr>
        <w:t>Mobile element insertions validation</w:t>
      </w:r>
      <w:r>
        <w:rPr>
          <w:noProof/>
        </w:rPr>
        <w:tab/>
      </w:r>
      <w:r>
        <w:rPr>
          <w:noProof/>
        </w:rPr>
        <w:fldChar w:fldCharType="begin"/>
      </w:r>
      <w:r>
        <w:rPr>
          <w:noProof/>
        </w:rPr>
        <w:instrText xml:space="preserve"> PAGEREF _Toc289421726 \h </w:instrText>
      </w:r>
      <w:r>
        <w:rPr>
          <w:noProof/>
        </w:rPr>
      </w:r>
      <w:r>
        <w:rPr>
          <w:noProof/>
        </w:rPr>
        <w:fldChar w:fldCharType="separate"/>
      </w:r>
      <w:r>
        <w:rPr>
          <w:noProof/>
        </w:rPr>
        <w:t>13</w:t>
      </w:r>
      <w:r>
        <w:rPr>
          <w:noProof/>
        </w:rPr>
        <w:fldChar w:fldCharType="end"/>
      </w:r>
    </w:p>
    <w:p w14:paraId="79D9A90C" w14:textId="77777777" w:rsidR="004A1973" w:rsidRDefault="004A1973">
      <w:pPr>
        <w:pStyle w:val="TOC3"/>
        <w:tabs>
          <w:tab w:val="left" w:pos="1096"/>
          <w:tab w:val="right" w:leader="dot" w:pos="8290"/>
        </w:tabs>
        <w:rPr>
          <w:noProof/>
          <w:sz w:val="24"/>
          <w:szCs w:val="24"/>
          <w:lang w:eastAsia="ja-JP"/>
        </w:rPr>
      </w:pPr>
      <w:r>
        <w:rPr>
          <w:noProof/>
        </w:rPr>
        <w:t>3.3.7</w:t>
      </w:r>
      <w:r>
        <w:rPr>
          <w:noProof/>
          <w:sz w:val="24"/>
          <w:szCs w:val="24"/>
          <w:lang w:eastAsia="ja-JP"/>
        </w:rPr>
        <w:tab/>
      </w:r>
      <w:r>
        <w:rPr>
          <w:noProof/>
        </w:rPr>
        <w:t>Cross-validation using SNP array data</w:t>
      </w:r>
      <w:r>
        <w:rPr>
          <w:noProof/>
        </w:rPr>
        <w:tab/>
      </w:r>
      <w:r>
        <w:rPr>
          <w:noProof/>
        </w:rPr>
        <w:fldChar w:fldCharType="begin"/>
      </w:r>
      <w:r>
        <w:rPr>
          <w:noProof/>
        </w:rPr>
        <w:instrText xml:space="preserve"> PAGEREF _Toc289421727 \h </w:instrText>
      </w:r>
      <w:r>
        <w:rPr>
          <w:noProof/>
        </w:rPr>
      </w:r>
      <w:r>
        <w:rPr>
          <w:noProof/>
        </w:rPr>
        <w:fldChar w:fldCharType="separate"/>
      </w:r>
      <w:r>
        <w:rPr>
          <w:noProof/>
        </w:rPr>
        <w:t>13</w:t>
      </w:r>
      <w:r>
        <w:rPr>
          <w:noProof/>
        </w:rPr>
        <w:fldChar w:fldCharType="end"/>
      </w:r>
    </w:p>
    <w:p w14:paraId="2E3729FF" w14:textId="77777777" w:rsidR="004A1973" w:rsidRDefault="004A1973">
      <w:pPr>
        <w:pStyle w:val="TOC3"/>
        <w:tabs>
          <w:tab w:val="left" w:pos="1096"/>
          <w:tab w:val="right" w:leader="dot" w:pos="8290"/>
        </w:tabs>
        <w:rPr>
          <w:noProof/>
          <w:sz w:val="24"/>
          <w:szCs w:val="24"/>
          <w:lang w:eastAsia="ja-JP"/>
        </w:rPr>
      </w:pPr>
      <w:r>
        <w:rPr>
          <w:noProof/>
        </w:rPr>
        <w:t>3.3.8</w:t>
      </w:r>
      <w:r>
        <w:rPr>
          <w:noProof/>
          <w:sz w:val="24"/>
          <w:szCs w:val="24"/>
          <w:lang w:eastAsia="ja-JP"/>
        </w:rPr>
        <w:tab/>
      </w:r>
      <w:r>
        <w:rPr>
          <w:noProof/>
        </w:rPr>
        <w:t>Precision of breakpoint prediction by SV calling tools</w:t>
      </w:r>
      <w:r>
        <w:rPr>
          <w:noProof/>
        </w:rPr>
        <w:tab/>
      </w:r>
      <w:r>
        <w:rPr>
          <w:noProof/>
        </w:rPr>
        <w:fldChar w:fldCharType="begin"/>
      </w:r>
      <w:r>
        <w:rPr>
          <w:noProof/>
        </w:rPr>
        <w:instrText xml:space="preserve"> PAGEREF _Toc289421728 \h </w:instrText>
      </w:r>
      <w:r>
        <w:rPr>
          <w:noProof/>
        </w:rPr>
      </w:r>
      <w:r>
        <w:rPr>
          <w:noProof/>
        </w:rPr>
        <w:fldChar w:fldCharType="separate"/>
      </w:r>
      <w:r>
        <w:rPr>
          <w:noProof/>
        </w:rPr>
        <w:t>14</w:t>
      </w:r>
      <w:r>
        <w:rPr>
          <w:noProof/>
        </w:rPr>
        <w:fldChar w:fldCharType="end"/>
      </w:r>
    </w:p>
    <w:p w14:paraId="1552E033" w14:textId="77777777" w:rsidR="004A1973" w:rsidRDefault="004A1973">
      <w:pPr>
        <w:pStyle w:val="TOC1"/>
        <w:tabs>
          <w:tab w:val="left" w:pos="382"/>
          <w:tab w:val="right" w:leader="dot" w:pos="8290"/>
        </w:tabs>
        <w:rPr>
          <w:b w:val="0"/>
          <w:noProof/>
          <w:lang w:eastAsia="ja-JP"/>
        </w:rPr>
      </w:pPr>
      <w:r>
        <w:rPr>
          <w:noProof/>
        </w:rPr>
        <w:t>4</w:t>
      </w:r>
      <w:r>
        <w:rPr>
          <w:b w:val="0"/>
          <w:noProof/>
          <w:lang w:eastAsia="ja-JP"/>
        </w:rPr>
        <w:tab/>
      </w:r>
      <w:r>
        <w:rPr>
          <w:noProof/>
        </w:rPr>
        <w:t>Indel classification</w:t>
      </w:r>
      <w:r>
        <w:rPr>
          <w:noProof/>
        </w:rPr>
        <w:tab/>
      </w:r>
      <w:r>
        <w:rPr>
          <w:noProof/>
        </w:rPr>
        <w:fldChar w:fldCharType="begin"/>
      </w:r>
      <w:r>
        <w:rPr>
          <w:noProof/>
        </w:rPr>
        <w:instrText xml:space="preserve"> PAGEREF _Toc289421729 \h </w:instrText>
      </w:r>
      <w:r>
        <w:rPr>
          <w:noProof/>
        </w:rPr>
      </w:r>
      <w:r>
        <w:rPr>
          <w:noProof/>
        </w:rPr>
        <w:fldChar w:fldCharType="separate"/>
      </w:r>
      <w:r>
        <w:rPr>
          <w:noProof/>
        </w:rPr>
        <w:t>14</w:t>
      </w:r>
      <w:r>
        <w:rPr>
          <w:noProof/>
        </w:rPr>
        <w:fldChar w:fldCharType="end"/>
      </w:r>
    </w:p>
    <w:p w14:paraId="276FBFB9" w14:textId="77777777" w:rsidR="004A1973" w:rsidRDefault="004A1973">
      <w:pPr>
        <w:pStyle w:val="TOC2"/>
        <w:tabs>
          <w:tab w:val="left" w:pos="752"/>
          <w:tab w:val="right" w:leader="dot" w:pos="8290"/>
        </w:tabs>
        <w:rPr>
          <w:b w:val="0"/>
          <w:noProof/>
          <w:sz w:val="24"/>
          <w:szCs w:val="24"/>
          <w:lang w:eastAsia="ja-JP"/>
        </w:rPr>
      </w:pPr>
      <w:r>
        <w:rPr>
          <w:noProof/>
        </w:rPr>
        <w:t>4.1</w:t>
      </w:r>
      <w:r>
        <w:rPr>
          <w:b w:val="0"/>
          <w:noProof/>
          <w:sz w:val="24"/>
          <w:szCs w:val="24"/>
          <w:lang w:eastAsia="ja-JP"/>
        </w:rPr>
        <w:tab/>
      </w:r>
      <w:r>
        <w:rPr>
          <w:noProof/>
        </w:rPr>
        <w:t>Formation mechanism</w:t>
      </w:r>
      <w:r>
        <w:rPr>
          <w:noProof/>
        </w:rPr>
        <w:tab/>
      </w:r>
      <w:r>
        <w:rPr>
          <w:noProof/>
        </w:rPr>
        <w:fldChar w:fldCharType="begin"/>
      </w:r>
      <w:r>
        <w:rPr>
          <w:noProof/>
        </w:rPr>
        <w:instrText xml:space="preserve"> PAGEREF _Toc289421730 \h </w:instrText>
      </w:r>
      <w:r>
        <w:rPr>
          <w:noProof/>
        </w:rPr>
      </w:r>
      <w:r>
        <w:rPr>
          <w:noProof/>
        </w:rPr>
        <w:fldChar w:fldCharType="separate"/>
      </w:r>
      <w:r>
        <w:rPr>
          <w:noProof/>
        </w:rPr>
        <w:t>14</w:t>
      </w:r>
      <w:r>
        <w:rPr>
          <w:noProof/>
        </w:rPr>
        <w:fldChar w:fldCharType="end"/>
      </w:r>
    </w:p>
    <w:p w14:paraId="051AE2B8" w14:textId="77777777" w:rsidR="004A1973" w:rsidRDefault="004A1973">
      <w:pPr>
        <w:pStyle w:val="TOC2"/>
        <w:tabs>
          <w:tab w:val="left" w:pos="752"/>
          <w:tab w:val="right" w:leader="dot" w:pos="8290"/>
        </w:tabs>
        <w:rPr>
          <w:b w:val="0"/>
          <w:noProof/>
          <w:sz w:val="24"/>
          <w:szCs w:val="24"/>
          <w:lang w:eastAsia="ja-JP"/>
        </w:rPr>
      </w:pPr>
      <w:r>
        <w:rPr>
          <w:noProof/>
        </w:rPr>
        <w:t>4.2</w:t>
      </w:r>
      <w:r>
        <w:rPr>
          <w:b w:val="0"/>
          <w:noProof/>
          <w:sz w:val="24"/>
          <w:szCs w:val="24"/>
          <w:lang w:eastAsia="ja-JP"/>
        </w:rPr>
        <w:tab/>
      </w:r>
      <w:r>
        <w:rPr>
          <w:noProof/>
        </w:rPr>
        <w:t>Frequency of indel categories</w:t>
      </w:r>
      <w:r>
        <w:rPr>
          <w:noProof/>
        </w:rPr>
        <w:tab/>
      </w:r>
      <w:r>
        <w:rPr>
          <w:noProof/>
        </w:rPr>
        <w:fldChar w:fldCharType="begin"/>
      </w:r>
      <w:r>
        <w:rPr>
          <w:noProof/>
        </w:rPr>
        <w:instrText xml:space="preserve"> PAGEREF _Toc289421731 \h </w:instrText>
      </w:r>
      <w:r>
        <w:rPr>
          <w:noProof/>
        </w:rPr>
      </w:r>
      <w:r>
        <w:rPr>
          <w:noProof/>
        </w:rPr>
        <w:fldChar w:fldCharType="separate"/>
      </w:r>
      <w:r>
        <w:rPr>
          <w:noProof/>
        </w:rPr>
        <w:t>15</w:t>
      </w:r>
      <w:r>
        <w:rPr>
          <w:noProof/>
        </w:rPr>
        <w:fldChar w:fldCharType="end"/>
      </w:r>
    </w:p>
    <w:p w14:paraId="73785D65" w14:textId="77777777" w:rsidR="004A1973" w:rsidRDefault="004A1973">
      <w:pPr>
        <w:pStyle w:val="TOC2"/>
        <w:tabs>
          <w:tab w:val="left" w:pos="752"/>
          <w:tab w:val="right" w:leader="dot" w:pos="8290"/>
        </w:tabs>
        <w:rPr>
          <w:b w:val="0"/>
          <w:noProof/>
          <w:sz w:val="24"/>
          <w:szCs w:val="24"/>
          <w:lang w:eastAsia="ja-JP"/>
        </w:rPr>
      </w:pPr>
      <w:r>
        <w:rPr>
          <w:noProof/>
        </w:rPr>
        <w:t>4.3</w:t>
      </w:r>
      <w:r>
        <w:rPr>
          <w:b w:val="0"/>
          <w:noProof/>
          <w:sz w:val="24"/>
          <w:szCs w:val="24"/>
          <w:lang w:eastAsia="ja-JP"/>
        </w:rPr>
        <w:tab/>
      </w:r>
      <w:r>
        <w:rPr>
          <w:noProof/>
        </w:rPr>
        <w:t>Comparison against inherited indels</w:t>
      </w:r>
      <w:r>
        <w:rPr>
          <w:noProof/>
        </w:rPr>
        <w:tab/>
      </w:r>
      <w:r>
        <w:rPr>
          <w:noProof/>
        </w:rPr>
        <w:fldChar w:fldCharType="begin"/>
      </w:r>
      <w:r>
        <w:rPr>
          <w:noProof/>
        </w:rPr>
        <w:instrText xml:space="preserve"> PAGEREF _Toc289421732 \h </w:instrText>
      </w:r>
      <w:r>
        <w:rPr>
          <w:noProof/>
        </w:rPr>
      </w:r>
      <w:r>
        <w:rPr>
          <w:noProof/>
        </w:rPr>
        <w:fldChar w:fldCharType="separate"/>
      </w:r>
      <w:r>
        <w:rPr>
          <w:noProof/>
        </w:rPr>
        <w:t>15</w:t>
      </w:r>
      <w:r>
        <w:rPr>
          <w:noProof/>
        </w:rPr>
        <w:fldChar w:fldCharType="end"/>
      </w:r>
    </w:p>
    <w:p w14:paraId="6BA3E081" w14:textId="77777777" w:rsidR="004A1973" w:rsidRDefault="004A1973">
      <w:pPr>
        <w:pStyle w:val="TOC1"/>
        <w:tabs>
          <w:tab w:val="left" w:pos="382"/>
          <w:tab w:val="right" w:leader="dot" w:pos="8290"/>
        </w:tabs>
        <w:rPr>
          <w:b w:val="0"/>
          <w:noProof/>
          <w:lang w:eastAsia="ja-JP"/>
        </w:rPr>
      </w:pPr>
      <w:r>
        <w:rPr>
          <w:noProof/>
        </w:rPr>
        <w:t>5</w:t>
      </w:r>
      <w:r>
        <w:rPr>
          <w:b w:val="0"/>
          <w:noProof/>
          <w:lang w:eastAsia="ja-JP"/>
        </w:rPr>
        <w:tab/>
      </w:r>
      <w:r w:rsidRPr="00627E97">
        <w:rPr>
          <w:i/>
          <w:noProof/>
        </w:rPr>
        <w:t>De novo</w:t>
      </w:r>
      <w:r>
        <w:rPr>
          <w:noProof/>
        </w:rPr>
        <w:t xml:space="preserve"> SV formation mechanisms</w:t>
      </w:r>
      <w:r>
        <w:rPr>
          <w:noProof/>
        </w:rPr>
        <w:tab/>
      </w:r>
      <w:r>
        <w:rPr>
          <w:noProof/>
        </w:rPr>
        <w:fldChar w:fldCharType="begin"/>
      </w:r>
      <w:r>
        <w:rPr>
          <w:noProof/>
        </w:rPr>
        <w:instrText xml:space="preserve"> PAGEREF _Toc289421733 \h </w:instrText>
      </w:r>
      <w:r>
        <w:rPr>
          <w:noProof/>
        </w:rPr>
      </w:r>
      <w:r>
        <w:rPr>
          <w:noProof/>
        </w:rPr>
        <w:fldChar w:fldCharType="separate"/>
      </w:r>
      <w:r>
        <w:rPr>
          <w:noProof/>
        </w:rPr>
        <w:t>15</w:t>
      </w:r>
      <w:r>
        <w:rPr>
          <w:noProof/>
        </w:rPr>
        <w:fldChar w:fldCharType="end"/>
      </w:r>
    </w:p>
    <w:p w14:paraId="08E89599" w14:textId="77777777" w:rsidR="004A1973" w:rsidRDefault="004A1973">
      <w:pPr>
        <w:pStyle w:val="TOC1"/>
        <w:tabs>
          <w:tab w:val="left" w:pos="382"/>
          <w:tab w:val="right" w:leader="dot" w:pos="8290"/>
        </w:tabs>
        <w:rPr>
          <w:b w:val="0"/>
          <w:noProof/>
          <w:lang w:eastAsia="ja-JP"/>
        </w:rPr>
      </w:pPr>
      <w:r>
        <w:rPr>
          <w:noProof/>
        </w:rPr>
        <w:t>6</w:t>
      </w:r>
      <w:r>
        <w:rPr>
          <w:b w:val="0"/>
          <w:noProof/>
          <w:lang w:eastAsia="ja-JP"/>
        </w:rPr>
        <w:tab/>
      </w:r>
      <w:r>
        <w:rPr>
          <w:noProof/>
        </w:rPr>
        <w:t>Genome context and functional effects</w:t>
      </w:r>
      <w:r>
        <w:rPr>
          <w:noProof/>
        </w:rPr>
        <w:tab/>
      </w:r>
      <w:r>
        <w:rPr>
          <w:noProof/>
        </w:rPr>
        <w:fldChar w:fldCharType="begin"/>
      </w:r>
      <w:r>
        <w:rPr>
          <w:noProof/>
        </w:rPr>
        <w:instrText xml:space="preserve"> PAGEREF _Toc289421734 \h </w:instrText>
      </w:r>
      <w:r>
        <w:rPr>
          <w:noProof/>
        </w:rPr>
      </w:r>
      <w:r>
        <w:rPr>
          <w:noProof/>
        </w:rPr>
        <w:fldChar w:fldCharType="separate"/>
      </w:r>
      <w:r>
        <w:rPr>
          <w:noProof/>
        </w:rPr>
        <w:t>15</w:t>
      </w:r>
      <w:r>
        <w:rPr>
          <w:noProof/>
        </w:rPr>
        <w:fldChar w:fldCharType="end"/>
      </w:r>
    </w:p>
    <w:p w14:paraId="5DBFD53D" w14:textId="77777777" w:rsidR="004A1973" w:rsidRDefault="004A1973">
      <w:pPr>
        <w:pStyle w:val="TOC1"/>
        <w:tabs>
          <w:tab w:val="left" w:pos="547"/>
          <w:tab w:val="right" w:leader="dot" w:pos="8290"/>
        </w:tabs>
        <w:rPr>
          <w:b w:val="0"/>
          <w:noProof/>
          <w:lang w:eastAsia="ja-JP"/>
        </w:rPr>
      </w:pPr>
      <w:r>
        <w:rPr>
          <w:noProof/>
        </w:rPr>
        <w:t>III.</w:t>
      </w:r>
      <w:r>
        <w:rPr>
          <w:b w:val="0"/>
          <w:noProof/>
          <w:lang w:eastAsia="ja-JP"/>
        </w:rPr>
        <w:tab/>
      </w:r>
      <w:r>
        <w:rPr>
          <w:noProof/>
        </w:rPr>
        <w:t>The Genome of the Netherlands consortium</w:t>
      </w:r>
      <w:r>
        <w:rPr>
          <w:noProof/>
        </w:rPr>
        <w:tab/>
      </w:r>
      <w:r>
        <w:rPr>
          <w:noProof/>
        </w:rPr>
        <w:fldChar w:fldCharType="begin"/>
      </w:r>
      <w:r>
        <w:rPr>
          <w:noProof/>
        </w:rPr>
        <w:instrText xml:space="preserve"> PAGEREF _Toc289421735 \h </w:instrText>
      </w:r>
      <w:r>
        <w:rPr>
          <w:noProof/>
        </w:rPr>
      </w:r>
      <w:r>
        <w:rPr>
          <w:noProof/>
        </w:rPr>
        <w:fldChar w:fldCharType="separate"/>
      </w:r>
      <w:r>
        <w:rPr>
          <w:noProof/>
        </w:rPr>
        <w:t>16</w:t>
      </w:r>
      <w:r>
        <w:rPr>
          <w:noProof/>
        </w:rPr>
        <w:fldChar w:fldCharType="end"/>
      </w:r>
    </w:p>
    <w:p w14:paraId="23646A04" w14:textId="77777777" w:rsidR="004A1973" w:rsidRDefault="004A1973">
      <w:pPr>
        <w:pStyle w:val="TOC1"/>
        <w:tabs>
          <w:tab w:val="left" w:pos="532"/>
          <w:tab w:val="right" w:leader="dot" w:pos="8290"/>
        </w:tabs>
        <w:rPr>
          <w:b w:val="0"/>
          <w:noProof/>
          <w:lang w:eastAsia="ja-JP"/>
        </w:rPr>
      </w:pPr>
      <w:r>
        <w:rPr>
          <w:noProof/>
        </w:rPr>
        <w:t>IV.</w:t>
      </w:r>
      <w:r>
        <w:rPr>
          <w:b w:val="0"/>
          <w:noProof/>
          <w:lang w:eastAsia="ja-JP"/>
        </w:rPr>
        <w:tab/>
      </w:r>
      <w:r>
        <w:rPr>
          <w:noProof/>
        </w:rPr>
        <w:t>The LifeLines Cohort Study</w:t>
      </w:r>
      <w:r>
        <w:rPr>
          <w:noProof/>
        </w:rPr>
        <w:tab/>
      </w:r>
      <w:r>
        <w:rPr>
          <w:noProof/>
        </w:rPr>
        <w:fldChar w:fldCharType="begin"/>
      </w:r>
      <w:r>
        <w:rPr>
          <w:noProof/>
        </w:rPr>
        <w:instrText xml:space="preserve"> PAGEREF _Toc289421736 \h </w:instrText>
      </w:r>
      <w:r>
        <w:rPr>
          <w:noProof/>
        </w:rPr>
      </w:r>
      <w:r>
        <w:rPr>
          <w:noProof/>
        </w:rPr>
        <w:fldChar w:fldCharType="separate"/>
      </w:r>
      <w:r>
        <w:rPr>
          <w:noProof/>
        </w:rPr>
        <w:t>17</w:t>
      </w:r>
      <w:r>
        <w:rPr>
          <w:noProof/>
        </w:rPr>
        <w:fldChar w:fldCharType="end"/>
      </w:r>
    </w:p>
    <w:p w14:paraId="5E43E1A9" w14:textId="77777777" w:rsidR="004A1973" w:rsidRDefault="004A1973">
      <w:pPr>
        <w:pStyle w:val="TOC1"/>
        <w:tabs>
          <w:tab w:val="left" w:pos="448"/>
          <w:tab w:val="right" w:leader="dot" w:pos="8290"/>
        </w:tabs>
        <w:rPr>
          <w:b w:val="0"/>
          <w:noProof/>
          <w:lang w:eastAsia="ja-JP"/>
        </w:rPr>
      </w:pPr>
      <w:r>
        <w:rPr>
          <w:noProof/>
        </w:rPr>
        <w:t>V.</w:t>
      </w:r>
      <w:r>
        <w:rPr>
          <w:b w:val="0"/>
          <w:noProof/>
          <w:lang w:eastAsia="ja-JP"/>
        </w:rPr>
        <w:tab/>
      </w:r>
      <w:r>
        <w:rPr>
          <w:noProof/>
        </w:rPr>
        <w:t>Supplemental References</w:t>
      </w:r>
      <w:r>
        <w:rPr>
          <w:noProof/>
        </w:rPr>
        <w:tab/>
      </w:r>
      <w:r>
        <w:rPr>
          <w:noProof/>
        </w:rPr>
        <w:fldChar w:fldCharType="begin"/>
      </w:r>
      <w:r>
        <w:rPr>
          <w:noProof/>
        </w:rPr>
        <w:instrText xml:space="preserve"> PAGEREF _Toc289421737 \h </w:instrText>
      </w:r>
      <w:r>
        <w:rPr>
          <w:noProof/>
        </w:rPr>
      </w:r>
      <w:r>
        <w:rPr>
          <w:noProof/>
        </w:rPr>
        <w:fldChar w:fldCharType="separate"/>
      </w:r>
      <w:r>
        <w:rPr>
          <w:noProof/>
        </w:rPr>
        <w:t>19</w:t>
      </w:r>
      <w:r>
        <w:rPr>
          <w:noProof/>
        </w:rPr>
        <w:fldChar w:fldCharType="end"/>
      </w:r>
    </w:p>
    <w:p w14:paraId="3D51D764" w14:textId="165276A7" w:rsidR="004819A2" w:rsidRPr="00ED7578" w:rsidRDefault="002E63AA" w:rsidP="00960441">
      <w:pPr>
        <w:outlineLvl w:val="0"/>
        <w:rPr>
          <w:rFonts w:cs="Arial"/>
          <w:b/>
          <w:sz w:val="28"/>
          <w:szCs w:val="28"/>
        </w:rPr>
      </w:pPr>
      <w:r>
        <w:rPr>
          <w:rFonts w:cs="Arial"/>
          <w:b/>
          <w:szCs w:val="28"/>
        </w:rPr>
        <w:fldChar w:fldCharType="end"/>
      </w:r>
    </w:p>
    <w:p w14:paraId="52471675" w14:textId="74FC4D83" w:rsidR="0051420C" w:rsidRDefault="001F2E5C" w:rsidP="004819A2">
      <w:pPr>
        <w:pStyle w:val="SectionTitle"/>
      </w:pPr>
      <w:bookmarkStart w:id="0" w:name="_Toc289421701"/>
      <w:r>
        <w:t>Supplementa</w:t>
      </w:r>
      <w:r w:rsidR="00183E9A">
        <w:t>l</w:t>
      </w:r>
      <w:r w:rsidR="00A75C39">
        <w:t xml:space="preserve"> Figures</w:t>
      </w:r>
      <w:bookmarkEnd w:id="0"/>
    </w:p>
    <w:p w14:paraId="0B3DB5B8" w14:textId="77777777" w:rsidR="002F4E8B" w:rsidRDefault="002F4E8B" w:rsidP="00A86965">
      <w:pPr>
        <w:rPr>
          <w:b/>
        </w:rPr>
      </w:pPr>
      <w:r>
        <w:rPr>
          <w:b/>
          <w:noProof/>
        </w:rPr>
        <w:drawing>
          <wp:inline distT="0" distB="0" distL="0" distR="0" wp14:anchorId="3E7CDB6A" wp14:editId="6AA48EE2">
            <wp:extent cx="5270500" cy="760158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1_new-01.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7601585"/>
                    </a:xfrm>
                    <a:prstGeom prst="rect">
                      <a:avLst/>
                    </a:prstGeom>
                  </pic:spPr>
                </pic:pic>
              </a:graphicData>
            </a:graphic>
          </wp:inline>
        </w:drawing>
      </w:r>
    </w:p>
    <w:p w14:paraId="23372AD3" w14:textId="415AB017" w:rsidR="002F4E8B" w:rsidRPr="00C14061" w:rsidRDefault="005C6657" w:rsidP="00A86965">
      <w:r>
        <w:rPr>
          <w:b/>
        </w:rPr>
        <w:t>Supplementa</w:t>
      </w:r>
      <w:r w:rsidR="00183E9A">
        <w:rPr>
          <w:b/>
        </w:rPr>
        <w:t>l</w:t>
      </w:r>
      <w:r>
        <w:rPr>
          <w:b/>
        </w:rPr>
        <w:t xml:space="preserve"> Figure </w:t>
      </w:r>
      <w:r w:rsidR="00B02507" w:rsidRPr="004A0A81">
        <w:rPr>
          <w:b/>
        </w:rPr>
        <w:t xml:space="preserve">1. </w:t>
      </w:r>
      <w:r w:rsidR="00B02507" w:rsidRPr="00012D60">
        <w:rPr>
          <w:b/>
        </w:rPr>
        <w:t xml:space="preserve">Overview of confirmatory PCR results for </w:t>
      </w:r>
      <w:r w:rsidR="00B02507" w:rsidRPr="00012D60">
        <w:rPr>
          <w:b/>
          <w:i/>
        </w:rPr>
        <w:t xml:space="preserve">de novo </w:t>
      </w:r>
      <w:r w:rsidR="00B02507" w:rsidRPr="00012D60">
        <w:rPr>
          <w:b/>
        </w:rPr>
        <w:t>SV breakpoints (&gt; 100bp)</w:t>
      </w:r>
      <w:r w:rsidR="003D5B8C">
        <w:rPr>
          <w:b/>
        </w:rPr>
        <w:t xml:space="preserve"> identified in the GoNL dataset</w:t>
      </w:r>
      <w:r w:rsidR="0033300C">
        <w:rPr>
          <w:b/>
        </w:rPr>
        <w:t>.</w:t>
      </w:r>
      <w:r w:rsidR="00B02507" w:rsidRPr="00012D60">
        <w:rPr>
          <w:b/>
        </w:rPr>
        <w:t xml:space="preserve"> </w:t>
      </w:r>
      <w:r w:rsidR="003E6E6E">
        <w:rPr>
          <w:b/>
        </w:rPr>
        <w:t xml:space="preserve">(A) </w:t>
      </w:r>
      <w:r w:rsidR="00B02507">
        <w:t xml:space="preserve">Primer sets for </w:t>
      </w:r>
      <w:r w:rsidR="00B02507">
        <w:rPr>
          <w:i/>
        </w:rPr>
        <w:t xml:space="preserve">de novo </w:t>
      </w:r>
      <w:r w:rsidR="00C14061">
        <w:t>SV breakpoint junctions</w:t>
      </w:r>
      <w:r w:rsidR="00B02507">
        <w:t xml:space="preserve"> were tested on the father (a), mother (b) and child (c). For each breakpoint </w:t>
      </w:r>
      <w:r w:rsidR="00205031">
        <w:t xml:space="preserve">junction </w:t>
      </w:r>
      <w:r w:rsidR="00B02507">
        <w:t>a unique PCR band is visible in the child</w:t>
      </w:r>
      <w:r w:rsidR="005435F1">
        <w:t>. The PCR product</w:t>
      </w:r>
      <w:r w:rsidR="00FC2D51">
        <w:t xml:space="preserve"> </w:t>
      </w:r>
      <w:r w:rsidR="00E735F0">
        <w:t xml:space="preserve">was sequenced by Sanger sequencing to confirm the </w:t>
      </w:r>
      <w:r w:rsidR="00E67C6D">
        <w:t xml:space="preserve">predicted </w:t>
      </w:r>
      <w:r w:rsidR="00E735F0">
        <w:t>SV breakpoint</w:t>
      </w:r>
      <w:r w:rsidR="00B02507">
        <w:t xml:space="preserve"> (*).</w:t>
      </w:r>
      <w:r w:rsidR="003E6E6E">
        <w:t xml:space="preserve"> </w:t>
      </w:r>
      <w:r w:rsidR="003E6E6E" w:rsidRPr="003E6E6E">
        <w:rPr>
          <w:b/>
        </w:rPr>
        <w:t>(B)</w:t>
      </w:r>
      <w:r w:rsidR="003E6E6E">
        <w:t xml:space="preserve"> </w:t>
      </w:r>
      <w:r w:rsidR="00C14061">
        <w:t>Coverage depth (left panel) and discordant read pair (right panel) support for a</w:t>
      </w:r>
      <w:r w:rsidR="003E6E6E">
        <w:t xml:space="preserve"> 19kb </w:t>
      </w:r>
      <w:r w:rsidR="003E6E6E">
        <w:rPr>
          <w:i/>
        </w:rPr>
        <w:t xml:space="preserve">de novo </w:t>
      </w:r>
      <w:r w:rsidR="00C14061">
        <w:t xml:space="preserve">deletion in gonl-156c. This </w:t>
      </w:r>
      <w:r w:rsidR="00C14061">
        <w:rPr>
          <w:i/>
        </w:rPr>
        <w:t xml:space="preserve">de novo </w:t>
      </w:r>
      <w:r w:rsidR="00C14061">
        <w:t>SV is overlapping with segmental duplication</w:t>
      </w:r>
      <w:r w:rsidR="00ED6734">
        <w:t>s</w:t>
      </w:r>
      <w:r w:rsidR="00C14061">
        <w:t xml:space="preserve"> and could not be confirmed by PCR across the breakpoint junction</w:t>
      </w:r>
      <w:r w:rsidR="007B3BA9">
        <w:t xml:space="preserve">. </w:t>
      </w:r>
      <w:r w:rsidR="007B3BA9" w:rsidRPr="007B305F">
        <w:rPr>
          <w:b/>
        </w:rPr>
        <w:t>(C)</w:t>
      </w:r>
      <w:r w:rsidR="007B3BA9">
        <w:t xml:space="preserve"> Genotyping of informative SNP positions for family gonl-156 confirmed loss of heterozygosity in the child (c) for SNPs that fall within the boundaries</w:t>
      </w:r>
      <w:r w:rsidR="00FD7E19">
        <w:t xml:space="preserve"> of the 19kb </w:t>
      </w:r>
      <w:r w:rsidR="00FD7E19">
        <w:rPr>
          <w:i/>
        </w:rPr>
        <w:t xml:space="preserve">de novo </w:t>
      </w:r>
      <w:r w:rsidR="00FD7E19">
        <w:t>deletion shown in panel B</w:t>
      </w:r>
      <w:r w:rsidR="007B3BA9">
        <w:t xml:space="preserve">. The informative SNPs unequivocally </w:t>
      </w:r>
      <w:r w:rsidR="00C2564E">
        <w:t>confirm</w:t>
      </w:r>
      <w:r w:rsidR="007B3BA9">
        <w:t xml:space="preserve"> the presence of the d</w:t>
      </w:r>
      <w:r w:rsidR="00484751">
        <w:t>eletion on the paternal allele. O</w:t>
      </w:r>
      <w:r w:rsidR="007B3BA9">
        <w:t>nly the mother haplotype is retained in the child.</w:t>
      </w:r>
    </w:p>
    <w:p w14:paraId="13966217" w14:textId="77777777" w:rsidR="002F4E8B" w:rsidRDefault="002F4E8B">
      <w:pPr>
        <w:jc w:val="left"/>
      </w:pPr>
      <w:r>
        <w:br w:type="page"/>
      </w:r>
    </w:p>
    <w:p w14:paraId="66B15A04" w14:textId="295ECAA3" w:rsidR="00B02507" w:rsidRDefault="00B02507" w:rsidP="00B02507">
      <w:pPr>
        <w:jc w:val="left"/>
        <w:rPr>
          <w:rFonts w:cs="Arial"/>
          <w:szCs w:val="20"/>
        </w:rPr>
      </w:pPr>
      <w:r>
        <w:rPr>
          <w:rFonts w:cs="Arial"/>
          <w:noProof/>
          <w:szCs w:val="20"/>
        </w:rPr>
        <w:drawing>
          <wp:inline distT="0" distB="0" distL="0" distR="0" wp14:anchorId="34909EB7" wp14:editId="187A3CE5">
            <wp:extent cx="5270500" cy="4695190"/>
            <wp:effectExtent l="0" t="0" r="1270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4695190"/>
                    </a:xfrm>
                    <a:prstGeom prst="rect">
                      <a:avLst/>
                    </a:prstGeom>
                  </pic:spPr>
                </pic:pic>
              </a:graphicData>
            </a:graphic>
          </wp:inline>
        </w:drawing>
      </w:r>
    </w:p>
    <w:p w14:paraId="57733392" w14:textId="49741FBD" w:rsidR="00B02507" w:rsidRDefault="005C6657" w:rsidP="00B02507">
      <w:pPr>
        <w:rPr>
          <w:rFonts w:cs="Arial"/>
          <w:szCs w:val="20"/>
        </w:rPr>
      </w:pPr>
      <w:r>
        <w:rPr>
          <w:b/>
        </w:rPr>
        <w:t>Supplementa</w:t>
      </w:r>
      <w:r w:rsidR="00183E9A">
        <w:rPr>
          <w:b/>
        </w:rPr>
        <w:t>l</w:t>
      </w:r>
      <w:r>
        <w:rPr>
          <w:b/>
        </w:rPr>
        <w:t xml:space="preserve"> Figure </w:t>
      </w:r>
      <w:r w:rsidR="00B02507" w:rsidRPr="007E3796">
        <w:rPr>
          <w:b/>
        </w:rPr>
        <w:t>2</w:t>
      </w:r>
      <w:r w:rsidR="00B02507" w:rsidRPr="007E3796">
        <w:rPr>
          <w:rFonts w:cs="Arial"/>
          <w:b/>
          <w:szCs w:val="20"/>
        </w:rPr>
        <w:t>.</w:t>
      </w:r>
      <w:r w:rsidR="00B02507" w:rsidRPr="007462E2">
        <w:rPr>
          <w:rFonts w:cs="Arial"/>
          <w:b/>
          <w:szCs w:val="20"/>
        </w:rPr>
        <w:t xml:space="preserve"> Overview of five </w:t>
      </w:r>
      <w:r w:rsidR="00B02507" w:rsidRPr="00203FF0">
        <w:rPr>
          <w:rFonts w:cs="Arial"/>
          <w:b/>
          <w:i/>
          <w:szCs w:val="20"/>
        </w:rPr>
        <w:t>de novo</w:t>
      </w:r>
      <w:r w:rsidR="00B02507" w:rsidRPr="007462E2">
        <w:rPr>
          <w:rFonts w:cs="Arial"/>
          <w:b/>
          <w:szCs w:val="20"/>
        </w:rPr>
        <w:t xml:space="preserve"> mobile element insertions identified in the GoNL dataset.</w:t>
      </w:r>
      <w:r w:rsidR="00B02507" w:rsidRPr="009B30C6">
        <w:rPr>
          <w:rFonts w:cs="Arial"/>
          <w:szCs w:val="20"/>
        </w:rPr>
        <w:t xml:space="preserve"> Breakpoint junction sequences were derived from Sanger sequencing or MiSeq sequencing of PCR products crossing the breakpoint junctions. For those instances where we could only obtain one of the breakpoint junctions by PCR, we used the HiSeq data for assembly of the </w:t>
      </w:r>
      <w:r w:rsidR="00E87546">
        <w:rPr>
          <w:rFonts w:cs="Arial"/>
          <w:szCs w:val="20"/>
        </w:rPr>
        <w:t xml:space="preserve">other </w:t>
      </w:r>
      <w:r w:rsidR="00B02507" w:rsidRPr="009B30C6">
        <w:rPr>
          <w:rFonts w:cs="Arial"/>
          <w:szCs w:val="20"/>
        </w:rPr>
        <w:t>junction sequence based on discordant read pairs (*). TSD=target site duplication.</w:t>
      </w:r>
      <w:r w:rsidR="00B02507">
        <w:rPr>
          <w:rFonts w:cs="Arial"/>
          <w:szCs w:val="20"/>
        </w:rPr>
        <w:t xml:space="preserve"> (a) father, (b) mother, (c) child.</w:t>
      </w:r>
    </w:p>
    <w:p w14:paraId="5C4053BD" w14:textId="798E4732" w:rsidR="00B02507" w:rsidRDefault="00B02507">
      <w:pPr>
        <w:jc w:val="left"/>
        <w:rPr>
          <w:rFonts w:cs="Arial"/>
          <w:szCs w:val="20"/>
        </w:rPr>
      </w:pPr>
      <w:r>
        <w:rPr>
          <w:rFonts w:cs="Arial"/>
          <w:szCs w:val="20"/>
        </w:rPr>
        <w:br w:type="page"/>
      </w:r>
    </w:p>
    <w:p w14:paraId="59041F5E" w14:textId="7740E28D" w:rsidR="004142E7" w:rsidRDefault="001F2E5C" w:rsidP="004142E7">
      <w:pPr>
        <w:pStyle w:val="SectionTitle"/>
      </w:pPr>
      <w:bookmarkStart w:id="1" w:name="_Toc289421702"/>
      <w:r>
        <w:t>Supplementa</w:t>
      </w:r>
      <w:r w:rsidR="00183E9A">
        <w:t>l</w:t>
      </w:r>
      <w:r w:rsidR="00A75C39">
        <w:t xml:space="preserve"> </w:t>
      </w:r>
      <w:r w:rsidR="00203CCB">
        <w:t>Methods</w:t>
      </w:r>
      <w:bookmarkEnd w:id="1"/>
    </w:p>
    <w:p w14:paraId="0E344978" w14:textId="15EF7BDA" w:rsidR="004142E7" w:rsidRPr="002027C1" w:rsidRDefault="002027C1" w:rsidP="004142E7">
      <w:pPr>
        <w:pStyle w:val="Heading1"/>
      </w:pPr>
      <w:bookmarkStart w:id="2" w:name="_Ref258139313"/>
      <w:bookmarkStart w:id="3" w:name="_Toc289421703"/>
      <w:r>
        <w:t xml:space="preserve">Detection of </w:t>
      </w:r>
      <w:r>
        <w:rPr>
          <w:i/>
        </w:rPr>
        <w:t>de novo</w:t>
      </w:r>
      <w:r>
        <w:t xml:space="preserve"> variants</w:t>
      </w:r>
      <w:bookmarkEnd w:id="3"/>
    </w:p>
    <w:p w14:paraId="53F55697" w14:textId="148147C4" w:rsidR="004B43A2" w:rsidRDefault="004142E7" w:rsidP="004B43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122164">
        <w:rPr>
          <w:rFonts w:cs="Arial"/>
          <w:color w:val="000000"/>
          <w:szCs w:val="20"/>
        </w:rPr>
        <w:t>In order to create reliable</w:t>
      </w:r>
      <w:r>
        <w:rPr>
          <w:rFonts w:cs="Arial"/>
          <w:color w:val="000000"/>
          <w:szCs w:val="20"/>
        </w:rPr>
        <w:t xml:space="preserve"> </w:t>
      </w:r>
      <w:r>
        <w:rPr>
          <w:rFonts w:cs="Arial"/>
          <w:i/>
          <w:color w:val="000000"/>
          <w:szCs w:val="20"/>
        </w:rPr>
        <w:t>de novo</w:t>
      </w:r>
      <w:r w:rsidRPr="00122164">
        <w:rPr>
          <w:rFonts w:cs="Arial"/>
          <w:color w:val="000000"/>
          <w:szCs w:val="20"/>
        </w:rPr>
        <w:t xml:space="preserve"> indel and structural variant (SV) call sets, we used a combination of 1</w:t>
      </w:r>
      <w:r>
        <w:rPr>
          <w:rFonts w:cs="Arial"/>
          <w:color w:val="000000"/>
          <w:szCs w:val="20"/>
        </w:rPr>
        <w:t>1</w:t>
      </w:r>
      <w:r w:rsidRPr="00122164">
        <w:rPr>
          <w:rFonts w:cs="Arial"/>
          <w:color w:val="000000"/>
          <w:szCs w:val="20"/>
        </w:rPr>
        <w:t xml:space="preserve"> algorithms based on 6 approaches: (i) gapped reads, (ii) split-read, (iii) read pair, (iv) read depth, (v) combined approaches, and (vi) </w:t>
      </w:r>
      <w:r w:rsidRPr="00122164">
        <w:rPr>
          <w:rFonts w:cs="Arial"/>
          <w:i/>
          <w:iCs/>
          <w:color w:val="000000"/>
          <w:szCs w:val="20"/>
        </w:rPr>
        <w:t xml:space="preserve">de novo </w:t>
      </w:r>
      <w:r w:rsidRPr="00122164">
        <w:rPr>
          <w:rFonts w:cs="Arial"/>
          <w:color w:val="000000"/>
          <w:szCs w:val="20"/>
        </w:rPr>
        <w:t xml:space="preserve">assembly. </w:t>
      </w:r>
      <w:r>
        <w:rPr>
          <w:rFonts w:cs="Arial"/>
          <w:i/>
          <w:color w:val="000000"/>
          <w:szCs w:val="20"/>
        </w:rPr>
        <w:t xml:space="preserve">De novo </w:t>
      </w:r>
      <w:r>
        <w:rPr>
          <w:rFonts w:cs="Arial"/>
          <w:szCs w:val="20"/>
        </w:rPr>
        <w:t>indel</w:t>
      </w:r>
      <w:r w:rsidR="004B43A2">
        <w:rPr>
          <w:rFonts w:cs="Arial"/>
          <w:szCs w:val="20"/>
        </w:rPr>
        <w:t>s were defined as insertions and deletions of size smaller than 21bp and SVs encompass all events larger than 20bp.</w:t>
      </w:r>
      <w:r w:rsidR="00B153F4">
        <w:rPr>
          <w:rFonts w:cs="Arial"/>
          <w:szCs w:val="20"/>
        </w:rPr>
        <w:t xml:space="preserve"> </w:t>
      </w:r>
    </w:p>
    <w:p w14:paraId="4AA986E2" w14:textId="77777777" w:rsidR="004B43A2" w:rsidRDefault="004B43A2" w:rsidP="004B43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E4B138C" w14:textId="01D097F7" w:rsidR="004B43A2" w:rsidRDefault="004B43A2" w:rsidP="004B43A2">
      <w:r w:rsidRPr="004B5149">
        <w:rPr>
          <w:i/>
        </w:rPr>
        <w:t>De novo</w:t>
      </w:r>
      <w:r>
        <w:t xml:space="preserve"> indels were called using three methods: GATK UnifiedGenotyper,</w:t>
      </w:r>
      <w:r w:rsidR="00181BE8">
        <w:t xml:space="preserve"> GATK HaplotypeCaller and Pindel</w:t>
      </w:r>
      <w:r>
        <w:t xml:space="preserve">. All confident calls made by either of the three methods were merged (exact match) and all resulting putative </w:t>
      </w:r>
      <w:r>
        <w:rPr>
          <w:i/>
        </w:rPr>
        <w:t xml:space="preserve">de novo </w:t>
      </w:r>
      <w:r>
        <w:t>indels in 92 families were subjected to experimental validation. Details of the calling and filtering for each of the three algorithms can be found in the sections below.</w:t>
      </w:r>
    </w:p>
    <w:p w14:paraId="64A8791F" w14:textId="77777777" w:rsidR="004B43A2" w:rsidRDefault="004B43A2" w:rsidP="004B43A2"/>
    <w:p w14:paraId="70C47780" w14:textId="11A6A805" w:rsidR="00110A9C" w:rsidRDefault="004B43A2" w:rsidP="004B43A2">
      <w:r>
        <w:t xml:space="preserve">In order to call </w:t>
      </w:r>
      <w:r>
        <w:rPr>
          <w:i/>
        </w:rPr>
        <w:t>de novo</w:t>
      </w:r>
      <w:r>
        <w:t xml:space="preserve"> SVs, we used the calls from each individual GoNL SV set </w:t>
      </w:r>
      <w:r>
        <w:fldChar w:fldCharType="begin" w:fldLock="1"/>
      </w:r>
      <w:r w:rsidR="00A92323">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fldChar w:fldCharType="separate"/>
      </w:r>
      <w:r w:rsidR="008B18A5" w:rsidRPr="008B18A5">
        <w:rPr>
          <w:noProof/>
        </w:rPr>
        <w:t>(Francioli et al. 2014)</w:t>
      </w:r>
      <w:r>
        <w:fldChar w:fldCharType="end"/>
      </w:r>
      <w:r>
        <w:t xml:space="preserve"> where the variant was predicted to be present in a </w:t>
      </w:r>
      <w:r w:rsidR="005C0479">
        <w:t xml:space="preserve">single </w:t>
      </w:r>
      <w:r>
        <w:t xml:space="preserve">child </w:t>
      </w:r>
      <w:r w:rsidR="005C0479">
        <w:t xml:space="preserve">in the entire dataset.  </w:t>
      </w:r>
      <w:r w:rsidRPr="00DB30C4">
        <w:rPr>
          <w:rFonts w:cs="Arial"/>
          <w:szCs w:val="20"/>
        </w:rPr>
        <w:t xml:space="preserve">We specifically aimed at detecting </w:t>
      </w:r>
      <w:r w:rsidRPr="00DB30C4">
        <w:rPr>
          <w:rFonts w:cs="Arial"/>
          <w:i/>
          <w:szCs w:val="20"/>
        </w:rPr>
        <w:t>de novo</w:t>
      </w:r>
      <w:r w:rsidRPr="00DB30C4">
        <w:rPr>
          <w:rFonts w:cs="Arial"/>
          <w:szCs w:val="20"/>
        </w:rPr>
        <w:t xml:space="preserve"> variants with high sensitivity and therefore even </w:t>
      </w:r>
      <w:r w:rsidRPr="00DB30C4">
        <w:rPr>
          <w:rFonts w:cs="Arial"/>
          <w:i/>
          <w:szCs w:val="20"/>
        </w:rPr>
        <w:t>de novo</w:t>
      </w:r>
      <w:r w:rsidRPr="00DB30C4">
        <w:rPr>
          <w:rFonts w:cs="Arial"/>
          <w:szCs w:val="20"/>
        </w:rPr>
        <w:t xml:space="preserve"> calls with marginal read support were still included. All calls were then manually inspected using IGV</w:t>
      </w:r>
      <w:r w:rsidR="006A6CF5">
        <w:rPr>
          <w:rFonts w:cs="Arial"/>
          <w:szCs w:val="20"/>
        </w:rPr>
        <w:fldChar w:fldCharType="begin" w:fldLock="1"/>
      </w:r>
      <w:r w:rsidR="006A6CF5">
        <w:rPr>
          <w:rFonts w:cs="Arial"/>
          <w:szCs w:val="20"/>
        </w:rPr>
        <w:instrText>ADDIN CSL_CITATION { "citationItems" : [ { "id" : "ITEM-1", "itemData" : { "DOI" : "10.1093/bib/bbs017", "ISSN" : "1477-4054", "PMID" : "22517427", "abstract" : "Data visualization is an essential component of genomic data analysis. However, the size and diversity of the data sets produced by today's sequencing and array-based profiling methods present major challenges to visualization tools. The Integrative Genomics Viewer (IGV) is a high-performance viewer that efficiently handles large heterogeneous data sets, while providing a smooth and intuitive user experience at all levels of genome resolution. A key characteristic of IGV is its focus on the integrative nature of genomic studies, with support for both array-based and next-generation sequencing data, and the integration of clinical and phenotypic data. Although IGV is often used to view genomic data from public sources, its primary emphasis is to support researchers who wish to visualize and explore their own data sets or those from colleagues. To that end, IGV supports flexible loading of local and remote data sets, and is optimized to provide high-performance data visualization and exploration on standard desktop systems. IGV is freely available for download from http://www.broadinstitute.org/igv, under a GNU LGPL open-source license.", "author" : [ { "dropping-particle" : "", "family" : "Thorvaldsd\u00f3ttir", "given" : "Helga", "non-dropping-particle" : "", "parse-names" : false, "suffix" : "" }, { "dropping-particle" : "", "family" : "Robinson", "given" : "James T", "non-dropping-particle" : "", "parse-names" : false, "suffix" : "" }, { "dropping-particle" : "", "family" : "Mesirov", "given" : "Jill P", "non-dropping-particle" : "", "parse-names" : false, "suffix" : "" } ], "container-title" : "Briefings in bioinformatics", "id" : "ITEM-1", "issue" : "2", "issued" : { "date-parts" : [ [ "2013", "3" ] ] }, "page" : "178-92", "title" : "Integrative Genomics Viewer (IGV): high-performance genomics data visualization and exploration.", "type" : "article-journal", "volume" : "14" }, "uris" : [ "http://www.mendeley.com/documents/?uuid=e424d2d6-3e3f-4817-9662-7ae36cf50603" ] } ], "mendeley" : { "formattedCitation" : "(Thorvaldsd\u00f3ttir et al. 2013)", "plainTextFormattedCitation" : "(Thorvaldsd\u00f3ttir et al. 2013)", "previouslyFormattedCitation" : "(Thorvaldsd\u00f3ttir et al. 2013)" }, "properties" : { "noteIndex" : 0 }, "schema" : "https://github.com/citation-style-language/schema/raw/master/csl-citation.json" }</w:instrText>
      </w:r>
      <w:r w:rsidR="006A6CF5">
        <w:rPr>
          <w:rFonts w:cs="Arial"/>
          <w:szCs w:val="20"/>
        </w:rPr>
        <w:fldChar w:fldCharType="separate"/>
      </w:r>
      <w:r w:rsidR="006A6CF5" w:rsidRPr="006A6CF5">
        <w:rPr>
          <w:rFonts w:cs="Arial"/>
          <w:noProof/>
          <w:szCs w:val="20"/>
        </w:rPr>
        <w:t>(Thorvaldsdóttir et al. 2013)</w:t>
      </w:r>
      <w:r w:rsidR="006A6CF5">
        <w:rPr>
          <w:rFonts w:cs="Arial"/>
          <w:szCs w:val="20"/>
        </w:rPr>
        <w:fldChar w:fldCharType="end"/>
      </w:r>
      <w:r w:rsidRPr="00DB30C4">
        <w:rPr>
          <w:rFonts w:cs="Arial"/>
          <w:szCs w:val="20"/>
        </w:rPr>
        <w:t xml:space="preserve"> to eliminate obvious false positives due to a miscalled parent (evidence of the SV in a small portion of the reads of one of the parents). </w:t>
      </w:r>
      <w:r w:rsidRPr="00DB30C4">
        <w:t>We t</w:t>
      </w:r>
      <w:r>
        <w:t xml:space="preserve">hen took the union of all remaining calls and </w:t>
      </w:r>
      <w:r w:rsidR="00913D3B">
        <w:t xml:space="preserve">we merged </w:t>
      </w:r>
      <w:r>
        <w:t xml:space="preserve">variants </w:t>
      </w:r>
      <w:r w:rsidR="00913D3B">
        <w:t xml:space="preserve">which (i) </w:t>
      </w:r>
      <w:r w:rsidR="00981DFC">
        <w:t xml:space="preserve">were </w:t>
      </w:r>
      <w:r>
        <w:t xml:space="preserve">detected by multiple methods in the same child, </w:t>
      </w:r>
      <w:r w:rsidR="00981DFC">
        <w:t xml:space="preserve">(ii) were </w:t>
      </w:r>
      <w:r>
        <w:t xml:space="preserve">of the same SV type and </w:t>
      </w:r>
      <w:r w:rsidR="00981DFC">
        <w:t xml:space="preserve">(iii) had </w:t>
      </w:r>
      <w:r>
        <w:t xml:space="preserve">overlapping coordinates. We retained the most precise breakpoints for each variant based on the calling algorithm (in order: split-read, discordant read-pairs, read-depth). </w:t>
      </w:r>
      <w:r w:rsidR="003B3EBC">
        <w:t>We excluded</w:t>
      </w:r>
      <w:r w:rsidR="003B3EBC" w:rsidRPr="003B3EBC">
        <w:rPr>
          <w:rFonts w:cs="Arial"/>
          <w:szCs w:val="20"/>
        </w:rPr>
        <w:t xml:space="preserve"> </w:t>
      </w:r>
      <w:r w:rsidR="003B3EBC">
        <w:rPr>
          <w:rFonts w:cs="Arial"/>
          <w:szCs w:val="20"/>
        </w:rPr>
        <w:t xml:space="preserve">candidates supported only by BreakDancer, which contributed over 9k </w:t>
      </w:r>
      <w:r w:rsidR="003B3EBC" w:rsidRPr="0056384E">
        <w:rPr>
          <w:rFonts w:cs="Arial"/>
          <w:i/>
          <w:szCs w:val="20"/>
        </w:rPr>
        <w:t>de novo</w:t>
      </w:r>
      <w:r w:rsidR="003B3EBC">
        <w:rPr>
          <w:rFonts w:cs="Arial"/>
          <w:szCs w:val="20"/>
        </w:rPr>
        <w:t xml:space="preserve"> candidates.</w:t>
      </w:r>
    </w:p>
    <w:p w14:paraId="19536C63" w14:textId="77777777" w:rsidR="00110A9C" w:rsidRDefault="00110A9C" w:rsidP="004B43A2"/>
    <w:p w14:paraId="6CDE1FA7" w14:textId="2E285CE9" w:rsidR="004B43A2" w:rsidRDefault="006A7A13" w:rsidP="002C1624">
      <w:pPr>
        <w:widowControl w:val="0"/>
        <w:autoSpaceDE w:val="0"/>
        <w:autoSpaceDN w:val="0"/>
        <w:adjustRightInd w:val="0"/>
      </w:pPr>
      <w:r>
        <w:rPr>
          <w:rFonts w:cs="Arial"/>
          <w:szCs w:val="20"/>
        </w:rPr>
        <w:t>As a result of the above steps, subsets</w:t>
      </w:r>
      <w:r w:rsidR="00333833">
        <w:rPr>
          <w:rFonts w:cs="Arial"/>
          <w:szCs w:val="20"/>
        </w:rPr>
        <w:t xml:space="preserve"> representing</w:t>
      </w:r>
      <w:r w:rsidR="00110A9C">
        <w:rPr>
          <w:rFonts w:cs="Arial"/>
          <w:szCs w:val="20"/>
        </w:rPr>
        <w:t xml:space="preserve"> 0.12% </w:t>
      </w:r>
      <w:r w:rsidR="00333833">
        <w:rPr>
          <w:rFonts w:cs="Arial"/>
          <w:szCs w:val="20"/>
        </w:rPr>
        <w:t xml:space="preserve">of </w:t>
      </w:r>
      <w:r w:rsidR="00110A9C">
        <w:rPr>
          <w:rFonts w:cs="Arial"/>
          <w:szCs w:val="20"/>
        </w:rPr>
        <w:t>indel candidates</w:t>
      </w:r>
      <w:r w:rsidR="00333833">
        <w:rPr>
          <w:rFonts w:cs="Arial"/>
          <w:szCs w:val="20"/>
        </w:rPr>
        <w:t xml:space="preserve"> </w:t>
      </w:r>
      <w:r w:rsidR="00110A9C">
        <w:rPr>
          <w:rFonts w:cs="Arial"/>
          <w:szCs w:val="20"/>
        </w:rPr>
        <w:t>(1</w:t>
      </w:r>
      <w:r w:rsidR="00333833">
        <w:rPr>
          <w:rFonts w:cs="Arial"/>
          <w:szCs w:val="20"/>
        </w:rPr>
        <w:t>,</w:t>
      </w:r>
      <w:r w:rsidR="00110A9C">
        <w:rPr>
          <w:rFonts w:cs="Arial"/>
          <w:szCs w:val="20"/>
        </w:rPr>
        <w:t>486</w:t>
      </w:r>
      <w:r w:rsidR="00333833">
        <w:rPr>
          <w:rFonts w:cs="Arial"/>
          <w:szCs w:val="20"/>
        </w:rPr>
        <w:t xml:space="preserve">/1,198,253) </w:t>
      </w:r>
      <w:r w:rsidR="00110A9C">
        <w:rPr>
          <w:rFonts w:cs="Arial"/>
          <w:szCs w:val="20"/>
        </w:rPr>
        <w:t xml:space="preserve">and </w:t>
      </w:r>
      <w:r w:rsidR="00333833" w:rsidRPr="00B67A54">
        <w:rPr>
          <w:rFonts w:cs="Arial"/>
          <w:szCs w:val="20"/>
        </w:rPr>
        <w:t xml:space="preserve">0.94% </w:t>
      </w:r>
      <w:r w:rsidR="00333833">
        <w:rPr>
          <w:rFonts w:cs="Arial"/>
          <w:szCs w:val="20"/>
        </w:rPr>
        <w:t>of SV candidates (</w:t>
      </w:r>
      <w:r w:rsidR="00333833" w:rsidRPr="007F6907">
        <w:rPr>
          <w:rFonts w:cs="Arial"/>
          <w:szCs w:val="20"/>
        </w:rPr>
        <w:t>601</w:t>
      </w:r>
      <w:r w:rsidR="00333833">
        <w:rPr>
          <w:rFonts w:cs="Arial"/>
          <w:szCs w:val="20"/>
        </w:rPr>
        <w:t>/64,067) were</w:t>
      </w:r>
      <w:r w:rsidR="00110A9C" w:rsidRPr="00B67A54">
        <w:rPr>
          <w:rFonts w:cs="Arial"/>
          <w:szCs w:val="20"/>
        </w:rPr>
        <w:t xml:space="preserve"> </w:t>
      </w:r>
      <w:r>
        <w:rPr>
          <w:rFonts w:cs="Arial"/>
          <w:szCs w:val="20"/>
        </w:rPr>
        <w:t>selected</w:t>
      </w:r>
      <w:r w:rsidR="00333833">
        <w:rPr>
          <w:rFonts w:cs="Arial"/>
          <w:szCs w:val="20"/>
        </w:rPr>
        <w:t xml:space="preserve"> as potential </w:t>
      </w:r>
      <w:r w:rsidR="00333833" w:rsidRPr="002C1624">
        <w:rPr>
          <w:rFonts w:cs="Arial"/>
          <w:i/>
          <w:szCs w:val="20"/>
        </w:rPr>
        <w:t xml:space="preserve">de novo </w:t>
      </w:r>
      <w:r w:rsidR="00333833">
        <w:rPr>
          <w:rFonts w:cs="Arial"/>
          <w:szCs w:val="20"/>
        </w:rPr>
        <w:t>events.</w:t>
      </w:r>
      <w:r w:rsidR="002C1624">
        <w:t xml:space="preserve"> </w:t>
      </w:r>
      <w:r w:rsidR="00110A9C">
        <w:t>Further, l</w:t>
      </w:r>
      <w:r w:rsidR="004B43A2">
        <w:t xml:space="preserve">ocal </w:t>
      </w:r>
      <w:r w:rsidR="004B43A2" w:rsidRPr="00CA6610">
        <w:rPr>
          <w:i/>
        </w:rPr>
        <w:t>de novo</w:t>
      </w:r>
      <w:r w:rsidR="004B43A2" w:rsidRPr="00096BD6">
        <w:t xml:space="preserve"> assembly</w:t>
      </w:r>
      <w:r w:rsidR="004B43A2">
        <w:t xml:space="preserve"> (SOAPdenovo </w:t>
      </w:r>
      <w:r w:rsidR="006A6CF5">
        <w:fldChar w:fldCharType="begin" w:fldLock="1"/>
      </w:r>
      <w:r w:rsidR="008B18A5">
        <w:instrText>ADDIN CSL_CITATION { "citationItems" : [ { "id" : "ITEM-1", "itemData" : { "DOI" : "10.1186/2047-217X-1-18", "ISBN" : "2047-217X (Electronic)\\n2047-217X (Linking)", "ISSN" : "2047-217X", "PMID" : "23587118", "abstract" : "BACKGROUND: There is a rapidly increasing amount of de novo genome assembly using next-generation sequencing (NGS) short reads; however, several big challenges remain to be overcome in order for this to be efficient and accurate. SOAPdenovo has been successfully applied to assemble many published genomes, but it still needs improvement in continuity, accuracy and coverage, especially in repeat regions.\\n\\nFINDINGS: To overcome these challenges, we have developed its successor, SOAPdenovo2, which has the advantage of a new algorithm design that reduces memory consumption in graph construction, resolves more repeat regions in contig assembly, increases coverage and length in scaffold construction, improves gap closing, and optimizes for large genome.\\n\\nCONCLUSIONS: Benchmark using the Assemblathon1 and GAGE datasets showed that SOAPdenovo2 greatly surpasses its predecessor SOAPdenovo and is competitive to other assemblers on both assembly length and accuracy. We also provide an updated assembly version of the 2008 Asian (YH) genome using SOAPdenovo2. Here, the contig and scaffold N50 of the YH genome were ~20.9 kbp and ~22 Mbp, respectively, which is 3-fold and 50-fold longer than the first published version. The genome coverage increased from 81.16% to 93.91%, and memory consumption was ~2/3 lower during the point of largest memory consumption.", "author" : [ { "dropping-particle" : "", "family" : "Luo", "given" : "Ruibang", "non-dropping-particle" : "", "parse-names" : false, "suffix" : "" }, { "dropping-particle" : "", "family" : "Liu", "given" : "Binghang", "non-dropping-particle" : "", "parse-names" : false, "suffix" : "" }, { "dropping-particle" : "", "family" : "Xie", "given" : "Yinlong", "non-dropping-particle" : "", "parse-names" : false, "suffix" : "" }, { "dropping-particle" : "", "family" : "Li", "given" : "Zhenyu", "non-dropping-particle" : "", "parse-names" : false, "suffix" : "" }, { "dropping-particle" : "", "family" : "Huang", "given" : "Weihua", "non-dropping-particle" : "", "parse-names" : false, "suffix" : "" }, { "dropping-particle" : "", "family" : "Yuan", "given" : "Jianying", "non-dropping-particle" : "", "parse-names" : false, "suffix" : "" }, { "dropping-particle" : "", "family" : "He", "given" : "Guangzhu", "non-dropping-particle" : "", "parse-names" : false, "suffix" : "" }, { "dropping-particle" : "", "family" : "Chen", "given" : "Yanxiang", "non-dropping-particle" : "", "parse-names" : false, "suffix" : "" }, { "dropping-particle" : "", "family" : "Pan", "given" : "Qi", "non-dropping-particle" : "", "parse-names" : false, "suffix" : "" }, { "dropping-particle" : "", "family" : "Liu", "given" : "Yunjie", "non-dropping-particle" : "", "parse-names" : false, "suffix" : "" }, { "dropping-particle" : "", "family" : "Tang", "given" : "Jingbo", "non-dropping-particle" : "", "parse-names" : false, "suffix" : "" }, { "dropping-particle" : "", "family" : "Wu", "given" : "Gengxiong", "non-dropping-particle" : "", "parse-names" : false, "suffix" : "" }, { "dropping-particle" : "", "family" : "Zhang", "given" : "Hao", "non-dropping-particle" : "", "parse-names" : false, "suffix" : "" }, { "dropping-particle" : "", "family" : "Shi", "given" : "Yujian", "non-dropping-particle" : "", "parse-names" : false, "suffix" : "" }, { "dropping-particle" : "", "family" : "Liu", "given" : "Yong", "non-dropping-particle" : "", "parse-names" : false, "suffix" : "" }, { "dropping-particle" : "", "family" : "Yu", "given" : "Chang", "non-dropping-particle" : "", "parse-names" : false, "suffix" : "" }, { "dropping-particle" : "", "family" : "Wang", "given" : "Bo", "non-dropping-particle" : "", "parse-names" : false, "suffix" : "" }, { "dropping-particle" : "", "family" : "Lu", "given" : "Yao", "non-dropping-particle" : "", "parse-names" : false, "suffix" : "" }, { "dropping-particle" : "", "family" : "Han", "given" : "Changlei", "non-dropping-particle" : "", "parse-names" : false, "suffix" : "" }, { "dropping-particle" : "", "family" : "Cheung", "given" : "David W", "non-dropping-particle" : "", "parse-names" : false, "suffix" : "" }, { "dropping-particle" : "", "family" : "Yiu", "given" : "Siu-Ming", "non-dropping-particle" : "", "parse-names" : false, "suffix" : "" }, { "dropping-particle" : "", "family" : "Peng", "given" : "Shaoliang", "non-dropping-particle" : "", "parse-names" : false, "suffix" : "" }, { "dropping-particle" : "", "family" : "Xiaoqian", "given" : "Zhu", "non-dropping-particle" : "", "parse-names" : false, "suffix" : "" }, { "dropping-particle" : "", "family" : "Liu", "given" : "Guangming", "non-dropping-particle" : "", "parse-names" : false, "suffix" : "" }, { "dropping-particle" : "", "family" : "Liao", "given" : "Xiangke", "non-dropping-particle" : "", "parse-names" : false, "suffix" : "" }, { "dropping-particle" : "", "family" : "Li", "given" : "Yingrui", "non-dropping-particle" : "", "parse-names" : false, "suffix" : "" }, { "dropping-particle" : "", "family" : "Yang", "given" : "Huanming", "non-dropping-particle" : "", "parse-names" : false, "suffix" : "" }, { "dropping-particle" : "", "family" : "Wang", "given" : "Jian", "non-dropping-particle" : "", "parse-names" : false, "suffix" : "" }, { "dropping-particle" : "", "family" : "Lam", "given" : "Tak-Wah", "non-dropping-particle" : "", "parse-names" : false, "suffix" : "" }, { "dropping-particle" : "", "family" : "Wang", "given" : "Jun", "non-dropping-particle" : "", "parse-names" : false, "suffix" : "" } ], "container-title" : "GigaScience", "id" : "ITEM-1", "issued" : { "date-parts" : [ [ "2012" ] ] }, "page" : "18", "title" : "SOAPdenovo2: an empirically improved memory-efficient short-read de novo assembler.", "type" : "article-journal", "volume" : "1" }, "uris" : [ "http://www.mendeley.com/documents/?uuid=e15766b0-edd9-4281-889b-4fa088079b72", "http://www.mendeley.com/documents/?uuid=150d2d6c-d84b-4cd9-9385-4ca4291926a6" ] } ], "mendeley" : { "formattedCitation" : "(Luo et al. 2012)", "plainTextFormattedCitation" : "(Luo et al. 2012)", "previouslyFormattedCitation" : "(Luo et al. 2012)" }, "properties" : { "noteIndex" : 0 }, "schema" : "https://github.com/citation-style-language/schema/raw/master/csl-citation.json" }</w:instrText>
      </w:r>
      <w:r w:rsidR="006A6CF5">
        <w:fldChar w:fldCharType="separate"/>
      </w:r>
      <w:r w:rsidR="006A6CF5" w:rsidRPr="006A6CF5">
        <w:rPr>
          <w:noProof/>
        </w:rPr>
        <w:t>(Luo et al. 2012)</w:t>
      </w:r>
      <w:r w:rsidR="006A6CF5">
        <w:fldChar w:fldCharType="end"/>
      </w:r>
      <w:r w:rsidR="004B43A2">
        <w:t xml:space="preserve">) was used for breakpoint fine-mapping and all calls were then subjected to experimental validation.  </w:t>
      </w:r>
    </w:p>
    <w:p w14:paraId="2E3B7F1E" w14:textId="77777777" w:rsidR="004B43A2" w:rsidRPr="004B43A2" w:rsidRDefault="004B43A2" w:rsidP="00DB30C4"/>
    <w:p w14:paraId="7E5F6C6F" w14:textId="0F616B62" w:rsidR="004B43A2" w:rsidRPr="004B5149" w:rsidRDefault="00B153F4" w:rsidP="004B5149">
      <w:r>
        <w:rPr>
          <w:rFonts w:cs="Arial"/>
          <w:szCs w:val="20"/>
        </w:rPr>
        <w:t xml:space="preserve">Because many of these algorithms were already used for calling segregating polymorphisms </w:t>
      </w:r>
      <w:r w:rsidR="00061DAC">
        <w:rPr>
          <w:rFonts w:cs="Arial"/>
          <w:szCs w:val="20"/>
        </w:rPr>
        <w:t xml:space="preserve">within </w:t>
      </w:r>
      <w:r>
        <w:rPr>
          <w:rFonts w:cs="Arial"/>
          <w:szCs w:val="20"/>
        </w:rPr>
        <w:t xml:space="preserve">the Genome of the Netherlands (GoNL) project, the description of the </w:t>
      </w:r>
      <w:r>
        <w:rPr>
          <w:rFonts w:cs="Arial"/>
          <w:i/>
          <w:szCs w:val="20"/>
        </w:rPr>
        <w:t>de novo</w:t>
      </w:r>
      <w:r>
        <w:rPr>
          <w:rFonts w:cs="Arial"/>
          <w:szCs w:val="20"/>
        </w:rPr>
        <w:t xml:space="preserve"> variant calling and filtering starts with the GoNL raw or filtered calls</w:t>
      </w:r>
      <w:r w:rsidR="00061DAC">
        <w:rPr>
          <w:rFonts w:cs="Arial"/>
          <w:szCs w:val="20"/>
        </w:rPr>
        <w:t xml:space="preserve"> </w:t>
      </w:r>
      <w:r>
        <w:rPr>
          <w:rFonts w:cs="Arial"/>
          <w:szCs w:val="20"/>
        </w:rPr>
        <w:fldChar w:fldCharType="begin" w:fldLock="1"/>
      </w:r>
      <w:r w:rsidR="00A92323">
        <w:rPr>
          <w:rFonts w:cs="Arial"/>
          <w:szCs w:val="20"/>
        </w:rPr>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rPr>
          <w:rFonts w:cs="Arial"/>
          <w:szCs w:val="20"/>
        </w:rPr>
        <w:fldChar w:fldCharType="separate"/>
      </w:r>
      <w:r w:rsidR="008B18A5" w:rsidRPr="008B18A5">
        <w:rPr>
          <w:rFonts w:cs="Arial"/>
          <w:noProof/>
          <w:szCs w:val="20"/>
        </w:rPr>
        <w:t>(Francioli et al. 2014)</w:t>
      </w:r>
      <w:r>
        <w:rPr>
          <w:rFonts w:cs="Arial"/>
          <w:szCs w:val="20"/>
        </w:rPr>
        <w:fldChar w:fldCharType="end"/>
      </w:r>
      <w:r>
        <w:rPr>
          <w:rFonts w:cs="Arial"/>
          <w:szCs w:val="20"/>
        </w:rPr>
        <w:t>.</w:t>
      </w:r>
      <w:r w:rsidR="005F7D1D">
        <w:rPr>
          <w:rFonts w:cs="Arial"/>
          <w:szCs w:val="20"/>
        </w:rPr>
        <w:t xml:space="preserve"> </w:t>
      </w:r>
      <w:r w:rsidR="004B43A2">
        <w:t xml:space="preserve">The sections below highlight the additional calling or filtering steps undertaken in order to obtain the </w:t>
      </w:r>
      <w:r w:rsidR="004B43A2">
        <w:rPr>
          <w:i/>
        </w:rPr>
        <w:t>de novo</w:t>
      </w:r>
      <w:r w:rsidR="004B43A2">
        <w:t xml:space="preserve"> candidates with each </w:t>
      </w:r>
      <w:r w:rsidR="008C317A">
        <w:t>of the methods except for BreakD</w:t>
      </w:r>
      <w:r w:rsidR="004B43A2">
        <w:t xml:space="preserve">ancer </w:t>
      </w:r>
      <w:r w:rsidR="004B43A2">
        <w:fldChar w:fldCharType="begin" w:fldLock="1"/>
      </w:r>
      <w:r w:rsidR="006A6CF5">
        <w:instrText>ADDIN CSL_CITATION { "citationItems" : [ { "id" : "ITEM-1", "itemData" : { "DOI" : "10.1038/nmeth.1363", "ISSN" : "1548-7105", "PMID" : "19668202", "abstract" : "Detection and characterization of genomic structural variation are important for understanding the landscape of genetic variation in human populations and in complex diseases such as cancer. Recent studies demonstrate the feasibility of detecting structural variation using next-generation, short-insert, paired-end sequencing reads. However, the utility of these reads is not entirely clear, nor are the analysis methods with which accurate detection can be achieved. The algorithm BreakDancer predicts a wide variety of structural variants including insertion-deletions (indels), inversions and translocations. We examined BreakDancer's performance in simulation, in comparison with other methods and in analyses of a sample from an individual with acute myeloid leukemia and of samples from the 1,000 Genomes trio individuals. BreakDancer sensitively and accurately detected indels ranging from 10 base pairs to 1 megabase pair that are difficult to detect via a single conventional approach.", "author" : [ { "dropping-particle" : "", "family" : "Chen", "given" : "Ken", "non-dropping-particle" : "", "parse-names" : false, "suffix" : "" }, { "dropping-particle" : "", "family" : "Wallis", "given" : "John W", "non-dropping-particle" : "", "parse-names" : false, "suffix" : "" }, { "dropping-particle" : "", "family" : "McLellan", "given" : "Michael D", "non-dropping-particle" : "", "parse-names" : false, "suffix" : "" }, { "dropping-particle" : "", "family" : "Larson", "given" : "David E", "non-dropping-particle" : "", "parse-names" : false, "suffix" : "" }, { "dropping-particle" : "", "family" : "Kalicki", "given" : "Joelle M", "non-dropping-particle" : "", "parse-names" : false, "suffix" : "" }, { "dropping-particle" : "", "family" : "Pohl", "given" : "Craig S", "non-dropping-particle" : "", "parse-names" : false, "suffix" : "" }, { "dropping-particle" : "", "family" : "McGrath", "given" : "Sean D", "non-dropping-particle" : "", "parse-names" : false, "suffix" : "" }, { "dropping-particle" : "", "family" : "Wendl", "given" : "Michael C", "non-dropping-particle" : "", "parse-names" : false, "suffix" : "" }, { "dropping-particle" : "", "family" : "Zhang", "given" : "Qunyuan", "non-dropping-particle" : "", "parse-names" : false, "suffix" : "" }, { "dropping-particle" : "", "family" : "Locke", "given" : "Devin P", "non-dropping-particle" : "", "parse-names" : false, "suffix" : "" }, { "dropping-particle" : "", "family" : "Shi", "given" : "Xiaoqi", "non-dropping-particle" : "", "parse-names" : false, "suffix" : "" }, { "dropping-particle" : "", "family" : "Fulton", "given" : "Robert S", "non-dropping-particle" : "", "parse-names" : false, "suffix" : "" }, { "dropping-particle" : "", "family" : "Ley", "given" : "Timothy J", "non-dropping-particle" : "", "parse-names" : false, "suffix" : "" }, { "dropping-particle" : "", "family" : "Wilson", "given" : "Richard K", "non-dropping-particle" : "", "parse-names" : false, "suffix" : "" }, { "dropping-particle" : "", "family" : "Ding", "given" : "Li", "non-dropping-particle" : "", "parse-names" : false, "suffix" : "" }, { "dropping-particle" : "", "family" : "Mardis", "given" : "Elaine R", "non-dropping-particle" : "", "parse-names" : false, "suffix" : "" } ], "container-title" : "Nature methods", "id" : "ITEM-1", "issue" : "9", "issued" : { "date-parts" : [ [ "2009", "9" ] ] }, "page" : "677-81", "publisher" : "Nature Publishing Group", "title" : "BreakDancer: an algorithm for high-resolution mapping of genomic structural variation.", "type" : "article-journal", "volume" : "6" }, "uris" : [ "http://www.mendeley.com/documents/?uuid=9a5cdfe6-8731-4601-9dfa-d20a33d5e8d9" ] } ], "mendeley" : { "formattedCitation" : "(Chen et al. 2009)", "plainTextFormattedCitation" : "(Chen et al. 2009)", "previouslyFormattedCitation" : "(Chen et al. 2009)" }, "properties" : { "noteIndex" : 0 }, "schema" : "https://github.com/citation-style-language/schema/raw/master/csl-citation.json" }</w:instrText>
      </w:r>
      <w:r w:rsidR="004B43A2">
        <w:fldChar w:fldCharType="separate"/>
      </w:r>
      <w:r w:rsidR="004B43A2" w:rsidRPr="00E7592E">
        <w:rPr>
          <w:noProof/>
        </w:rPr>
        <w:t>(Chen et al. 2009)</w:t>
      </w:r>
      <w:r w:rsidR="004B43A2">
        <w:fldChar w:fldCharType="end"/>
      </w:r>
      <w:r w:rsidR="004B43A2">
        <w:t xml:space="preserve">, CNVnator </w:t>
      </w:r>
      <w:r w:rsidR="004B43A2">
        <w:fldChar w:fldCharType="begin" w:fldLock="1"/>
      </w:r>
      <w:r w:rsidR="006A6CF5">
        <w:instrText>ADDIN CSL_CITATION { "citationItems" : [ { "id" : "ITEM-1", "itemData" : { "DOI" : "10.1101/gr.114876.110", "ISBN" : "1549-5469", "ISSN" : "1088-9051", "PMID" : "21324876", "abstract" : "Copy number variation (CNV) in the genome is a complex phenomenon, and not completely understood. We have developed a method, CNVnator, for CNV discovery and genotyping from read-depth (RD) analysis of personal genome sequencing. Our method is based on combining the established mean-shift approach with additional refinements (multiple-bandwidth partitioning and GC correction) to broaden the range of discovered CNVs. We calibrated CNVnator using the extensive validation performed by the 1000 Genomes Project. Because of this, we could use CNVnator for CNV discovery and genotyping in a population and characterization of atypical CNVs, such as de novo and multi-allelic events. Overall, for CNVs accessible by RD, CNVnator has high sensitivity (86%-96%), low false-discovery rate (3%-20%), high genotyping accuracy (93%-95%), and high resolution in breakpoint discovery (&lt;200 bp in 90% of cases with high sequencing coverage). Furthermore, CNVnator is complementary in a straightforward way to split-read and read-pair approaches: It misses CNVs created by retrotransposable elements, but more than half of the validated CNVs that it identifies are not detected by split-read or read-pair. By genotyping CNVs in the CEPH, Yoruba, and Chinese-Japanese populations, we estimated that at least 11% of all CNV loci involve complex, multi-allelic events, a considerably higher estimate than reported earlier. Moreover, among these events, we observed cases with allele distribution strongly deviating from Hardy-Weinberg equilibrium, possibly implying selection on certain complex loci. Finally, by combining discovery and genotyping, we identified six potential de novo CNVs in two family trios.", "author" : [ { "dropping-particle" : "", "family" : "Abyzov", "given" : "Alexej", "non-dropping-particle" : "", "parse-names" : false, "suffix" : "" }, { "dropping-particle" : "", "family" : "Urban", "given" : "Alexander E", "non-dropping-particle" : "", "parse-names" : false, "suffix" : "" }, { "dropping-particle" : "", "family" : "Snyder", "given" : "Michael", "non-dropping-particle" : "", "parse-names" : false, "suffix" : "" }, { "dropping-particle" : "", "family" : "Gerstein", "given" : "Mark", "non-dropping-particle" : "", "parse-names" : false, "suffix" : "" } ], "container-title" : "Genome research", "id" : "ITEM-1", "issued" : { "date-parts" : [ [ "2011" ] ] }, "page" : "974-984", "title" : "CNVnator: an approach to discover, genotype, and characterize typical and atypical CNVs from family and population genome sequencing.", "type" : "article-journal", "volume" : "21" }, "uris" : [ "http://www.mendeley.com/documents/?uuid=5d835eaf-1be5-4b40-872f-7eb8f97a1095" ] } ], "mendeley" : { "formattedCitation" : "(Abyzov et al. 2011)", "plainTextFormattedCitation" : "(Abyzov et al. 2011)", "previouslyFormattedCitation" : "(Abyzov et al. 2011)" }, "properties" : { "noteIndex" : 0 }, "schema" : "https://github.com/citation-style-language/schema/raw/master/csl-citation.json" }</w:instrText>
      </w:r>
      <w:r w:rsidR="004B43A2">
        <w:fldChar w:fldCharType="separate"/>
      </w:r>
      <w:r w:rsidR="004B43A2" w:rsidRPr="00E7592E">
        <w:rPr>
          <w:noProof/>
        </w:rPr>
        <w:t>(Abyzov et al. 2011)</w:t>
      </w:r>
      <w:r w:rsidR="004B43A2">
        <w:fldChar w:fldCharType="end"/>
      </w:r>
      <w:r w:rsidR="004B43A2">
        <w:t xml:space="preserve"> and FACADE </w:t>
      </w:r>
      <w:r w:rsidR="004B43A2">
        <w:fldChar w:fldCharType="begin" w:fldLock="1"/>
      </w:r>
      <w:r w:rsidR="006A6CF5">
        <w:instrText>ADDIN CSL_CITATION { "citationItems" : [ { "id" : "ITEM-1", "itemData" : { "DOI" : "10.1093/nar/gkq548", "ISSN" : "1362-4962", "PMID" : "20551132", "abstract" : "The availability of high resolution array comparative genomic hybridization (CGH) platforms has led to increasing complexities in data analysis. Specifically, defining contiguous regions of alterations or segmentation can be computationally intensive and popular algorithms can take hours to days for the processing of arrays comprised of hundreds of thousands to millions of elements. Additionally, tumors tend to demonstrate subtle copy number alterations due to heterogeneity, ploidy and hybridization effects. Thus, there is a need for fast, sensitive array CGH segmentation and alteration calling algorithms. Here, we describe Fast Algorithm for Calling After Detection of Edges (FACADE), a highly sensitive and easy to use algorithm designed to rapidly segment and call high resolution array data.", "author" : [ { "dropping-particle" : "", "family" : "Coe", "given" : "Bradley P", "non-dropping-particle" : "", "parse-names" : false, "suffix" : "" }, { "dropping-particle" : "", "family" : "Chari", "given" : "Raj", "non-dropping-particle" : "", "parse-names" : false, "suffix" : "" }, { "dropping-particle" : "", "family" : "MacAulay", "given" : "Calum", "non-dropping-particle" : "", "parse-names" : false, "suffix" : "" }, { "dropping-particle" : "", "family" : "Lam", "given" : "Wan L", "non-dropping-particle" : "", "parse-names" : false, "suffix" : "" } ], "container-title" : "Nucleic acids research", "id" : "ITEM-1", "issued" : { "date-parts" : [ [ "2010" ] ] }, "page" : "e157", "title" : "FACADE: a fast and sensitive algorithm for the segmentation and calling of high resolution array CGH data.", "type" : "article-journal", "volume" : "38" }, "uris" : [ "http://www.mendeley.com/documents/?uuid=a5034305-3389-4d62-b94b-0f2e7aa1600d" ] } ], "mendeley" : { "formattedCitation" : "(Coe et al. 2010)", "plainTextFormattedCitation" : "(Coe et al. 2010)", "previouslyFormattedCitation" : "(Coe et al. 2010)" }, "properties" : { "noteIndex" : 0 }, "schema" : "https://github.com/citation-style-language/schema/raw/master/csl-citation.json" }</w:instrText>
      </w:r>
      <w:r w:rsidR="004B43A2">
        <w:fldChar w:fldCharType="separate"/>
      </w:r>
      <w:r w:rsidR="004B43A2" w:rsidRPr="00E7592E">
        <w:rPr>
          <w:noProof/>
        </w:rPr>
        <w:t>(Coe et al. 2010)</w:t>
      </w:r>
      <w:r w:rsidR="004B43A2">
        <w:fldChar w:fldCharType="end"/>
      </w:r>
      <w:r w:rsidR="004B43A2">
        <w:t xml:space="preserve"> for which no additional filtering was performed. </w:t>
      </w:r>
      <w:r w:rsidR="004B43A2">
        <w:rPr>
          <w:rFonts w:cs="Arial"/>
          <w:szCs w:val="20"/>
        </w:rPr>
        <w:t xml:space="preserve">The numbers of </w:t>
      </w:r>
      <w:r w:rsidR="004B43A2" w:rsidRPr="00817C14">
        <w:rPr>
          <w:rFonts w:cs="Arial"/>
          <w:i/>
          <w:szCs w:val="20"/>
        </w:rPr>
        <w:t>de novo</w:t>
      </w:r>
      <w:r w:rsidR="004B43A2">
        <w:rPr>
          <w:rFonts w:cs="Arial"/>
          <w:szCs w:val="20"/>
        </w:rPr>
        <w:t xml:space="preserve"> indel and SV candidates identified by each of the tools are provided in </w:t>
      </w:r>
      <w:r w:rsidR="004B43A2" w:rsidRPr="00817C14">
        <w:rPr>
          <w:rFonts w:cs="Arial"/>
          <w:b/>
          <w:szCs w:val="20"/>
        </w:rPr>
        <w:t>Supplemental Table 1</w:t>
      </w:r>
      <w:r w:rsidR="004B43A2">
        <w:rPr>
          <w:rFonts w:cs="Arial"/>
          <w:szCs w:val="20"/>
        </w:rPr>
        <w:t>.</w:t>
      </w:r>
      <w:bookmarkEnd w:id="2"/>
    </w:p>
    <w:p w14:paraId="24FCDF60" w14:textId="77777777" w:rsidR="004142E7" w:rsidRDefault="004142E7" w:rsidP="00DB30C4">
      <w:pPr>
        <w:pStyle w:val="Heading2"/>
      </w:pPr>
      <w:bookmarkStart w:id="4" w:name="_Toc268963841"/>
      <w:bookmarkStart w:id="5" w:name="_Toc289421704"/>
      <w:r>
        <w:t xml:space="preserve">GATK </w:t>
      </w:r>
      <w:r w:rsidRPr="004420F8">
        <w:t>UnifiedGenotyper</w:t>
      </w:r>
      <w:bookmarkEnd w:id="4"/>
      <w:bookmarkEnd w:id="5"/>
      <w:r>
        <w:t xml:space="preserve"> </w:t>
      </w:r>
    </w:p>
    <w:p w14:paraId="14121CF3" w14:textId="0076F900" w:rsidR="004142E7" w:rsidRDefault="004142E7" w:rsidP="004142E7">
      <w:r>
        <w:t>All bi-allelic autosomal GoNL indel calls</w:t>
      </w:r>
      <w:r w:rsidR="00061DAC">
        <w:t xml:space="preserve"> </w:t>
      </w:r>
      <w:r>
        <w:fldChar w:fldCharType="begin" w:fldLock="1"/>
      </w:r>
      <w:r w:rsidR="00A92323">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fldChar w:fldCharType="separate"/>
      </w:r>
      <w:r w:rsidR="008B18A5" w:rsidRPr="008B18A5">
        <w:rPr>
          <w:noProof/>
        </w:rPr>
        <w:t>(Francioli et al. 2014)</w:t>
      </w:r>
      <w:r>
        <w:fldChar w:fldCharType="end"/>
      </w:r>
      <w:r>
        <w:t xml:space="preserve"> were re-genotyped using GATK </w:t>
      </w:r>
      <w:r w:rsidRPr="00AA0BCB">
        <w:t>PhaseByTransmission</w:t>
      </w:r>
      <w:r>
        <w:t xml:space="preserve"> (PBT, manuscript in preparation), a trio-aware genotyper that reports the most likely genotypes (along with a phred-scaled confidence score) in a trio given a mutation prior and the observed allele frequency of the site in the population. We used a relaxed mutation prior of 1 x 10</w:t>
      </w:r>
      <w:r w:rsidRPr="00AA0BCB">
        <w:rPr>
          <w:vertAlign w:val="superscript"/>
        </w:rPr>
        <w:t>-4</w:t>
      </w:r>
      <w:r>
        <w:t xml:space="preserve"> in order to increase the sensitivity of our initial call set. We note that since GATK </w:t>
      </w:r>
      <w:r w:rsidRPr="00AA0BCB">
        <w:t>PBT</w:t>
      </w:r>
      <w:r>
        <w:t xml:space="preserve"> does not support sex chromosomes, only autosomal chromosomes were called</w:t>
      </w:r>
      <w:r w:rsidR="00393577">
        <w:t xml:space="preserve"> using this method</w:t>
      </w:r>
      <w:r>
        <w:t>.</w:t>
      </w:r>
    </w:p>
    <w:p w14:paraId="15ED5D2A" w14:textId="77777777" w:rsidR="004142E7" w:rsidRDefault="004142E7" w:rsidP="004142E7">
      <w:r>
        <w:t>All calls for which both parents were genotyped as homozygous reference and the offspring as heterozygous were extracted and the following additional filters were applied to obtain the high confidence set:</w:t>
      </w:r>
    </w:p>
    <w:p w14:paraId="4E1BC14A" w14:textId="77777777" w:rsidR="004142E7" w:rsidRDefault="004142E7" w:rsidP="004142E7">
      <w:pPr>
        <w:pStyle w:val="ListParagraph"/>
        <w:numPr>
          <w:ilvl w:val="0"/>
          <w:numId w:val="6"/>
        </w:numPr>
      </w:pPr>
      <w:r>
        <w:t>No evidence of non-reference allele in the parents reads</w:t>
      </w:r>
    </w:p>
    <w:p w14:paraId="19D31418" w14:textId="77777777" w:rsidR="004142E7" w:rsidRDefault="004142E7" w:rsidP="004142E7">
      <w:pPr>
        <w:pStyle w:val="ListParagraph"/>
        <w:numPr>
          <w:ilvl w:val="0"/>
          <w:numId w:val="6"/>
        </w:numPr>
      </w:pPr>
      <w:r>
        <w:t>No other GoNL sample genotyped with this non-reference allele</w:t>
      </w:r>
    </w:p>
    <w:p w14:paraId="51B698E3" w14:textId="77777777" w:rsidR="004142E7" w:rsidRDefault="004142E7" w:rsidP="004142E7">
      <w:pPr>
        <w:pStyle w:val="ListParagraph"/>
        <w:numPr>
          <w:ilvl w:val="0"/>
          <w:numId w:val="6"/>
        </w:numPr>
      </w:pPr>
      <w:r>
        <w:t>At least 2 reads containing the non-reference allele found in the offspring</w:t>
      </w:r>
    </w:p>
    <w:p w14:paraId="651410D5" w14:textId="77777777" w:rsidR="004142E7" w:rsidRPr="00491FA0" w:rsidRDefault="004142E7" w:rsidP="004142E7">
      <w:pPr>
        <w:pStyle w:val="ListParagraph"/>
        <w:numPr>
          <w:ilvl w:val="0"/>
          <w:numId w:val="6"/>
        </w:numPr>
      </w:pPr>
      <w:r>
        <w:t>The PBT confidence score was &gt;Q30</w:t>
      </w:r>
    </w:p>
    <w:p w14:paraId="4DD6A973" w14:textId="77777777" w:rsidR="004142E7" w:rsidRPr="0099694D" w:rsidRDefault="004142E7" w:rsidP="004142E7"/>
    <w:p w14:paraId="3F2F7419" w14:textId="77777777" w:rsidR="004142E7" w:rsidRPr="00E87E06" w:rsidRDefault="004142E7" w:rsidP="00DB30C4">
      <w:pPr>
        <w:pStyle w:val="Heading2"/>
      </w:pPr>
      <w:bookmarkStart w:id="6" w:name="_Toc268963842"/>
      <w:bookmarkStart w:id="7" w:name="_Toc289421705"/>
      <w:r>
        <w:t xml:space="preserve">GATK </w:t>
      </w:r>
      <w:r w:rsidRPr="004420F8">
        <w:t>HaplotypeCaller</w:t>
      </w:r>
      <w:bookmarkEnd w:id="6"/>
      <w:bookmarkEnd w:id="7"/>
      <w:r>
        <w:t xml:space="preserve"> </w:t>
      </w:r>
    </w:p>
    <w:p w14:paraId="17967C72" w14:textId="27F36E4A" w:rsidR="004142E7"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used the GATK </w:t>
      </w:r>
      <w:r w:rsidRPr="00AA0BCB">
        <w:t>HaplotypeCaller</w:t>
      </w:r>
      <w:r>
        <w:t xml:space="preserve"> to discover and genotype the union of regions previously called as putative indels in GoNL </w:t>
      </w:r>
      <w:r>
        <w:fldChar w:fldCharType="begin" w:fldLock="1"/>
      </w:r>
      <w:r w:rsidR="00A92323">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fldChar w:fldCharType="separate"/>
      </w:r>
      <w:r w:rsidR="008B18A5" w:rsidRPr="008B18A5">
        <w:rPr>
          <w:noProof/>
        </w:rPr>
        <w:t>(Francioli et al. 2014)</w:t>
      </w:r>
      <w:r>
        <w:fldChar w:fldCharType="end"/>
      </w:r>
      <w:r>
        <w:t xml:space="preserve"> r</w:t>
      </w:r>
      <w:r w:rsidR="00181BE8">
        <w:t>aw indel calls as well as Pindel</w:t>
      </w:r>
      <w:r>
        <w:t xml:space="preserve"> </w:t>
      </w:r>
      <w:r w:rsidR="00B62ACA">
        <w:t xml:space="preserve">calls </w:t>
      </w:r>
      <w:r>
        <w:fldChar w:fldCharType="begin" w:fldLock="1"/>
      </w:r>
      <w:r w:rsidR="006A6CF5">
        <w:instrText>ADDIN CSL_CITATION { "citationItems" : [ { "id" : "ITEM-1", "itemData" : { "DOI" : "10.1093/bioinformatics/btp394", "ISBN" : "1367-4811", "ISSN" : "1367-4811", "PMID" : "19561018", "abstract" : "MOTIVATION: There is a strong demand in the genomic community to develop effective algorithms to reliably identify genomic variants. Indel detection using next-gen data is difficult and identification of long structural variations is extremely challenging. RESULTS: We present Pindel, a pattern growth approach, to detect breakpoints of large deletions and medium-sized insertions from paired-end short reads. We use both simulated reads and real data to demonstrate the efficiency of the computer program and accuracy of the results. AVAILABILITY: The binary code and a short user manual can be freely downloaded from http://www.ebi.ac.uk/ approximately kye/pindel/. CONTACT: k.ye@lumc.nl; zn1@sanger.ac.uk.", "author" : [ { "dropping-particle" : "", "family" : "Ye", "given" : "Kai", "non-dropping-particle" : "", "parse-names" : false, "suffix" : "" }, { "dropping-particle" : "", "family" : "Schulz", "given" : "Marcel H", "non-dropping-particle" : "", "parse-names" : false, "suffix" : "" }, { "dropping-particle" : "", "family" : "Long", "given" : "Quan", "non-dropping-particle" : "", "parse-names" : false, "suffix" : "" }, { "dropping-particle" : "", "family" : "Apweiler", "given" : "Rolf", "non-dropping-particle" : "", "parse-names" : false, "suffix" : "" }, { "dropping-particle" : "", "family" : "Ning", "given" : "Zemin", "non-dropping-particle" : "", "parse-names" : false, "suffix" : "" } ], "container-title" : "Bioinformatics (Oxford, England)", "id" : "ITEM-1", "issued" : { "date-parts" : [ [ "2009" ] ] }, "page" : "2865-2871", "title" : "Pindel: a pattern growth approach to detect break points of large deletions and medium sized insertions from paired-end short reads.", "type" : "article-journal", "volume" : "25" }, "uris" : [ "http://www.mendeley.com/documents/?uuid=af9bd63b-f549-4033-8617-178893ce82bd" ] } ], "mendeley" : { "formattedCitation" : "(Ye et al. 2009)", "plainTextFormattedCitation" : "(Ye et al. 2009)", "previouslyFormattedCitation" : "(Ye et al. 2009)" }, "properties" : { "noteIndex" : 0 }, "schema" : "https://github.com/citation-style-language/schema/raw/master/csl-citation.json" }</w:instrText>
      </w:r>
      <w:r>
        <w:fldChar w:fldCharType="separate"/>
      </w:r>
      <w:r w:rsidR="00E7592E" w:rsidRPr="00E7592E">
        <w:rPr>
          <w:noProof/>
        </w:rPr>
        <w:t>(Ye et al. 2009)</w:t>
      </w:r>
      <w:r>
        <w:fldChar w:fldCharType="end"/>
      </w:r>
      <w:r>
        <w:t xml:space="preserve"> (</w:t>
      </w:r>
      <w:r>
        <w:rPr>
          <w:b/>
        </w:rPr>
        <w:t xml:space="preserve">section </w:t>
      </w:r>
      <w:r>
        <w:rPr>
          <w:b/>
        </w:rPr>
        <w:fldChar w:fldCharType="begin"/>
      </w:r>
      <w:r>
        <w:rPr>
          <w:b/>
        </w:rPr>
        <w:instrText xml:space="preserve"> REF _Ref257962299 \r \h </w:instrText>
      </w:r>
      <w:r>
        <w:rPr>
          <w:b/>
        </w:rPr>
      </w:r>
      <w:r>
        <w:rPr>
          <w:b/>
        </w:rPr>
        <w:fldChar w:fldCharType="separate"/>
      </w:r>
      <w:r w:rsidR="004A1973">
        <w:rPr>
          <w:b/>
        </w:rPr>
        <w:t>1.3</w:t>
      </w:r>
      <w:r>
        <w:rPr>
          <w:b/>
        </w:rPr>
        <w:fldChar w:fldCharType="end"/>
      </w:r>
      <w:r>
        <w:t xml:space="preserve">), including 1kbp flanking each variant. We filtered these calls using GATK </w:t>
      </w:r>
      <w:r w:rsidRPr="00AA0BCB">
        <w:t>VariantQualityScoreRecalibration</w:t>
      </w:r>
      <w:r>
        <w:t xml:space="preserve"> (VQSR) using the following parameters:</w:t>
      </w:r>
    </w:p>
    <w:p w14:paraId="0330CF0D" w14:textId="77777777" w:rsidR="004142E7" w:rsidRPr="00A51841" w:rsidRDefault="004142E7" w:rsidP="004142E7">
      <w:pPr>
        <w:pStyle w:val="ListParagraph"/>
        <w:numPr>
          <w:ilvl w:val="0"/>
          <w:numId w:val="8"/>
        </w:numPr>
        <w:spacing w:after="120"/>
        <w:rPr>
          <w:rFonts w:cs="Arial"/>
          <w:b/>
          <w:color w:val="000000" w:themeColor="text1"/>
        </w:rPr>
      </w:pPr>
      <w:r w:rsidRPr="00A51841">
        <w:rPr>
          <w:rFonts w:cs="Arial"/>
          <w:b/>
          <w:color w:val="000000" w:themeColor="text1"/>
        </w:rPr>
        <w:t>Training sets</w:t>
      </w:r>
    </w:p>
    <w:p w14:paraId="0283CA97" w14:textId="76DC0850" w:rsidR="004142E7" w:rsidRDefault="004142E7" w:rsidP="004142E7">
      <w:pPr>
        <w:pStyle w:val="ListParagraph"/>
        <w:numPr>
          <w:ilvl w:val="1"/>
          <w:numId w:val="8"/>
        </w:numPr>
        <w:spacing w:after="120"/>
        <w:rPr>
          <w:rFonts w:cs="Arial"/>
          <w:color w:val="000000" w:themeColor="text1"/>
        </w:rPr>
      </w:pPr>
      <w:r w:rsidRPr="00A51841">
        <w:rPr>
          <w:rFonts w:cs="Arial"/>
          <w:color w:val="000000" w:themeColor="text1"/>
        </w:rPr>
        <w:t>Mills-Devine 1KG gold standard indel set</w:t>
      </w:r>
      <w:r>
        <w:rPr>
          <w:rFonts w:cs="Arial"/>
          <w:color w:val="000000" w:themeColor="text1"/>
        </w:rPr>
        <w:t xml:space="preserve"> </w:t>
      </w:r>
      <w:r>
        <w:fldChar w:fldCharType="begin" w:fldLock="1"/>
      </w:r>
      <w:r w:rsidR="00A92323">
        <w:instrText>ADDIN CSL_CITATION { "citationItems" : [ { "id" : "ITEM-1", "itemData" : { "DOI" : "10.1101/gr.4565806.1", "author" : [ { "dropping-particle" : "", "family" : "Mills", "given" : "RE", "non-dropping-particle" : "", "parse-names" : false, "suffix" : "" }, { "dropping-particle" : "", "family" : "Luttig", "given" : "CT", "non-dropping-particle" : "", "parse-names" : false, "suffix" : "" }, { "dropping-particle" : "", "family" : "Larkins", "given" : "CE", "non-dropping-particle" : "", "parse-names" : false, "suffix" : "" } ], "container-title" : "Genome research", "id" : "ITEM-1", "issued" : { "date-parts" : [ [ "2006" ] ] }, "page" : "1182-1190", "title" : "An initial map of insertion and deletion (INDEL) variation in the human genome", "type" : "article-journal", "volume" : "16" }, "uris" : [ "http://www.mendeley.com/documents/?uuid=30c44a84-b342-414e-a266-9730d51d1b68" ] } ], "mendeley" : { "formattedCitation" : "(Mills et al. 2006)", "plainTextFormattedCitation" : "(Mills et al. 2006)", "previouslyFormattedCitation" : "(Mills et al. 2006)" }, "properties" : { "noteIndex" : 0 }, "schema" : "https://github.com/citation-style-language/schema/raw/master/csl-citation.json" }</w:instrText>
      </w:r>
      <w:r>
        <w:fldChar w:fldCharType="separate"/>
      </w:r>
      <w:r w:rsidR="00E7592E" w:rsidRPr="00E7592E">
        <w:rPr>
          <w:noProof/>
        </w:rPr>
        <w:t>(Mills et al. 2006)</w:t>
      </w:r>
      <w:r>
        <w:fldChar w:fldCharType="end"/>
      </w:r>
    </w:p>
    <w:p w14:paraId="14FFC46C" w14:textId="77777777" w:rsidR="004142E7" w:rsidRPr="00A51841" w:rsidRDefault="004142E7" w:rsidP="004142E7">
      <w:pPr>
        <w:pStyle w:val="ListParagraph"/>
        <w:ind w:left="1440"/>
        <w:rPr>
          <w:rFonts w:cs="Arial"/>
          <w:color w:val="000000" w:themeColor="text1"/>
        </w:rPr>
      </w:pPr>
    </w:p>
    <w:p w14:paraId="331F2B3D" w14:textId="77777777" w:rsidR="004142E7" w:rsidRPr="00A51841" w:rsidRDefault="004142E7" w:rsidP="004142E7">
      <w:pPr>
        <w:pStyle w:val="ListParagraph"/>
        <w:numPr>
          <w:ilvl w:val="0"/>
          <w:numId w:val="8"/>
        </w:numPr>
        <w:spacing w:after="120"/>
        <w:rPr>
          <w:rFonts w:cs="Arial"/>
          <w:b/>
          <w:color w:val="000000" w:themeColor="text1"/>
        </w:rPr>
      </w:pPr>
      <w:r w:rsidRPr="00A51841">
        <w:rPr>
          <w:rFonts w:cs="Arial"/>
          <w:b/>
          <w:color w:val="000000" w:themeColor="text1"/>
        </w:rPr>
        <w:t>Features</w:t>
      </w:r>
    </w:p>
    <w:p w14:paraId="4DCA845E" w14:textId="77777777" w:rsidR="004142E7" w:rsidRPr="00A51841" w:rsidRDefault="004142E7" w:rsidP="004142E7">
      <w:pPr>
        <w:pStyle w:val="ListParagraph"/>
        <w:numPr>
          <w:ilvl w:val="1"/>
          <w:numId w:val="8"/>
        </w:numPr>
        <w:spacing w:after="120"/>
        <w:rPr>
          <w:rFonts w:cs="Arial"/>
          <w:color w:val="000000" w:themeColor="text1"/>
        </w:rPr>
      </w:pPr>
      <w:r w:rsidRPr="00A51841">
        <w:rPr>
          <w:rFonts w:cs="Arial"/>
          <w:color w:val="000000" w:themeColor="text1"/>
        </w:rPr>
        <w:t>Quality / Depth</w:t>
      </w:r>
    </w:p>
    <w:p w14:paraId="6D44DD2B" w14:textId="77777777" w:rsidR="004142E7" w:rsidRPr="00A51841" w:rsidRDefault="004142E7" w:rsidP="004142E7">
      <w:pPr>
        <w:pStyle w:val="ListParagraph"/>
        <w:numPr>
          <w:ilvl w:val="1"/>
          <w:numId w:val="8"/>
        </w:numPr>
        <w:spacing w:after="120"/>
        <w:rPr>
          <w:rFonts w:cs="Arial"/>
          <w:color w:val="000000" w:themeColor="text1"/>
        </w:rPr>
      </w:pPr>
      <w:r w:rsidRPr="00A51841">
        <w:rPr>
          <w:rFonts w:cs="Arial"/>
          <w:color w:val="000000" w:themeColor="text1"/>
        </w:rPr>
        <w:t>Fisher’s test on strand bias</w:t>
      </w:r>
    </w:p>
    <w:p w14:paraId="05E59E5B" w14:textId="77777777" w:rsidR="004142E7" w:rsidRPr="00A51841" w:rsidRDefault="004142E7" w:rsidP="004142E7">
      <w:pPr>
        <w:pStyle w:val="ListParagraph"/>
        <w:numPr>
          <w:ilvl w:val="1"/>
          <w:numId w:val="8"/>
        </w:numPr>
        <w:spacing w:after="120"/>
        <w:rPr>
          <w:rFonts w:cs="Arial"/>
          <w:color w:val="000000" w:themeColor="text1"/>
        </w:rPr>
      </w:pPr>
      <w:r w:rsidRPr="00A51841">
        <w:rPr>
          <w:rFonts w:cs="Arial"/>
          <w:color w:val="000000" w:themeColor="text1"/>
        </w:rPr>
        <w:t>Haplotype score</w:t>
      </w:r>
    </w:p>
    <w:p w14:paraId="54F8B38B" w14:textId="77777777" w:rsidR="004142E7" w:rsidRPr="00A51841" w:rsidRDefault="004142E7" w:rsidP="004142E7">
      <w:pPr>
        <w:pStyle w:val="ListParagraph"/>
        <w:numPr>
          <w:ilvl w:val="1"/>
          <w:numId w:val="8"/>
        </w:numPr>
        <w:spacing w:after="120"/>
        <w:rPr>
          <w:rFonts w:cs="Arial"/>
          <w:color w:val="000000" w:themeColor="text1"/>
        </w:rPr>
      </w:pPr>
      <w:r w:rsidRPr="00A51841">
        <w:rPr>
          <w:rFonts w:cs="Arial"/>
          <w:color w:val="000000" w:themeColor="text1"/>
        </w:rPr>
        <w:t>Read position rank sum test</w:t>
      </w:r>
    </w:p>
    <w:p w14:paraId="640CB4F5" w14:textId="77777777" w:rsidR="004142E7" w:rsidRPr="00A51841" w:rsidRDefault="004142E7" w:rsidP="004142E7">
      <w:pPr>
        <w:pStyle w:val="ListParagraph"/>
        <w:numPr>
          <w:ilvl w:val="1"/>
          <w:numId w:val="8"/>
        </w:numPr>
        <w:spacing w:after="120"/>
        <w:rPr>
          <w:rFonts w:cs="Arial"/>
          <w:color w:val="000000" w:themeColor="text1"/>
        </w:rPr>
      </w:pPr>
      <w:r w:rsidRPr="00A51841">
        <w:rPr>
          <w:rFonts w:cs="Arial"/>
          <w:color w:val="000000" w:themeColor="text1"/>
        </w:rPr>
        <w:t>Inbreeding coefficient</w:t>
      </w:r>
    </w:p>
    <w:p w14:paraId="5687168F" w14:textId="77777777" w:rsidR="004142E7" w:rsidRDefault="004142E7" w:rsidP="004142E7">
      <w:r>
        <w:t xml:space="preserve">We genotyped all autosomal calls passing VQSR with GATK </w:t>
      </w:r>
      <w:r w:rsidRPr="00AA0BCB">
        <w:t>PhaseByTransmission</w:t>
      </w:r>
      <w:r>
        <w:rPr>
          <w:i/>
        </w:rPr>
        <w:t xml:space="preserve"> </w:t>
      </w:r>
      <w:r>
        <w:t>using a mutation prior of 10</w:t>
      </w:r>
      <w:r w:rsidRPr="00AA0BCB">
        <w:rPr>
          <w:vertAlign w:val="superscript"/>
        </w:rPr>
        <w:t>-4</w:t>
      </w:r>
      <w:r>
        <w:t xml:space="preserve"> to obtain sensitive trio-aware genotypes. All calls where both parents were genotyped as homozygous reference and the offspring as heterozygous were extracted and the following additional filters were applied to obtain the high confidence set:</w:t>
      </w:r>
    </w:p>
    <w:p w14:paraId="177959F2" w14:textId="77777777" w:rsidR="004142E7" w:rsidRDefault="004142E7" w:rsidP="004142E7">
      <w:pPr>
        <w:pStyle w:val="ListParagraph"/>
        <w:numPr>
          <w:ilvl w:val="0"/>
          <w:numId w:val="6"/>
        </w:numPr>
      </w:pPr>
      <w:r>
        <w:t>No evidence of non-reference allele in the parents reads</w:t>
      </w:r>
    </w:p>
    <w:p w14:paraId="257C6545" w14:textId="77777777" w:rsidR="004142E7" w:rsidRDefault="004142E7" w:rsidP="004142E7">
      <w:pPr>
        <w:pStyle w:val="ListParagraph"/>
        <w:numPr>
          <w:ilvl w:val="0"/>
          <w:numId w:val="6"/>
        </w:numPr>
      </w:pPr>
      <w:r>
        <w:t>No other GoNL sample genotyped with this non-reference allele</w:t>
      </w:r>
    </w:p>
    <w:p w14:paraId="3045BF11" w14:textId="77777777" w:rsidR="004142E7" w:rsidRDefault="004142E7" w:rsidP="004142E7">
      <w:pPr>
        <w:pStyle w:val="ListParagraph"/>
        <w:numPr>
          <w:ilvl w:val="0"/>
          <w:numId w:val="6"/>
        </w:numPr>
      </w:pPr>
      <w:r>
        <w:t>At least 2 reads containing the non-reference allele found in the offspring</w:t>
      </w:r>
    </w:p>
    <w:p w14:paraId="7EBFAF16" w14:textId="77777777" w:rsidR="004142E7" w:rsidRPr="00491FA0" w:rsidRDefault="004142E7" w:rsidP="004142E7">
      <w:pPr>
        <w:pStyle w:val="ListParagraph"/>
        <w:numPr>
          <w:ilvl w:val="0"/>
          <w:numId w:val="6"/>
        </w:numPr>
      </w:pPr>
      <w:r>
        <w:t>The PBT confidence score was &gt;Q30</w:t>
      </w:r>
    </w:p>
    <w:p w14:paraId="1AACDCE0" w14:textId="77777777" w:rsidR="004142E7"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4A236D8" w14:textId="164CD06A" w:rsidR="004142E7" w:rsidRPr="00DD303F" w:rsidRDefault="004142E7" w:rsidP="00DB30C4">
      <w:pPr>
        <w:pStyle w:val="Heading2"/>
      </w:pPr>
      <w:bookmarkStart w:id="8" w:name="_Ref257962299"/>
      <w:bookmarkStart w:id="9" w:name="_Toc268963843"/>
      <w:bookmarkStart w:id="10" w:name="_Toc289421706"/>
      <w:r w:rsidRPr="00BC3719">
        <w:t>P</w:t>
      </w:r>
      <w:bookmarkEnd w:id="8"/>
      <w:bookmarkEnd w:id="9"/>
      <w:r w:rsidR="00181BE8">
        <w:t>indel</w:t>
      </w:r>
      <w:bookmarkEnd w:id="10"/>
    </w:p>
    <w:p w14:paraId="0E1EE286" w14:textId="1C5AB6F7" w:rsidR="004142E7" w:rsidRDefault="00181BE8"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Pr>
          <w:rFonts w:cs="Arial"/>
          <w:szCs w:val="20"/>
        </w:rPr>
        <w:t>We applied Pindel</w:t>
      </w:r>
      <w:r w:rsidR="004142E7" w:rsidRPr="00BC3719">
        <w:rPr>
          <w:rFonts w:cs="Arial"/>
          <w:szCs w:val="20"/>
        </w:rPr>
        <w:t xml:space="preserve"> v0.2.4t</w:t>
      </w:r>
      <w:r w:rsidR="004142E7">
        <w:rPr>
          <w:rFonts w:cs="Arial"/>
          <w:szCs w:val="20"/>
        </w:rPr>
        <w:t xml:space="preserve"> </w:t>
      </w:r>
      <w:r w:rsidR="004142E7">
        <w:rPr>
          <w:rFonts w:cs="Arial"/>
          <w:szCs w:val="20"/>
        </w:rPr>
        <w:fldChar w:fldCharType="begin" w:fldLock="1"/>
      </w:r>
      <w:r w:rsidR="006A6CF5">
        <w:rPr>
          <w:rFonts w:cs="Arial"/>
          <w:szCs w:val="20"/>
        </w:rPr>
        <w:instrText>ADDIN CSL_CITATION { "citationItems" : [ { "id" : "ITEM-1", "itemData" : { "DOI" : "10.1093/bioinformatics/btp394", "ISBN" : "1367-4811", "ISSN" : "1367-4811", "PMID" : "19561018", "abstract" : "MOTIVATION: There is a strong demand in the genomic community to develop effective algorithms to reliably identify genomic variants. Indel detection using next-gen data is difficult and identification of long structural variations is extremely challenging. RESULTS: We present Pindel, a pattern growth approach, to detect breakpoints of large deletions and medium-sized insertions from paired-end short reads. We use both simulated reads and real data to demonstrate the efficiency of the computer program and accuracy of the results. AVAILABILITY: The binary code and a short user manual can be freely downloaded from http://www.ebi.ac.uk/ approximately kye/pindel/. CONTACT: k.ye@lumc.nl; zn1@sanger.ac.uk.", "author" : [ { "dropping-particle" : "", "family" : "Ye", "given" : "Kai", "non-dropping-particle" : "", "parse-names" : false, "suffix" : "" }, { "dropping-particle" : "", "family" : "Schulz", "given" : "Marcel H", "non-dropping-particle" : "", "parse-names" : false, "suffix" : "" }, { "dropping-particle" : "", "family" : "Long", "given" : "Quan", "non-dropping-particle" : "", "parse-names" : false, "suffix" : "" }, { "dropping-particle" : "", "family" : "Apweiler", "given" : "Rolf", "non-dropping-particle" : "", "parse-names" : false, "suffix" : "" }, { "dropping-particle" : "", "family" : "Ning", "given" : "Zemin", "non-dropping-particle" : "", "parse-names" : false, "suffix" : "" } ], "container-title" : "Bioinformatics (Oxford, England)", "id" : "ITEM-1", "issued" : { "date-parts" : [ [ "2009" ] ] }, "page" : "2865-2871", "title" : "Pindel: a pattern growth approach to detect break points of large deletions and medium sized insertions from paired-end short reads.", "type" : "article-journal", "volume" : "25" }, "uris" : [ "http://www.mendeley.com/documents/?uuid=af9bd63b-f549-4033-8617-178893ce82bd" ] } ], "mendeley" : { "formattedCitation" : "(Ye et al. 2009)", "plainTextFormattedCitation" : "(Ye et al. 2009)", "previouslyFormattedCitation" : "(Ye et al. 2009)" }, "properties" : { "noteIndex" : 0 }, "schema" : "https://github.com/citation-style-language/schema/raw/master/csl-citation.json" }</w:instrText>
      </w:r>
      <w:r w:rsidR="004142E7">
        <w:rPr>
          <w:rFonts w:cs="Arial"/>
          <w:szCs w:val="20"/>
        </w:rPr>
        <w:fldChar w:fldCharType="separate"/>
      </w:r>
      <w:r w:rsidR="00E7592E" w:rsidRPr="00E7592E">
        <w:rPr>
          <w:rFonts w:cs="Arial"/>
          <w:noProof/>
          <w:szCs w:val="20"/>
        </w:rPr>
        <w:t>(Ye et al. 2009)</w:t>
      </w:r>
      <w:r w:rsidR="004142E7">
        <w:rPr>
          <w:rFonts w:cs="Arial"/>
          <w:szCs w:val="20"/>
        </w:rPr>
        <w:fldChar w:fldCharType="end"/>
      </w:r>
      <w:r w:rsidR="004142E7">
        <w:rPr>
          <w:rFonts w:cs="Arial"/>
          <w:szCs w:val="20"/>
        </w:rPr>
        <w:t xml:space="preserve"> </w:t>
      </w:r>
      <w:r w:rsidR="004142E7" w:rsidRPr="00BC3719">
        <w:rPr>
          <w:rFonts w:cs="Arial"/>
          <w:szCs w:val="20"/>
        </w:rPr>
        <w:t>on the complete GoNL alignment BAM files</w:t>
      </w:r>
      <w:r w:rsidR="004142E7">
        <w:rPr>
          <w:rFonts w:cs="Arial"/>
          <w:szCs w:val="20"/>
        </w:rPr>
        <w:t xml:space="preserve"> </w:t>
      </w:r>
      <w:r w:rsidR="004142E7">
        <w:rPr>
          <w:rFonts w:cs="Arial"/>
          <w:szCs w:val="20"/>
        </w:rPr>
        <w:fldChar w:fldCharType="begin" w:fldLock="1"/>
      </w:r>
      <w:r w:rsidR="00A92323">
        <w:rPr>
          <w:rFonts w:cs="Arial"/>
          <w:szCs w:val="20"/>
        </w:rPr>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rsidR="004142E7">
        <w:rPr>
          <w:rFonts w:cs="Arial"/>
          <w:szCs w:val="20"/>
        </w:rPr>
        <w:fldChar w:fldCharType="separate"/>
      </w:r>
      <w:r w:rsidR="008B18A5" w:rsidRPr="008B18A5">
        <w:rPr>
          <w:rFonts w:cs="Arial"/>
          <w:noProof/>
          <w:szCs w:val="20"/>
        </w:rPr>
        <w:t>(Francioli et al. 2014)</w:t>
      </w:r>
      <w:r w:rsidR="004142E7">
        <w:rPr>
          <w:rFonts w:cs="Arial"/>
          <w:szCs w:val="20"/>
        </w:rPr>
        <w:fldChar w:fldCharType="end"/>
      </w:r>
      <w:r w:rsidR="004142E7" w:rsidRPr="00BC3719">
        <w:rPr>
          <w:rFonts w:cs="Arial"/>
          <w:szCs w:val="20"/>
        </w:rPr>
        <w:t xml:space="preserve"> using the default parameters. For this analysis, all chromosomes were split into bins of 20 Mb, with an overlap of 0.1 Mb, resulting in 113 genomic regions, spread over 75,000 files. All reads except for perfectly mapped ones were collected for indel/SV detection. Each variant calling job processes one of 113 genomic regions on all samples.</w:t>
      </w:r>
    </w:p>
    <w:p w14:paraId="51E4F171" w14:textId="1C0A7E1D" w:rsidR="004142E7" w:rsidRPr="00BC3719"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Pr>
          <w:rFonts w:cs="Arial"/>
          <w:szCs w:val="20"/>
        </w:rPr>
        <w:t xml:space="preserve">All variants observed in </w:t>
      </w:r>
      <w:r w:rsidR="00A409A9">
        <w:rPr>
          <w:rFonts w:cs="Arial"/>
          <w:szCs w:val="20"/>
        </w:rPr>
        <w:t xml:space="preserve">only a single </w:t>
      </w:r>
      <w:r>
        <w:rPr>
          <w:rFonts w:cs="Arial"/>
          <w:szCs w:val="20"/>
        </w:rPr>
        <w:t>child with at least 2 supporting reads and where the d</w:t>
      </w:r>
      <w:r w:rsidRPr="007279F5">
        <w:rPr>
          <w:rFonts w:cs="Arial" w:hint="eastAsia"/>
          <w:szCs w:val="20"/>
        </w:rPr>
        <w:t>ifference of reads supporting each allele on the forward and the reverse strand &lt; 2</w:t>
      </w:r>
      <w:r w:rsidRPr="007279F5">
        <w:rPr>
          <w:rFonts w:cs="Arial" w:hint="eastAsia"/>
          <w:szCs w:val="20"/>
        </w:rPr>
        <w:t>√</w:t>
      </w:r>
      <w:r w:rsidRPr="007279F5">
        <w:rPr>
          <w:rFonts w:cs="Arial" w:hint="eastAsia"/>
          <w:szCs w:val="20"/>
        </w:rPr>
        <w:t>(#reads)</w:t>
      </w:r>
      <w:r>
        <w:rPr>
          <w:rFonts w:cs="Arial"/>
          <w:szCs w:val="20"/>
        </w:rPr>
        <w:t xml:space="preserve"> were kept as confident </w:t>
      </w:r>
      <w:r>
        <w:rPr>
          <w:rFonts w:cs="Arial"/>
          <w:i/>
          <w:szCs w:val="20"/>
        </w:rPr>
        <w:t>de novo</w:t>
      </w:r>
      <w:r>
        <w:rPr>
          <w:rFonts w:cs="Arial"/>
          <w:szCs w:val="20"/>
        </w:rPr>
        <w:t xml:space="preserve"> candidates. </w:t>
      </w:r>
    </w:p>
    <w:p w14:paraId="281CCFBF" w14:textId="77777777" w:rsidR="004142E7" w:rsidRPr="00265B24" w:rsidRDefault="004142E7" w:rsidP="00DB30C4">
      <w:pPr>
        <w:pStyle w:val="Heading2"/>
      </w:pPr>
      <w:bookmarkStart w:id="11" w:name="_Toc268963845"/>
      <w:bookmarkStart w:id="12" w:name="_Toc289421707"/>
      <w:r w:rsidRPr="00265B24">
        <w:t>1-2-3 SV</w:t>
      </w:r>
      <w:bookmarkEnd w:id="11"/>
      <w:bookmarkEnd w:id="12"/>
    </w:p>
    <w:p w14:paraId="745AA8A1" w14:textId="10E17777" w:rsidR="004142E7"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AA0BCB">
        <w:rPr>
          <w:rFonts w:cs="Arial"/>
          <w:szCs w:val="20"/>
        </w:rPr>
        <w:t>From the 1-2-3</w:t>
      </w:r>
      <w:r w:rsidR="00C146FE">
        <w:rPr>
          <w:rFonts w:cs="Arial"/>
          <w:szCs w:val="20"/>
        </w:rPr>
        <w:t xml:space="preserve"> </w:t>
      </w:r>
      <w:r w:rsidRPr="00AA0BCB">
        <w:rPr>
          <w:rFonts w:cs="Arial"/>
          <w:szCs w:val="20"/>
        </w:rPr>
        <w:t>SV</w:t>
      </w:r>
      <w:r w:rsidR="001226C5">
        <w:rPr>
          <w:rFonts w:cs="Arial"/>
          <w:szCs w:val="20"/>
        </w:rPr>
        <w:t xml:space="preserve"> </w:t>
      </w:r>
      <w:r w:rsidR="008F7228">
        <w:rPr>
          <w:rFonts w:cs="Arial"/>
          <w:szCs w:val="20"/>
        </w:rPr>
        <w:t xml:space="preserve">( </w:t>
      </w:r>
      <w:hyperlink r:id="rId13" w:history="1">
        <w:r w:rsidR="008F7228" w:rsidRPr="001151F3">
          <w:rPr>
            <w:rStyle w:val="Hyperlink"/>
            <w:rFonts w:cs="Arial"/>
            <w:szCs w:val="20"/>
          </w:rPr>
          <w:t>http://tools.</w:t>
        </w:r>
        <w:r w:rsidR="008F7228" w:rsidRPr="001151F3">
          <w:rPr>
            <w:rStyle w:val="Hyperlink"/>
            <w:rFonts w:cs="Arial"/>
            <w:szCs w:val="20"/>
          </w:rPr>
          <w:t>g</w:t>
        </w:r>
        <w:r w:rsidR="008F7228" w:rsidRPr="001151F3">
          <w:rPr>
            <w:rStyle w:val="Hyperlink"/>
            <w:rFonts w:cs="Arial"/>
            <w:szCs w:val="20"/>
          </w:rPr>
          <w:t>enomes.nl/123sv.html</w:t>
        </w:r>
      </w:hyperlink>
      <w:r w:rsidR="008F7228">
        <w:rPr>
          <w:rFonts w:cs="Arial"/>
          <w:szCs w:val="20"/>
        </w:rPr>
        <w:t xml:space="preserve">; </w:t>
      </w:r>
      <w:r w:rsidR="006A6CF5">
        <w:rPr>
          <w:rFonts w:cs="Arial"/>
          <w:szCs w:val="20"/>
        </w:rPr>
        <w:fldChar w:fldCharType="begin" w:fldLock="1"/>
      </w:r>
      <w:r w:rsidR="008B18A5">
        <w:rPr>
          <w:rFonts w:cs="Arial"/>
          <w:szCs w:val="20"/>
        </w:rPr>
        <w:instrText>ADDIN CSL_CITATION { "citationItems" : [ { "id" : "ITEM-1", "itemData" : { "DOI" : "10.1093/hmg/ddr073", "ISSN" : "1460-2083", "PMID" : "21349919", "abstract" : "A variety of mutational mechanisms shape the dynamic architecture of human genomes and occasionally result in congenital defects and disease. Here, we used genome-wide long mate-pair sequencing to systematically screen for inherited and de novo structural variation in a trio including a child with severe congenital abnormalities. We identified 4321 inherited structural variants and 17 de novo rearrangements. We characterized the de novo structural changes to the base-pair level revealing a complex series of balanced inter- and intra-chromosomal rearrangements consisting of 12 breakpoints involving chromosomes 1, 4 and 10. Detailed inspection of breakpoint regions indicated that a series of simultaneous double-stranded DNA breaks caused local shattering of chromosomes. Fusion of the resulting chromosomal fragments involved non-homologous end joining, since junction points displayed limited or no homology and small insertions and deletions. The pattern of random joining of chromosomal fragments that we observe here strongly resembles the somatic rearrangement patterns--termed chromothripsis--that have recently been described in deranged cancer cells. We conclude that a similar mechanism may also drive the formation of de novo structural variation in the germline.", "author" : [ { "dropping-particle" : "", "family" : "Kloosterman", "given" : "Wigard P", "non-dropping-particle" : "", "parse-names" : false, "suffix" : "" }, { "dropping-particle" : "", "family" : "Guryev", "given" : "Victor", "non-dropping-particle" : "", "parse-names" : false, "suffix" : "" }, { "dropping-particle" : "", "family" : "Roosmalen", "given" : "Mark", "non-dropping-particle" : "van", "parse-names" : false, "suffix" : "" }, { "dropping-particle" : "", "family" : "Duran", "given" : "Karen J", "non-dropping-particle" : "", "parse-names" : false, "suffix" : "" }, { "dropping-particle" : "", "family" : "Bruijn", "given" : "Ewart", "non-dropping-particle" : "de", "parse-names" : false, "suffix" : "" }, { "dropping-particle" : "", "family" : "Bakker", "given" : "Saskia C M", "non-dropping-particle" : "", "parse-names" : false, "suffix" : "" }, { "dropping-particle" : "", "family" : "Letteboer", "given" : "Tom", "non-dropping-particle" : "", "parse-names" : false, "suffix" : "" }, { "dropping-particle" : "", "family" : "Nesselrooij", "given" : "Bernadette", "non-dropping-particle" : "van", "parse-names" : false, "suffix" : "" }, { "dropping-particle" : "", "family" : "Hochstenbach", "given" : "Ron", "non-dropping-particle" : "", "parse-names" : false, "suffix" : "" }, { "dropping-particle" : "", "family" : "Poot", "given" : "Martin", "non-dropping-particle" : "", "parse-names" : false, "suffix" : "" }, { "dropping-particle" : "", "family" : "Cuppen", "given" : "Edwin", "non-dropping-particle" : "", "parse-names" : false, "suffix" : "" } ], "container-title" : "Human molecular genetics", "id" : "ITEM-1", "issue" : "10", "issued" : { "date-parts" : [ [ "2011", "5" ] ] }, "page" : "1916-24", "title" : "Chromothripsis as a mechanism driving complex de novo structural rearrangements in the germline.", "type" : "article-journal", "volume" : "20" }, "uris" : [ "http://www.mendeley.com/documents/?uuid=0f6cbef1-262e-4cb7-a0ad-53112a2252cc", "http://www.mendeley.com/documents/?uuid=289ec2d7-84a5-4380-bffc-63d98d712840" ] } ], "mendeley" : { "formattedCitation" : "(Kloosterman et al. 2011)", "plainTextFormattedCitation" : "(Kloosterman et al. 2011)", "previouslyFormattedCitation" : "(Kloosterman et al. 2011)" }, "properties" : { "noteIndex" : 0 }, "schema" : "https://github.com/citation-style-language/schema/raw/master/csl-citation.json" }</w:instrText>
      </w:r>
      <w:r w:rsidR="006A6CF5">
        <w:rPr>
          <w:rFonts w:cs="Arial"/>
          <w:szCs w:val="20"/>
        </w:rPr>
        <w:fldChar w:fldCharType="separate"/>
      </w:r>
      <w:r w:rsidR="006A6CF5" w:rsidRPr="006A6CF5">
        <w:rPr>
          <w:rFonts w:cs="Arial"/>
          <w:noProof/>
          <w:szCs w:val="20"/>
        </w:rPr>
        <w:t>Kloosterman et al. 2011)</w:t>
      </w:r>
      <w:r w:rsidR="006A6CF5">
        <w:rPr>
          <w:rFonts w:cs="Arial"/>
          <w:szCs w:val="20"/>
        </w:rPr>
        <w:fldChar w:fldCharType="end"/>
      </w:r>
      <w:r w:rsidRPr="00AA0BCB">
        <w:rPr>
          <w:rFonts w:cs="Arial"/>
          <w:szCs w:val="20"/>
        </w:rPr>
        <w:t xml:space="preserve"> </w:t>
      </w:r>
      <w:r>
        <w:rPr>
          <w:rFonts w:cs="Arial"/>
          <w:szCs w:val="20"/>
        </w:rPr>
        <w:t>calls, o</w:t>
      </w:r>
      <w:r w:rsidRPr="00265B24">
        <w:rPr>
          <w:rFonts w:cs="Arial"/>
          <w:szCs w:val="20"/>
        </w:rPr>
        <w:t>nly clusters that are limited to one family and exhibiting Mendelian error (</w:t>
      </w:r>
      <w:r>
        <w:rPr>
          <w:rFonts w:cs="Arial"/>
          <w:szCs w:val="20"/>
        </w:rPr>
        <w:t xml:space="preserve">i.e. </w:t>
      </w:r>
      <w:r w:rsidRPr="00265B24">
        <w:rPr>
          <w:rFonts w:cs="Arial"/>
          <w:szCs w:val="20"/>
        </w:rPr>
        <w:t xml:space="preserve">contain </w:t>
      </w:r>
      <w:r w:rsidR="006561B3">
        <w:rPr>
          <w:rFonts w:cs="Arial"/>
          <w:szCs w:val="20"/>
        </w:rPr>
        <w:t xml:space="preserve">4 or more </w:t>
      </w:r>
      <w:r w:rsidRPr="00265B24">
        <w:rPr>
          <w:rFonts w:cs="Arial"/>
          <w:szCs w:val="20"/>
        </w:rPr>
        <w:t>discordantly mapped read pairs belonging to</w:t>
      </w:r>
      <w:r>
        <w:rPr>
          <w:rFonts w:cs="Arial"/>
          <w:szCs w:val="20"/>
        </w:rPr>
        <w:t xml:space="preserve"> offspring(s), but not to parents) were considered for further analysis.</w:t>
      </w:r>
    </w:p>
    <w:p w14:paraId="55041073" w14:textId="77777777" w:rsidR="004142E7" w:rsidRPr="00BC3719" w:rsidRDefault="004142E7" w:rsidP="00DB30C4">
      <w:pPr>
        <w:pStyle w:val="Heading2"/>
      </w:pPr>
      <w:bookmarkStart w:id="13" w:name="_Toc268963846"/>
      <w:bookmarkStart w:id="14" w:name="_Toc289421708"/>
      <w:r w:rsidRPr="00BC3719">
        <w:t>DWAC</w:t>
      </w:r>
      <w:r>
        <w:t>-seq</w:t>
      </w:r>
      <w:bookmarkEnd w:id="13"/>
      <w:bookmarkEnd w:id="14"/>
    </w:p>
    <w:p w14:paraId="1F38CD28" w14:textId="6355B354" w:rsidR="004142E7" w:rsidRPr="00BC3719"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AA0BCB">
        <w:rPr>
          <w:rFonts w:cs="Arial"/>
          <w:szCs w:val="20"/>
        </w:rPr>
        <w:t xml:space="preserve">We </w:t>
      </w:r>
      <w:r>
        <w:rPr>
          <w:rFonts w:cs="Arial"/>
          <w:szCs w:val="20"/>
        </w:rPr>
        <w:t>o</w:t>
      </w:r>
      <w:r w:rsidRPr="00BC3719">
        <w:rPr>
          <w:rFonts w:cs="Arial"/>
          <w:szCs w:val="20"/>
        </w:rPr>
        <w:t>nly</w:t>
      </w:r>
      <w:r>
        <w:rPr>
          <w:rFonts w:cs="Arial"/>
          <w:szCs w:val="20"/>
        </w:rPr>
        <w:t xml:space="preserve"> considered DWAC-seq (</w:t>
      </w:r>
      <w:r w:rsidRPr="001D604D">
        <w:rPr>
          <w:rFonts w:cs="Arial"/>
        </w:rPr>
        <w:t>http://tools.genomes.nl/dwac-seq.html</w:t>
      </w:r>
      <w:r>
        <w:rPr>
          <w:rFonts w:cs="Arial"/>
          <w:szCs w:val="20"/>
        </w:rPr>
        <w:t>) calls where the estimated copy number change between the offspring and his/her parents was above 30%.</w:t>
      </w:r>
    </w:p>
    <w:p w14:paraId="61232A68" w14:textId="77777777" w:rsidR="004142E7" w:rsidRPr="00BC3719" w:rsidRDefault="004142E7" w:rsidP="005C0479">
      <w:pPr>
        <w:pStyle w:val="Heading2"/>
      </w:pPr>
      <w:bookmarkStart w:id="15" w:name="_Ref258853588"/>
      <w:bookmarkStart w:id="16" w:name="_Toc268963847"/>
      <w:bookmarkStart w:id="17" w:name="_Toc289421709"/>
      <w:r w:rsidRPr="00BC3719">
        <w:t>MATE-CLEVER</w:t>
      </w:r>
      <w:bookmarkEnd w:id="15"/>
      <w:bookmarkEnd w:id="16"/>
      <w:bookmarkEnd w:id="17"/>
    </w:p>
    <w:p w14:paraId="1D1EBE6F" w14:textId="4630C99F" w:rsidR="004142E7" w:rsidRPr="00C65974"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Arial"/>
          <w:color w:val="222222"/>
          <w:szCs w:val="20"/>
        </w:rPr>
      </w:pPr>
      <w:r w:rsidRPr="00C65974">
        <w:rPr>
          <w:rFonts w:eastAsia="Times New Roman" w:cs="Arial"/>
          <w:color w:val="222222"/>
          <w:szCs w:val="20"/>
          <w:shd w:val="clear" w:color="auto" w:fill="FFFFFF"/>
        </w:rPr>
        <w:t xml:space="preserve">MATE-CLEVER, LASER and several auxiliary tools from the CLEVER Toolkit (CTK) v2.0-rc1-14-gad61a0d </w:t>
      </w:r>
      <w:r w:rsidRPr="00C65974">
        <w:rPr>
          <w:rFonts w:eastAsia="Times New Roman" w:cs="Arial"/>
          <w:color w:val="222222"/>
          <w:szCs w:val="20"/>
          <w:shd w:val="clear" w:color="auto" w:fill="FFFFFF"/>
        </w:rPr>
        <w:fldChar w:fldCharType="begin" w:fldLock="1"/>
      </w:r>
      <w:r w:rsidR="006A6CF5">
        <w:rPr>
          <w:rFonts w:eastAsia="Times New Roman" w:cs="Arial"/>
          <w:color w:val="222222"/>
          <w:szCs w:val="20"/>
          <w:shd w:val="clear" w:color="auto" w:fill="FFFFFF"/>
        </w:rPr>
        <w:instrText>ADDIN CSL_CITATION { "citationItems" : [ { "id" : "ITEM-1", "itemData" : { "DOI" : "10.1093/bioinformatics/btt556", "ISSN" : "1367-4811", "PMID" : "24072733", "abstract" : "MOTIVATION: \u2003Accurately predicting and genotyping indels longer than 30 bp has remained a central challenge in next-generation sequencing (NGS) studies. While indels of up to 30 bp are reliably processed by standard read aligners and the Genome Analysis Toolkit (GATK), longer indels have still resisted proper treatment. Also, discovering and genotyping longer indels has become particularly relevant owing to the increasing attention in globally concerted projects.\\n\\nRESULTS: \u2003We present MATE-CLEVER (Mendelian-inheritance-AtTEntive CLique-Enumerating Variant findER) as an approach that accurately discovers and genotypes indels longer than 30 bp from contemporary NGS reads with a special focus on family data. For enhanced quality of indel calls in family trios or quartets, MATE-CLEVER integrates statistics that reflect the laws of Mendelian inheritance. MATE-CLEVER's performance rates for indels longer than 30 bp are on a par with those of the GATK for indels shorter than 30 bp, achieving up to 90% precision overall, with &gt;80% of calls correctly typed. In predicting de novo indels longer than 30 bp in family contexts, MATE-CLEVER even raises the standards of the GATK. MATE-CLEVER achieves precision and recall of \u223c63% on indels of 30 bp and longer versus 55% in both categories for the GATK on indels of 10-29 bp. A special version of MATE-CLEVER has contributed to indel discovery, in particular for indels of 30-100 bp, the 'NGS twilight zone of indels', in the Genome of the Netherlands Project.Availability and implementation:\u2002http://clever-sv.googlecode.com/ CONTACT: \u2002tm@cwi.nl or as@cwi.nl SUPPLEMENTARY INFORMATION: Supplementary data are available at Bioinformatics online.", "author" : [ { "dropping-particle" : "", "family" : "Marschall", "given" : "Tobias", "non-dropping-particle" : "", "parse-names" : false, "suffix" : "" }, { "dropping-particle" : "", "family" : "Hajirasouliha", "given" : "Iman", "non-dropping-particle" : "", "parse-names" : false, "suffix" : "" }, { "dropping-particle" : "", "family" : "Sch\u00f6nhuth", "given" : "Alexander", "non-dropping-particle" : "", "parse-names" : false, "suffix" : "" } ], "container-title" : "Bioinformatics (Oxford, England)", "id" : "ITEM-1", "issued" : { "date-parts" : [ [ "2013" ] ] }, "page" : "3143-3150", "title" : "MATE-CLEVER: Mendelian-inheritance-aware discovery and genotyping of midsize and long indels.", "type" : "article-journal", "volume" : "29" }, "uris" : [ "http://www.mendeley.com/documents/?uuid=a74216f4-7342-4be1-aef5-433daf34777a" ] } ], "mendeley" : { "formattedCitation" : "(Marschall et al. 2013)", "plainTextFormattedCitation" : "(Marschall et al. 2013)", "previouslyFormattedCitation" : "(Marschall et al. 2013)" }, "properties" : { "noteIndex" : 0 }, "schema" : "https://github.com/citation-style-language/schema/raw/master/csl-citation.json" }</w:instrText>
      </w:r>
      <w:r w:rsidRPr="00C65974">
        <w:rPr>
          <w:rFonts w:eastAsia="Times New Roman" w:cs="Arial"/>
          <w:color w:val="222222"/>
          <w:szCs w:val="20"/>
          <w:shd w:val="clear" w:color="auto" w:fill="FFFFFF"/>
        </w:rPr>
        <w:fldChar w:fldCharType="separate"/>
      </w:r>
      <w:r w:rsidR="00E7592E" w:rsidRPr="00E7592E">
        <w:rPr>
          <w:rFonts w:eastAsia="Times New Roman" w:cs="Arial"/>
          <w:noProof/>
          <w:color w:val="222222"/>
          <w:szCs w:val="20"/>
          <w:shd w:val="clear" w:color="auto" w:fill="FFFFFF"/>
        </w:rPr>
        <w:t>(Marschall et al. 2013)</w:t>
      </w:r>
      <w:r w:rsidRPr="00C65974">
        <w:rPr>
          <w:rFonts w:eastAsia="Times New Roman" w:cs="Arial"/>
          <w:color w:val="222222"/>
          <w:szCs w:val="20"/>
          <w:shd w:val="clear" w:color="auto" w:fill="FFFFFF"/>
        </w:rPr>
        <w:fldChar w:fldCharType="end"/>
      </w:r>
      <w:r w:rsidRPr="00C65974">
        <w:rPr>
          <w:rFonts w:eastAsia="Times New Roman" w:cs="Arial"/>
          <w:color w:val="222222"/>
          <w:szCs w:val="20"/>
          <w:shd w:val="clear" w:color="auto" w:fill="FFFFFF"/>
        </w:rPr>
        <w:t xml:space="preserve"> were used to run the following customized pipeline:</w:t>
      </w:r>
    </w:p>
    <w:p w14:paraId="3F7C7C52" w14:textId="77777777" w:rsidR="004142E7" w:rsidRPr="00C65974" w:rsidRDefault="004142E7" w:rsidP="004142E7">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Arial"/>
          <w:color w:val="222222"/>
          <w:szCs w:val="20"/>
          <w:shd w:val="clear" w:color="auto" w:fill="FFFFFF"/>
        </w:rPr>
      </w:pPr>
      <w:r w:rsidRPr="00C65974">
        <w:rPr>
          <w:rFonts w:eastAsia="Times New Roman" w:cs="Arial"/>
          <w:color w:val="222222"/>
          <w:szCs w:val="20"/>
          <w:shd w:val="clear" w:color="auto" w:fill="FFFFFF"/>
        </w:rPr>
        <w:t>Lanes/libraries are encoded in read groups in the GoNL BAM files. Insert size distributions were estimated for each read group separately.</w:t>
      </w:r>
    </w:p>
    <w:p w14:paraId="25BA2105" w14:textId="77777777" w:rsidR="004142E7" w:rsidRPr="00C65974" w:rsidRDefault="004142E7" w:rsidP="004142E7">
      <w:pPr>
        <w:pStyle w:val="ListParagraph"/>
        <w:numPr>
          <w:ilvl w:val="0"/>
          <w:numId w:val="13"/>
        </w:numPr>
        <w:rPr>
          <w:rFonts w:eastAsia="Times New Roman" w:cs="Arial"/>
          <w:color w:val="222222"/>
          <w:szCs w:val="20"/>
          <w:shd w:val="clear" w:color="auto" w:fill="FFFFFF"/>
        </w:rPr>
      </w:pPr>
      <w:r w:rsidRPr="00C65974">
        <w:rPr>
          <w:rFonts w:eastAsia="Times New Roman" w:cs="Arial"/>
          <w:color w:val="222222"/>
          <w:szCs w:val="20"/>
          <w:shd w:val="clear" w:color="auto" w:fill="FFFFFF"/>
        </w:rPr>
        <w:t>CLEVER was run on each individual separately using options -A and -R to use the read-group distributions computed in (1). Deletions supported by at least 5 read pairs were retained.</w:t>
      </w:r>
    </w:p>
    <w:p w14:paraId="70917E60" w14:textId="77777777" w:rsidR="004142E7" w:rsidRPr="00C65974" w:rsidRDefault="004142E7" w:rsidP="004142E7">
      <w:pPr>
        <w:pStyle w:val="ListParagraph"/>
        <w:numPr>
          <w:ilvl w:val="0"/>
          <w:numId w:val="13"/>
        </w:numPr>
        <w:rPr>
          <w:rFonts w:eastAsia="Times New Roman" w:cs="Arial"/>
          <w:color w:val="222222"/>
          <w:szCs w:val="20"/>
          <w:shd w:val="clear" w:color="auto" w:fill="FFFFFF"/>
        </w:rPr>
      </w:pPr>
      <w:r w:rsidRPr="00C65974">
        <w:rPr>
          <w:rFonts w:eastAsia="Times New Roman" w:cs="Arial"/>
          <w:color w:val="222222"/>
          <w:szCs w:val="20"/>
          <w:shd w:val="clear" w:color="auto" w:fill="FFFFFF"/>
        </w:rPr>
        <w:t>CLEVER deletion calls were merged per family and reads from regions of +/- 750bp around these calls were extracted and mapped using LASER with parameters “-M 50000 --extra-sensitive -w 0.1”.</w:t>
      </w:r>
    </w:p>
    <w:p w14:paraId="18AA269B" w14:textId="77777777" w:rsidR="004142E7" w:rsidRPr="00C65974" w:rsidRDefault="004142E7" w:rsidP="004142E7">
      <w:pPr>
        <w:pStyle w:val="ListParagraph"/>
        <w:numPr>
          <w:ilvl w:val="0"/>
          <w:numId w:val="13"/>
        </w:numPr>
        <w:rPr>
          <w:rFonts w:eastAsia="Times New Roman" w:cs="Arial"/>
          <w:color w:val="222222"/>
          <w:szCs w:val="20"/>
          <w:shd w:val="clear" w:color="auto" w:fill="FFFFFF"/>
        </w:rPr>
      </w:pPr>
      <w:r w:rsidRPr="00C65974">
        <w:rPr>
          <w:rFonts w:eastAsia="Times New Roman" w:cs="Arial"/>
          <w:color w:val="222222"/>
          <w:szCs w:val="20"/>
          <w:shd w:val="clear" w:color="auto" w:fill="FFFFFF"/>
        </w:rPr>
        <w:t>For each family, a list of insertions and deletions found in at least one individual of that family by CLEVER and in at least one individual of that family by LASER were retained. CLEVER and LASER calls were considered to be the same if their center point distance was &lt;100bp and their length difference &lt;20bp. Breakpoint coordinates reported by LASER were retained</w:t>
      </w:r>
    </w:p>
    <w:p w14:paraId="5297DA5B" w14:textId="77777777" w:rsidR="004142E7" w:rsidRPr="00C65974" w:rsidRDefault="004142E7" w:rsidP="004142E7">
      <w:pPr>
        <w:pStyle w:val="ListParagraph"/>
        <w:numPr>
          <w:ilvl w:val="0"/>
          <w:numId w:val="13"/>
        </w:numPr>
        <w:rPr>
          <w:rFonts w:eastAsia="Times New Roman" w:cs="Arial"/>
          <w:color w:val="222222"/>
          <w:szCs w:val="20"/>
          <w:shd w:val="clear" w:color="auto" w:fill="FFFFFF"/>
        </w:rPr>
      </w:pPr>
      <w:r w:rsidRPr="00C65974">
        <w:rPr>
          <w:rFonts w:eastAsia="Times New Roman" w:cs="Arial"/>
          <w:color w:val="222222"/>
          <w:szCs w:val="20"/>
          <w:shd w:val="clear" w:color="auto" w:fill="FFFFFF"/>
        </w:rPr>
        <w:t>This set of putative deletions was used to recalibrate all BAM files created by LASER (using laser-recalibrate). All deletions present in primary alignments after recalibration were extracted. Their support was summed up over all individuals in the cohort, and the resulting list was sorted by this cumulative support.</w:t>
      </w:r>
    </w:p>
    <w:p w14:paraId="26A0AAEE" w14:textId="77777777" w:rsidR="004142E7" w:rsidRPr="00C65974" w:rsidRDefault="004142E7" w:rsidP="004142E7">
      <w:pPr>
        <w:pStyle w:val="ListParagraph"/>
        <w:numPr>
          <w:ilvl w:val="0"/>
          <w:numId w:val="13"/>
        </w:numPr>
        <w:rPr>
          <w:rFonts w:eastAsia="Times New Roman" w:cs="Arial"/>
          <w:color w:val="222222"/>
          <w:szCs w:val="20"/>
          <w:shd w:val="clear" w:color="auto" w:fill="FFFFFF"/>
        </w:rPr>
      </w:pPr>
      <w:r w:rsidRPr="00C65974">
        <w:rPr>
          <w:rFonts w:eastAsia="Times New Roman" w:cs="Arial"/>
          <w:color w:val="222222"/>
          <w:szCs w:val="20"/>
          <w:shd w:val="clear" w:color="auto" w:fill="FFFFFF"/>
        </w:rPr>
        <w:t>The merge-to-vcf program was run (with parameters “-o 100 -z 20 -O 20 -Z 5 -l 10”) using this ranked list of deletion calls, all CLEVER calls and LASER BAM files of the whole cohort to compute a list of high-confidence deletion candidates.</w:t>
      </w:r>
    </w:p>
    <w:p w14:paraId="7CCA2614" w14:textId="77777777" w:rsidR="004142E7" w:rsidRPr="00C65974" w:rsidRDefault="004142E7" w:rsidP="004142E7">
      <w:pPr>
        <w:pStyle w:val="ListParagraph"/>
        <w:numPr>
          <w:ilvl w:val="0"/>
          <w:numId w:val="13"/>
        </w:numPr>
        <w:rPr>
          <w:rFonts w:eastAsia="Times New Roman" w:cs="Arial"/>
          <w:color w:val="222222"/>
          <w:szCs w:val="20"/>
          <w:shd w:val="clear" w:color="auto" w:fill="FFFFFF"/>
        </w:rPr>
      </w:pPr>
      <w:r w:rsidRPr="00C65974">
        <w:rPr>
          <w:rFonts w:eastAsia="Times New Roman" w:cs="Arial"/>
          <w:color w:val="222222"/>
          <w:szCs w:val="20"/>
          <w:shd w:val="clear" w:color="auto" w:fill="FFFFFF"/>
        </w:rPr>
        <w:t>Using this set of candidates, BAM files of all individuals were recalibrated again.</w:t>
      </w:r>
    </w:p>
    <w:p w14:paraId="7223C140" w14:textId="77777777" w:rsidR="004142E7" w:rsidRPr="00C65974" w:rsidRDefault="004142E7" w:rsidP="004142E7">
      <w:pPr>
        <w:pStyle w:val="ListParagraph"/>
        <w:numPr>
          <w:ilvl w:val="0"/>
          <w:numId w:val="13"/>
        </w:numPr>
        <w:rPr>
          <w:rFonts w:eastAsia="Times New Roman" w:cs="Arial"/>
          <w:color w:val="222222"/>
          <w:szCs w:val="20"/>
          <w:shd w:val="clear" w:color="auto" w:fill="FFFFFF"/>
        </w:rPr>
      </w:pPr>
      <w:r w:rsidRPr="00C65974">
        <w:rPr>
          <w:rFonts w:eastAsia="Times New Roman" w:cs="Arial"/>
          <w:color w:val="222222"/>
          <w:szCs w:val="20"/>
          <w:shd w:val="clear" w:color="auto" w:fill="FFFFFF"/>
        </w:rPr>
        <w:t xml:space="preserve">Then, all these candidates where genotyped family-wise using the genotyping utility in the CTK with the following parameters: “--min_phys_cov 5 --min_gq 10 --denovo_threshold 1e-5 --variant_prior 0.1 --mapq 30”. Again, read-group-wise insert size statistics were used. Using parameter “--denovo_threshold 1e-5” ensures that only </w:t>
      </w:r>
      <w:r w:rsidRPr="00C65974">
        <w:rPr>
          <w:rFonts w:eastAsia="Times New Roman" w:cs="Arial"/>
          <w:i/>
          <w:color w:val="222222"/>
          <w:szCs w:val="20"/>
          <w:shd w:val="clear" w:color="auto" w:fill="FFFFFF"/>
        </w:rPr>
        <w:t>de novo</w:t>
      </w:r>
      <w:r w:rsidRPr="00C65974">
        <w:rPr>
          <w:rFonts w:eastAsia="Times New Roman" w:cs="Arial"/>
          <w:color w:val="222222"/>
          <w:szCs w:val="20"/>
          <w:shd w:val="clear" w:color="auto" w:fill="FFFFFF"/>
        </w:rPr>
        <w:t xml:space="preserve"> calls are reported that are unlikely to occur in the parents (p &lt; 0.00001) and are likely to occur in the child (p &gt; 0.99999). In all other cases, genotypes compatible with the Mendelian laws of inheritance are reported.</w:t>
      </w:r>
    </w:p>
    <w:p w14:paraId="60B9BB58" w14:textId="77777777" w:rsidR="004142E7" w:rsidRPr="00C65974" w:rsidRDefault="004142E7" w:rsidP="004142E7">
      <w:pPr>
        <w:pStyle w:val="ListParagraph"/>
        <w:numPr>
          <w:ilvl w:val="0"/>
          <w:numId w:val="13"/>
        </w:numPr>
        <w:rPr>
          <w:rFonts w:eastAsia="Times New Roman" w:cs="Arial"/>
          <w:color w:val="222222"/>
          <w:szCs w:val="20"/>
          <w:shd w:val="clear" w:color="auto" w:fill="FFFFFF"/>
        </w:rPr>
      </w:pPr>
      <w:r w:rsidRPr="00C65974">
        <w:rPr>
          <w:rFonts w:eastAsia="Times New Roman" w:cs="Arial"/>
          <w:color w:val="222222"/>
          <w:szCs w:val="20"/>
          <w:shd w:val="clear" w:color="auto" w:fill="FFFFFF"/>
        </w:rPr>
        <w:t xml:space="preserve">From the returned </w:t>
      </w:r>
      <w:r w:rsidRPr="00C65974">
        <w:rPr>
          <w:rFonts w:eastAsia="Times New Roman" w:cs="Arial"/>
          <w:i/>
          <w:color w:val="222222"/>
          <w:szCs w:val="20"/>
          <w:shd w:val="clear" w:color="auto" w:fill="FFFFFF"/>
        </w:rPr>
        <w:t>de novo</w:t>
      </w:r>
      <w:r w:rsidRPr="00C65974">
        <w:rPr>
          <w:rFonts w:eastAsia="Times New Roman" w:cs="Arial"/>
          <w:color w:val="222222"/>
          <w:szCs w:val="20"/>
          <w:shd w:val="clear" w:color="auto" w:fill="FFFFFF"/>
        </w:rPr>
        <w:t xml:space="preserve"> calls, those that occur elsewhere in the population were discarded, leading to 32 candidates across all samples (out of which 15 made part of the list of validated calls we report in this paper).</w:t>
      </w:r>
    </w:p>
    <w:p w14:paraId="50550BFD" w14:textId="77777777" w:rsidR="004142E7" w:rsidRDefault="004142E7" w:rsidP="004142E7">
      <w:pPr>
        <w:ind w:left="560"/>
        <w:rPr>
          <w:b/>
          <w:bCs/>
        </w:rPr>
      </w:pPr>
    </w:p>
    <w:p w14:paraId="69B9CDC3" w14:textId="35FC7296" w:rsidR="004142E7" w:rsidRPr="00BC3719" w:rsidRDefault="004142E7" w:rsidP="005C0479">
      <w:pPr>
        <w:pStyle w:val="Heading2"/>
      </w:pPr>
      <w:bookmarkStart w:id="18" w:name="_Toc268963848"/>
      <w:bookmarkStart w:id="19" w:name="_Toc289421710"/>
      <w:r w:rsidRPr="00BC3719">
        <w:t>Genome</w:t>
      </w:r>
      <w:r w:rsidR="00FE35E1">
        <w:t xml:space="preserve"> </w:t>
      </w:r>
      <w:r w:rsidRPr="00BC3719">
        <w:t>STRiP</w:t>
      </w:r>
      <w:bookmarkEnd w:id="18"/>
      <w:bookmarkEnd w:id="19"/>
    </w:p>
    <w:p w14:paraId="18179E6A" w14:textId="30C4BA36" w:rsidR="004142E7"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Pr>
          <w:rFonts w:cs="Arial"/>
          <w:szCs w:val="20"/>
        </w:rPr>
        <w:t>Genome</w:t>
      </w:r>
      <w:r w:rsidR="00FE35E1">
        <w:rPr>
          <w:rFonts w:cs="Arial"/>
          <w:szCs w:val="20"/>
        </w:rPr>
        <w:t xml:space="preserve"> </w:t>
      </w:r>
      <w:r>
        <w:rPr>
          <w:rFonts w:cs="Arial"/>
          <w:szCs w:val="20"/>
        </w:rPr>
        <w:t xml:space="preserve">STRiP </w:t>
      </w:r>
      <w:r>
        <w:rPr>
          <w:rFonts w:cs="Arial"/>
          <w:szCs w:val="20"/>
        </w:rPr>
        <w:fldChar w:fldCharType="begin" w:fldLock="1"/>
      </w:r>
      <w:r w:rsidR="006A6CF5">
        <w:rPr>
          <w:rFonts w:cs="Arial"/>
          <w:szCs w:val="20"/>
        </w:rPr>
        <w:instrText>ADDIN CSL_CITATION { "citationItems" : [ { "id" : "ITEM-1", "itemData" : { "DOI" : "10.1038/ng.768", "ISSN" : "1061-4036", "author" : [ { "dropping-particle" : "", "family" : "Handsaker", "given" : "Robert E", "non-dropping-particle" : "", "parse-names" : false, "suffix" : "" }, { "dropping-particle" : "", "family" : "Korn", "given" : "Joshua M", "non-dropping-particle" : "", "parse-names" : false, "suffix" : "" }, { "dropping-particle" : "", "family" : "Nemesh", "given" : "James", "non-dropping-particle" : "", "parse-names" : false, "suffix" : "" }, { "dropping-particle" : "", "family" : "Mccarroll", "given" : "Steven A", "non-dropping-particle" : "", "parse-names" : false, "suffix" : "" } ], "container-title" : "Nature Genetics", "id" : "ITEM-1", "issue" : "3", "issued" : { "date-parts" : [ [ "2011" ] ] }, "page" : "269-276", "publisher" : "Nature Publishing Group", "title" : "Discovery and genotyping of genome structural polymorphism by sequencing on a population scale", "type" : "article-journal", "volume" : "43" }, "uris" : [ "http://www.mendeley.com/documents/?uuid=9c736e33-b29d-47c3-99f2-2a482c9453ed" ] } ], "mendeley" : { "formattedCitation" : "(Handsaker et al. 2011)", "plainTextFormattedCitation" : "(Handsaker et al. 2011)", "previouslyFormattedCitation" : "(Handsaker et al. 2011)" }, "properties" : { "noteIndex" : 0 }, "schema" : "https://github.com/citation-style-language/schema/raw/master/csl-citation.json" }</w:instrText>
      </w:r>
      <w:r>
        <w:rPr>
          <w:rFonts w:cs="Arial"/>
          <w:szCs w:val="20"/>
        </w:rPr>
        <w:fldChar w:fldCharType="separate"/>
      </w:r>
      <w:r w:rsidR="00E7592E" w:rsidRPr="00E7592E">
        <w:rPr>
          <w:rFonts w:cs="Arial"/>
          <w:noProof/>
          <w:szCs w:val="20"/>
        </w:rPr>
        <w:t>(Handsaker et al. 2011)</w:t>
      </w:r>
      <w:r>
        <w:rPr>
          <w:rFonts w:cs="Arial"/>
          <w:szCs w:val="20"/>
        </w:rPr>
        <w:fldChar w:fldCharType="end"/>
      </w:r>
      <w:r>
        <w:rPr>
          <w:rFonts w:cs="Arial"/>
          <w:szCs w:val="20"/>
        </w:rPr>
        <w:t xml:space="preserve"> sites with a Mendelian violation were extracted from all GoNL deletions considering only genotypes with an associated genotype quality (GQ) higher than Q13. Only variants called in a single child and with no contributing read-pair from the parents were considered.</w:t>
      </w:r>
    </w:p>
    <w:p w14:paraId="70061727" w14:textId="52460E19" w:rsidR="004142E7" w:rsidRDefault="007B5E06" w:rsidP="005C0479">
      <w:pPr>
        <w:pStyle w:val="Heading2"/>
      </w:pPr>
      <w:bookmarkStart w:id="20" w:name="_Toc289421711"/>
      <w:r>
        <w:t>Mobster</w:t>
      </w:r>
      <w:bookmarkEnd w:id="20"/>
    </w:p>
    <w:p w14:paraId="34B338B1" w14:textId="247A2906" w:rsidR="004142E7" w:rsidRDefault="007B5E06" w:rsidP="004142E7">
      <w:r>
        <w:t>Mobile element insertions (</w:t>
      </w:r>
      <w:r w:rsidR="004142E7">
        <w:t>MEIs</w:t>
      </w:r>
      <w:r>
        <w:t>)</w:t>
      </w:r>
      <w:r w:rsidR="004142E7">
        <w:t xml:space="preserve"> were called using Mobster 0.1.6 with default parameters</w:t>
      </w:r>
      <w:r w:rsidR="001A2064">
        <w:t xml:space="preserve"> </w:t>
      </w:r>
      <w:r w:rsidR="00E64154">
        <w:fldChar w:fldCharType="begin" w:fldLock="1"/>
      </w:r>
      <w:r w:rsidR="008B18A5">
        <w:instrText>ADDIN CSL_CITATION { "citationItems" : [ { "id" : "ITEM-1", "itemData" : { "DOI" : "10.1186/s13059-014-0488-x", "ISSN" : "1465-6906", "author" : [ { "dropping-particle" : "", "family" : "Thung", "given" : "Djie Tjwan", "non-dropping-particle" : "", "parse-names" : false, "suffix" : "" }, { "dropping-particle" : "", "family" : "Ligt", "given" : "Joep", "non-dropping-particle" : "de", "parse-names" : false, "suffix" : "" }, { "dropping-particle" : "", "family" : "Vissers", "given" : "Lisenka Em", "non-dropping-particle" : "", "parse-names" : false, "suffix" : "" }, { "dropping-particle" : "", "family" : "Steehouwer", "given" : "Marloes", "non-dropping-particle" : "", "parse-names" : false, "suffix" : "" }, { "dropping-particle" : "", "family" : "Kroon", "given" : "Mark", "non-dropping-particle" : "", "parse-names" : false, "suffix" : "" }, { "dropping-particle" : "", "family" : "Vries", "given" : "Petra", "non-dropping-particle" : "de", "parse-names" : false, "suffix" : "" }, { "dropping-particle" : "", "family" : "Slagboom", "given" : "Eline P", "non-dropping-particle" : "", "parse-names" : false, "suffix" : "" }, { "dropping-particle" : "", "family" : "Ye", "given" : "Kai", "non-dropping-particle" : "", "parse-names" : false, "suffix" : "" }, { "dropping-particle" : "", "family" : "Veltman", "given" : "Joris a", "non-dropping-particle" : "", "parse-names" : false, "suffix" : "" }, { "dropping-particle" : "", "family" : "Hehir-Kwa", "given" : "Jayne Y", "non-dropping-particle" : "", "parse-names" : false, "suffix" : "" } ], "container-title" : "Genome Biology", "id" : "ITEM-1", "issue" : "10", "issued" : { "date-parts" : [ [ "2014", "10" ] ] }, "page" : "488", "title" : "Mobster: accurate detection of mobile element insertions in next generation sequencing data", "type" : "article-journal", "volume" : "15" }, "uris" : [ "http://www.mendeley.com/documents/?uuid=1c34f6c2-d41e-4a95-858e-894ddef5279f", "http://www.mendeley.com/documents/?uuid=dd6f46c1-7734-4f03-a77c-b8d7c90df8b7" ] } ], "mendeley" : { "formattedCitation" : "(Thung et al. 2014)", "plainTextFormattedCitation" : "(Thung et al. 2014)", "previouslyFormattedCitation" : "(Thung et al. 2014)" }, "properties" : { "noteIndex" : 0 }, "schema" : "https://github.com/citation-style-language/schema/raw/master/csl-citation.json" }</w:instrText>
      </w:r>
      <w:r w:rsidR="00E64154">
        <w:fldChar w:fldCharType="separate"/>
      </w:r>
      <w:r w:rsidR="00E64154" w:rsidRPr="00E64154">
        <w:rPr>
          <w:noProof/>
        </w:rPr>
        <w:t>(Thung et al. 2014)</w:t>
      </w:r>
      <w:r w:rsidR="00E64154">
        <w:fldChar w:fldCharType="end"/>
      </w:r>
      <w:r w:rsidR="00E64154">
        <w:t xml:space="preserve">. </w:t>
      </w:r>
      <w:r w:rsidR="004142E7">
        <w:t>Analysis was run separately for each family. Only candidate MEIs supported by 5 or more reads were considered. Offspring-specific candidates where estimated integration site (“border5-border3 range”) did not overlap any other integration site scored in other families were selected for validation.</w:t>
      </w:r>
    </w:p>
    <w:p w14:paraId="26B66A95" w14:textId="77777777" w:rsidR="00683189" w:rsidRDefault="00683189" w:rsidP="004142E7"/>
    <w:p w14:paraId="2EC8B9BB" w14:textId="4DC02AF9" w:rsidR="00E53E56" w:rsidRDefault="00E3320F" w:rsidP="00683189">
      <w:pPr>
        <w:pStyle w:val="Heading2"/>
      </w:pPr>
      <w:bookmarkStart w:id="21" w:name="_Toc289421712"/>
      <w:r w:rsidRPr="009D0557">
        <w:rPr>
          <w:i/>
        </w:rPr>
        <w:t>De novo</w:t>
      </w:r>
      <w:r>
        <w:t xml:space="preserve"> indel and SV detection sensitivity analysis</w:t>
      </w:r>
      <w:bookmarkEnd w:id="21"/>
    </w:p>
    <w:p w14:paraId="6664F1A5" w14:textId="2D78608B" w:rsidR="00683189" w:rsidRPr="005E794F" w:rsidRDefault="00E53E56" w:rsidP="00683189">
      <w:r>
        <w:t xml:space="preserve">Coverage from NGS data fluctuates both in systematic and random ways affecting </w:t>
      </w:r>
      <w:r>
        <w:rPr>
          <w:i/>
        </w:rPr>
        <w:t>de novo</w:t>
      </w:r>
      <w:r>
        <w:t xml:space="preserve"> variation discovery power</w:t>
      </w:r>
      <w:r w:rsidRPr="00F62985">
        <w:t xml:space="preserve">. </w:t>
      </w:r>
      <w:r>
        <w:t>Depending on variant</w:t>
      </w:r>
      <w:r w:rsidRPr="00F62985">
        <w:t xml:space="preserve"> size and type different signals from the data</w:t>
      </w:r>
      <w:r>
        <w:t xml:space="preserve"> are used for discovery, which leads to variations in </w:t>
      </w:r>
      <w:r w:rsidRPr="00F62985">
        <w:t xml:space="preserve">detection power among the different classes of variants. </w:t>
      </w:r>
      <w:r>
        <w:t>Indel detection</w:t>
      </w:r>
      <w:r w:rsidRPr="00F62985">
        <w:t xml:space="preserve"> </w:t>
      </w:r>
      <w:r>
        <w:t xml:space="preserve">mainly </w:t>
      </w:r>
      <w:r w:rsidRPr="00F62985">
        <w:t>relie</w:t>
      </w:r>
      <w:r>
        <w:t>s</w:t>
      </w:r>
      <w:r w:rsidRPr="00F62985">
        <w:t xml:space="preserve"> on base coverage.</w:t>
      </w:r>
      <w:r w:rsidRPr="005E794F">
        <w:t xml:space="preserve"> </w:t>
      </w:r>
      <w:r>
        <w:t>Thus, we restricted our indel analyses to regions of the genome covered by at least 5 reads in the child and 10 reads in each parents</w:t>
      </w:r>
      <w:r w:rsidRPr="005E794F">
        <w:t xml:space="preserve"> </w:t>
      </w:r>
      <w:r>
        <w:t xml:space="preserve">and no more than 100x across the entire trio. To estimate the indel sensitivity in these regions compared to deep sequencing, we combined the data of each of the 11 monozygotic twin pairs, leading to 11 samples with an average base coverage of 28x. </w:t>
      </w:r>
      <w:r w:rsidR="00683189">
        <w:t>We then called singleton polymorphisms (in the parents) discovered in GoNL</w:t>
      </w:r>
      <w:r w:rsidR="008B18A5">
        <w:t xml:space="preserve"> </w:t>
      </w:r>
      <w:r w:rsidR="008B18A5">
        <w:fldChar w:fldCharType="begin" w:fldLock="1"/>
      </w:r>
      <w:r w:rsidR="00A92323">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rsidR="008B18A5">
        <w:fldChar w:fldCharType="separate"/>
      </w:r>
      <w:r w:rsidR="008B18A5" w:rsidRPr="008B18A5">
        <w:rPr>
          <w:noProof/>
        </w:rPr>
        <w:t>(Francioli et al. 2014)</w:t>
      </w:r>
      <w:r w:rsidR="008B18A5">
        <w:fldChar w:fldCharType="end"/>
      </w:r>
      <w:r w:rsidR="008B18A5">
        <w:t xml:space="preserve"> </w:t>
      </w:r>
      <w:r w:rsidR="00683189">
        <w:t xml:space="preserve">by GATK UnifiedGenotyper and Pindel in these merged samples (filtered calls). For each heterozygous genotype found in these merged samples, we assessed whether it was also called in the original separate twins. We only considered genotypes with quality of at least Q20 (both in the merged and separate samples) to ensure that these would have been confidently called as </w:t>
      </w:r>
      <w:r w:rsidR="00683189">
        <w:rPr>
          <w:i/>
        </w:rPr>
        <w:t>de novo</w:t>
      </w:r>
      <w:r w:rsidR="00683189">
        <w:t xml:space="preserve"> indels. We found that 93.2% of the indels (92.6% of the insertions and 93.5% of the deletions) found at 28x were also found at 14x. In addition, a subset of 24 parents from the GoNL Project was independently deeply sequenced whole-exome (</w:t>
      </w:r>
      <w:r w:rsidR="00683189" w:rsidRPr="00A70884">
        <w:t>Nimblegen v2 SeqCap, 44Mb</w:t>
      </w:r>
      <w:r w:rsidR="00683189">
        <w:t>, 50x mean coverage</w:t>
      </w:r>
      <w:r w:rsidR="00EC6ED2">
        <w:t xml:space="preserve">; </w:t>
      </w:r>
      <w:bookmarkStart w:id="22" w:name="_GoBack"/>
      <w:r w:rsidR="00EC6ED2">
        <w:t xml:space="preserve">van Rooij </w:t>
      </w:r>
      <w:r w:rsidR="00EC6ED2" w:rsidRPr="00EC6ED2">
        <w:t>J,</w:t>
      </w:r>
      <w:r w:rsidR="00EC6ED2">
        <w:t xml:space="preserve"> Kraaij R, </w:t>
      </w:r>
      <w:r w:rsidR="00EC6ED2" w:rsidRPr="00EC6ED2">
        <w:t>Rivadeneira F</w:t>
      </w:r>
      <w:r w:rsidR="00EC6ED2">
        <w:t xml:space="preserve">, Uitterlinden AG, </w:t>
      </w:r>
      <w:r w:rsidR="004517B0">
        <w:t>manuscript in preparation</w:t>
      </w:r>
      <w:bookmarkEnd w:id="22"/>
      <w:r w:rsidR="00683189">
        <w:t xml:space="preserve">) on the Illumina HiSeq platform. We called indels in these exomes using Pindel, GATK UnifiedGenotyper and GATK HaplotypeCaller and considered all indels called by at least two algorithms reliable without further filtering. We then considered all singletons across the 24 whole exomes that were either not discovered (false negatives) or also singletons (true positives) in our whole-genome data to evaluate our sensitivity for </w:t>
      </w:r>
      <w:r w:rsidR="00683189">
        <w:rPr>
          <w:i/>
        </w:rPr>
        <w:t xml:space="preserve">de novo </w:t>
      </w:r>
      <w:r w:rsidR="00683189">
        <w:t>calls. We found that 83.3% of the singleton indels detected in the deep exome sequencing data were found back in the medium coverage whole-genome sequencing data (75.1% of the insertions and 87.4% of the deletions). W</w:t>
      </w:r>
      <w:r w:rsidR="00683189" w:rsidRPr="005E794F">
        <w:t>e addressed</w:t>
      </w:r>
      <w:r w:rsidR="00683189">
        <w:t xml:space="preserve"> false positives</w:t>
      </w:r>
      <w:r w:rsidR="00683189" w:rsidRPr="005E794F">
        <w:t xml:space="preserve"> by experimental validation of all </w:t>
      </w:r>
      <w:r w:rsidR="00683189" w:rsidRPr="005E794F">
        <w:rPr>
          <w:i/>
        </w:rPr>
        <w:t>de novo</w:t>
      </w:r>
      <w:r w:rsidR="00683189" w:rsidRPr="005E794F">
        <w:t xml:space="preserve"> indel candidates</w:t>
      </w:r>
      <w:r w:rsidR="00683189">
        <w:t xml:space="preserve"> in 92 families</w:t>
      </w:r>
      <w:r w:rsidR="00683189" w:rsidRPr="005E794F">
        <w:t xml:space="preserve">. </w:t>
      </w:r>
    </w:p>
    <w:p w14:paraId="49973B88" w14:textId="77777777" w:rsidR="00683189" w:rsidRDefault="00683189" w:rsidP="00683189">
      <w:r w:rsidRPr="005E794F">
        <w:t xml:space="preserve">For large SVs, the algorithms we used mostly </w:t>
      </w:r>
      <w:r>
        <w:t>rely on discordantly mapped</w:t>
      </w:r>
      <w:r w:rsidRPr="005E794F">
        <w:t xml:space="preserve"> read-pairs</w:t>
      </w:r>
      <w:r>
        <w:t>, supported by read depth analysis</w:t>
      </w:r>
      <w:r w:rsidRPr="005E794F">
        <w:t xml:space="preserve">. Discovery power therefore mainly depends on </w:t>
      </w:r>
      <w:r>
        <w:t xml:space="preserve">the </w:t>
      </w:r>
      <w:r w:rsidRPr="005E794F">
        <w:t xml:space="preserve">physical coverage. Given the relatively small number of </w:t>
      </w:r>
      <w:r>
        <w:rPr>
          <w:i/>
        </w:rPr>
        <w:t xml:space="preserve">de novo </w:t>
      </w:r>
      <w:r w:rsidRPr="005E794F">
        <w:t>large SV</w:t>
      </w:r>
      <w:r>
        <w:t xml:space="preserve"> calls</w:t>
      </w:r>
      <w:r w:rsidRPr="005E794F">
        <w:t xml:space="preserve"> in </w:t>
      </w:r>
      <w:r>
        <w:t>our dataset</w:t>
      </w:r>
      <w:r w:rsidRPr="005E794F">
        <w:t>, all events showing a non-reference allele in a child</w:t>
      </w:r>
      <w:r>
        <w:t xml:space="preserve"> but absent from the parents were</w:t>
      </w:r>
      <w:r w:rsidRPr="005E794F">
        <w:t xml:space="preserve"> subjected to experimental validation regardless of the coverage in the parents. </w:t>
      </w:r>
      <w:r>
        <w:t>W</w:t>
      </w:r>
      <w:r w:rsidRPr="005E794F">
        <w:t>e used 4 discordant read-pairs as a minimum threshold to call an SV in our discovery phase</w:t>
      </w:r>
      <w:r>
        <w:t>.</w:t>
      </w:r>
      <w:r w:rsidRPr="005E794F">
        <w:t xml:space="preserve"> </w:t>
      </w:r>
      <w:r>
        <w:t>On average, 98.8% of the known genome (non-N</w:t>
      </w:r>
      <w:r w:rsidRPr="005E794F">
        <w:t xml:space="preserve"> bases) </w:t>
      </w:r>
      <w:r>
        <w:t xml:space="preserve">of each haplotype </w:t>
      </w:r>
      <w:r w:rsidRPr="005E794F">
        <w:t xml:space="preserve">were </w:t>
      </w:r>
      <w:r>
        <w:t>physically covered</w:t>
      </w:r>
      <w:r w:rsidRPr="005E794F">
        <w:t xml:space="preserve"> </w:t>
      </w:r>
      <w:r>
        <w:t xml:space="preserve">by 4 or more read pairs </w:t>
      </w:r>
      <w:r w:rsidRPr="005E794F">
        <w:t xml:space="preserve">in </w:t>
      </w:r>
      <w:r>
        <w:t>the children</w:t>
      </w:r>
      <w:r w:rsidRPr="005E794F">
        <w:t>.</w:t>
      </w:r>
    </w:p>
    <w:p w14:paraId="49D39C29" w14:textId="77777777" w:rsidR="00683189" w:rsidRDefault="00683189" w:rsidP="00683189">
      <w:r>
        <w:t xml:space="preserve">Similarly to the indel sensitivity analysis, we used 11 MZ trio samples to compare the sensitivity of SV calling between 14x and 28x coverage data. First, we selected deletions, which were detected in the combined MZ set (28x coverage), retaining only those having evidence for the alternative allele in only one of parents. The resulting set encompasses deletions in a heterozygous state, which is also expected for </w:t>
      </w:r>
      <w:r w:rsidRPr="003C101A">
        <w:rPr>
          <w:i/>
        </w:rPr>
        <w:t>de novo</w:t>
      </w:r>
      <w:r>
        <w:t xml:space="preserve"> variants. For each heterozygous variant in a combined MZ twin pair (28x coverage) we checked whether it was also found in each individual MZ sample (14x coverage) by one or more algorithms (Pindel, MATE-CLEVER, 123SV and BreakDancer). We observed 69.4% sensitivity (204,624 calls detected at 14x vs 294,826 detected with 28x) for short deletions sized between 20 and 99 bases. Larger variants, exceeding 100bp are detected with 85.8% sensitivity (74,039 calls at 14x vs 86,276 at 28x). </w:t>
      </w:r>
    </w:p>
    <w:p w14:paraId="561A9CDF" w14:textId="06226A7E" w:rsidR="00683189" w:rsidRDefault="00683189" w:rsidP="00683189">
      <w:r>
        <w:t xml:space="preserve">The sensitivity for detection of MEIs by Mobster was separately tested using a set of 134 validated MEIs (127 </w:t>
      </w:r>
      <w:r w:rsidRPr="00241CD3">
        <w:rPr>
          <w:i/>
        </w:rPr>
        <w:t>Alu</w:t>
      </w:r>
      <w:r>
        <w:t xml:space="preserve">; 6 L1; 1 SVA) from 1000 Genomes sample NA12878 </w:t>
      </w:r>
      <w:r>
        <w:fldChar w:fldCharType="begin" w:fldLock="1"/>
      </w:r>
      <w:r w:rsidR="008B18A5">
        <w:instrText>ADDIN CSL_CITATION { "citationItems" : [ { "id" : "ITEM-1", "itemData" : { "DOI" : "10.1371/journal.pgen.1002236", "ISBN" : "1553-7404 (Electronic)\\r1553-7390 (Linking)", "ISSN" : "15537390", "PMID" : "21876680", "abstract" : "As a consequence of the accumulation of insertion events over evolutionary time, mobile elements now comprise nearly half of the human genome. The Alu, L1, and SVA mobile element families are still duplicating, generating variation between individual genomes. Mobile element insertions (MEI) have been identified as causes for genetic diseases, including hemophilia, neurofibromatosis, and various cancers. Here we present a comprehensive map of 7,380 MEI polymorphisms from the 1000 Genomes Project whole-genome sequencing data of 185 samples in three major populations detected with two detection methods. This catalog enables us to systematically study mutation rates, population segregation, genomic distribution, and functional properties of MEI polymorphisms and to compare MEI to SNP variation from the same individuals. Population allele frequencies of MEI and SNPs are described, broadly, by the same neutral ancestral processes despite vastly different mutation mechanisms and rates, except in coding regions where MEI are virtually absent, presumably due to strong negative selection. A direct comparison of MEI and SNP diversity levels suggests a differential mobile element insertion rate among populations.", "author" : [ { "dropping-particle" : "", "family" : "Stewart", "given" : "Chip", "non-dropping-particle" : "", "parse-names" : false, "suffix" : "" }, { "dropping-particle" : "", "family" : "Kural", "given" : "Deniz", "non-dropping-particle" : "", "parse-names" : false, "suffix" : "" }, { "dropping-particle" : "", "family" : "Str\u00f6mberg", "given" : "Michael P.", "non-dropping-particle" : "", "parse-names" : false, "suffix" : "" }, { "dropping-particle" : "", "family" : "Walker", "given" : "Jerilyn A.", "non-dropping-particle" : "", "parse-names" : false, "suffix" : "" }, { "dropping-particle" : "", "family" : "Konkel", "given" : "Miriam K.", "non-dropping-particle" : "", "parse-names" : false, "suffix" : "" }, { "dropping-particle" : "", "family" : "St\u00fctz", "given" : "Adrian M.", "non-dropping-particle" : "", "parse-names" : false, "suffix" : "" }, { "dropping-particle" : "", "family" : "Urban", "given" : "Alexander E.", "non-dropping-particle" : "", "parse-names" : false, "suffix" : "" }, { "dropping-particle" : "", "family" : "Grubert", "given" : "Fabian", "non-dropping-particle" : "", "parse-names" : false, "suffix" : "" }, { "dropping-particle" : "", "family" : "Lam", "given" : "Hugo Y K", "non-dropping-particle" : "", "parse-names" : false, "suffix" : "" }, { "dropping-particle" : "", "family" : "Lee", "given" : "Wan Ping", "non-dropping-particle" : "", "parse-names" : false, "suffix" : "" }, { "dropping-particle" : "", "family" : "Busby", "given" : "Michele", "non-dropping-particle" : "", "parse-names" : false, "suffix" : "" }, { "dropping-particle" : "", "family" : "Indap", "given" : "Amit R.", "non-dropping-particle" : "", "parse-names" : false, "suffix" : "" }, { "dropping-particle" : "", "family" : "Garrison", "given" : "Erik", "non-dropping-particle" : "", "parse-names" : false, "suffix" : "" }, { "dropping-particle" : "", "family" : "Huff", "given" : "Chad", "non-dropping-particle" : "", "parse-names" : false, "suffix" : "" }, { "dropping-particle" : "", "family" : "Xing", "given" : "Jinchuan", "non-dropping-particle" : "", "parse-names" : false, "suffix" : "" }, { "dropping-particle" : "", "family" : "Snyder", "given" : "Michael P.", "non-dropping-particle" : "", "parse-names" : false, "suffix" : "" }, { "dropping-particle" : "", "family" : "Jorde", "given" : "Lynn B.", "non-dropping-particle" : "", "parse-names" : false, "suffix" : "" }, { "dropping-particle" : "", "family" : "Batzer", "given" : "Mark A.", "non-dropping-particle" : "", "parse-names" : false, "suffix" : "" }, { "dropping-particle" : "", "family" : "Korbel", "given" : "Jan O.", "non-dropping-particle" : "", "parse-names" : false, "suffix" : "" }, { "dropping-particle" : "", "family" : "Marth", "given" : "Gabor T.", "non-dropping-particle" : "", "parse-names" : false, "suffix" : "" } ], "container-title" : "PLoS Genetics", "id" : "ITEM-1", "issued" : { "date-parts" : [ [ "2011" ] ] }, "title" : "A comprehensive map of mobile element insertion polymorphisms in humans", "type" : "article-journal", "volume" : "7" }, "uris" : [ "http://www.mendeley.com/documents/?uuid=5621f7f8-dea0-49be-af2c-9f561b8d7495", "http://www.mendeley.com/documents/?uuid=6ea59066-23a5-48df-a0a8-54e2ce3663e9" ] } ], "mendeley" : { "formattedCitation" : "(Stewart et al. 2011)", "plainTextFormattedCitation" : "(Stewart et al. 2011)", "previouslyFormattedCitation" : "(Stewart et al. 2011)" }, "properties" : { "noteIndex" : 0 }, "schema" : "https://github.com/citation-style-language/schema/raw/master/csl-citation.json" }</w:instrText>
      </w:r>
      <w:r>
        <w:fldChar w:fldCharType="separate"/>
      </w:r>
      <w:r w:rsidRPr="006B476F">
        <w:rPr>
          <w:noProof/>
        </w:rPr>
        <w:t>(Stewart et al. 2011)</w:t>
      </w:r>
      <w:r>
        <w:fldChar w:fldCharType="end"/>
      </w:r>
      <w:r>
        <w:t>. We subsampled the original data for NA12878 resulting in an average coverage of ~14X. By running Mobster on this subsampled dataset we could detect 104/134 (77.6%) validated MEIs based on a combination of both single and double cluster predictions.</w:t>
      </w:r>
    </w:p>
    <w:p w14:paraId="3F23A1F5" w14:textId="77777777" w:rsidR="00683189" w:rsidRPr="00593C82" w:rsidRDefault="00683189" w:rsidP="004142E7"/>
    <w:p w14:paraId="5A92AC26" w14:textId="6088DCE2" w:rsidR="004142E7" w:rsidRPr="00BC3719" w:rsidRDefault="004142E7" w:rsidP="004142E7">
      <w:pPr>
        <w:pStyle w:val="Heading1"/>
      </w:pPr>
      <w:bookmarkStart w:id="23" w:name="_Toc268963850"/>
      <w:bookmarkStart w:id="24" w:name="_Toc289421713"/>
      <w:r>
        <w:t>Breakpoint mapping</w:t>
      </w:r>
      <w:bookmarkEnd w:id="23"/>
      <w:r w:rsidR="00CB4FF3">
        <w:t xml:space="preserve"> and primer design</w:t>
      </w:r>
      <w:bookmarkEnd w:id="24"/>
    </w:p>
    <w:p w14:paraId="47E32371" w14:textId="1F38E143" w:rsidR="004142E7" w:rsidRDefault="004142E7" w:rsidP="004142E7">
      <w:pPr>
        <w:pStyle w:val="normal0"/>
        <w:spacing w:line="240" w:lineRule="auto"/>
        <w:jc w:val="both"/>
        <w:rPr>
          <w:color w:val="auto"/>
          <w:sz w:val="20"/>
          <w:szCs w:val="20"/>
        </w:rPr>
      </w:pPr>
      <w:r w:rsidRPr="00BC3719">
        <w:rPr>
          <w:i/>
          <w:iCs/>
          <w:color w:val="auto"/>
          <w:sz w:val="20"/>
          <w:szCs w:val="20"/>
        </w:rPr>
        <w:t xml:space="preserve">De novo </w:t>
      </w:r>
      <w:r w:rsidRPr="00BC3719">
        <w:rPr>
          <w:color w:val="auto"/>
          <w:sz w:val="20"/>
          <w:szCs w:val="20"/>
        </w:rPr>
        <w:t xml:space="preserve">assembly was performed </w:t>
      </w:r>
      <w:r>
        <w:rPr>
          <w:color w:val="auto"/>
          <w:sz w:val="20"/>
          <w:szCs w:val="20"/>
        </w:rPr>
        <w:t xml:space="preserve">to map breakpoints of </w:t>
      </w:r>
      <w:r w:rsidRPr="00AA0BCB">
        <w:rPr>
          <w:i/>
          <w:szCs w:val="20"/>
        </w:rPr>
        <w:t>de novo</w:t>
      </w:r>
      <w:r>
        <w:rPr>
          <w:color w:val="auto"/>
          <w:sz w:val="20"/>
          <w:szCs w:val="20"/>
        </w:rPr>
        <w:t xml:space="preserve"> </w:t>
      </w:r>
      <w:r w:rsidR="00A626C4">
        <w:rPr>
          <w:color w:val="auto"/>
          <w:sz w:val="20"/>
          <w:szCs w:val="20"/>
        </w:rPr>
        <w:t xml:space="preserve">SV </w:t>
      </w:r>
      <w:r>
        <w:rPr>
          <w:color w:val="auto"/>
          <w:sz w:val="20"/>
          <w:szCs w:val="20"/>
        </w:rPr>
        <w:t>candidates, using</w:t>
      </w:r>
      <w:r w:rsidRPr="00BC3719">
        <w:rPr>
          <w:color w:val="auto"/>
          <w:sz w:val="20"/>
          <w:szCs w:val="20"/>
        </w:rPr>
        <w:t xml:space="preserve"> </w:t>
      </w:r>
      <w:r w:rsidRPr="0064164B">
        <w:rPr>
          <w:color w:val="auto"/>
          <w:sz w:val="20"/>
          <w:szCs w:val="20"/>
        </w:rPr>
        <w:t>SOAPdenovo</w:t>
      </w:r>
      <w:r>
        <w:rPr>
          <w:color w:val="auto"/>
          <w:sz w:val="20"/>
          <w:szCs w:val="20"/>
        </w:rPr>
        <w:t xml:space="preserve"> </w:t>
      </w:r>
      <w:r>
        <w:rPr>
          <w:szCs w:val="20"/>
        </w:rPr>
        <w:fldChar w:fldCharType="begin" w:fldLock="1"/>
      </w:r>
      <w:r w:rsidR="008B18A5">
        <w:rPr>
          <w:color w:val="auto"/>
          <w:sz w:val="20"/>
          <w:szCs w:val="20"/>
        </w:rPr>
        <w:instrText>ADDIN CSL_CITATION { "citationItems" : [ { "id" : "ITEM-1", "itemData" : { "DOI" : "10.1186/2047-217X-1-18", "ISBN" : "2047-217X (Electronic)\\n2047-217X (Linking)", "ISSN" : "2047-217X", "PMID" : "23587118", "abstract" : "BACKGROUND: There is a rapidly increasing amount of de novo genome assembly using next-generation sequencing (NGS) short reads; however, several big challenges remain to be overcome in order for this to be efficient and accurate. SOAPdenovo has been successfully applied to assemble many published genomes, but it still needs improvement in continuity, accuracy and coverage, especially in repeat regions.\\n\\nFINDINGS: To overcome these challenges, we have developed its successor, SOAPdenovo2, which has the advantage of a new algorithm design that reduces memory consumption in graph construction, resolves more repeat regions in contig assembly, increases coverage and length in scaffold construction, improves gap closing, and optimizes for large genome.\\n\\nCONCLUSIONS: Benchmark using the Assemblathon1 and GAGE datasets showed that SOAPdenovo2 greatly surpasses its predecessor SOAPdenovo and is competitive to other assemblers on both assembly length and accuracy. We also provide an updated assembly version of the 2008 Asian (YH) genome using SOAPdenovo2. Here, the contig and scaffold N50 of the YH genome were ~20.9 kbp and ~22 Mbp, respectively, which is 3-fold and 50-fold longer than the first published version. The genome coverage increased from 81.16% to 93.91%, and memory consumption was ~2/3 lower during the point of largest memory consumption.", "author" : [ { "dropping-particle" : "", "family" : "Luo", "given" : "Ruibang", "non-dropping-particle" : "", "parse-names" : false, "suffix" : "" }, { "dropping-particle" : "", "family" : "Liu", "given" : "Binghang", "non-dropping-particle" : "", "parse-names" : false, "suffix" : "" }, { "dropping-particle" : "", "family" : "Xie", "given" : "Yinlong", "non-dropping-particle" : "", "parse-names" : false, "suffix" : "" }, { "dropping-particle" : "", "family" : "Li", "given" : "Zhenyu", "non-dropping-particle" : "", "parse-names" : false, "suffix" : "" }, { "dropping-particle" : "", "family" : "Huang", "given" : "Weihua", "non-dropping-particle" : "", "parse-names" : false, "suffix" : "" }, { "dropping-particle" : "", "family" : "Yuan", "given" : "Jianying", "non-dropping-particle" : "", "parse-names" : false, "suffix" : "" }, { "dropping-particle" : "", "family" : "He", "given" : "Guangzhu", "non-dropping-particle" : "", "parse-names" : false, "suffix" : "" }, { "dropping-particle" : "", "family" : "Chen", "given" : "Yanxiang", "non-dropping-particle" : "", "parse-names" : false, "suffix" : "" }, { "dropping-particle" : "", "family" : "Pan", "given" : "Qi", "non-dropping-particle" : "", "parse-names" : false, "suffix" : "" }, { "dropping-particle" : "", "family" : "Liu", "given" : "Yunjie", "non-dropping-particle" : "", "parse-names" : false, "suffix" : "" }, { "dropping-particle" : "", "family" : "Tang", "given" : "Jingbo", "non-dropping-particle" : "", "parse-names" : false, "suffix" : "" }, { "dropping-particle" : "", "family" : "Wu", "given" : "Gengxiong", "non-dropping-particle" : "", "parse-names" : false, "suffix" : "" }, { "dropping-particle" : "", "family" : "Zhang", "given" : "Hao", "non-dropping-particle" : "", "parse-names" : false, "suffix" : "" }, { "dropping-particle" : "", "family" : "Shi", "given" : "Yujian", "non-dropping-particle" : "", "parse-names" : false, "suffix" : "" }, { "dropping-particle" : "", "family" : "Liu", "given" : "Yong", "non-dropping-particle" : "", "parse-names" : false, "suffix" : "" }, { "dropping-particle" : "", "family" : "Yu", "given" : "Chang", "non-dropping-particle" : "", "parse-names" : false, "suffix" : "" }, { "dropping-particle" : "", "family" : "Wang", "given" : "Bo", "non-dropping-particle" : "", "parse-names" : false, "suffix" : "" }, { "dropping-particle" : "", "family" : "Lu", "given" : "Yao", "non-dropping-particle" : "", "parse-names" : false, "suffix" : "" }, { "dropping-particle" : "", "family" : "Han", "given" : "Changlei", "non-dropping-particle" : "", "parse-names" : false, "suffix" : "" }, { "dropping-particle" : "", "family" : "Cheung", "given" : "David W", "non-dropping-particle" : "", "parse-names" : false, "suffix" : "" }, { "dropping-particle" : "", "family" : "Yiu", "given" : "Siu-Ming", "non-dropping-particle" : "", "parse-names" : false, "suffix" : "" }, { "dropping-particle" : "", "family" : "Peng", "given" : "Shaoliang", "non-dropping-particle" : "", "parse-names" : false, "suffix" : "" }, { "dropping-particle" : "", "family" : "Xiaoqian", "given" : "Zhu", "non-dropping-particle" : "", "parse-names" : false, "suffix" : "" }, { "dropping-particle" : "", "family" : "Liu", "given" : "Guangming", "non-dropping-particle" : "", "parse-names" : false, "suffix" : "" }, { "dropping-particle" : "", "family" : "Liao", "given" : "Xiangke", "non-dropping-particle" : "", "parse-names" : false, "suffix" : "" }, { "dropping-particle" : "", "family" : "Li", "given" : "Yingrui", "non-dropping-particle" : "", "parse-names" : false, "suffix" : "" }, { "dropping-particle" : "", "family" : "Yang", "given" : "Huanming", "non-dropping-particle" : "", "parse-names" : false, "suffix" : "" }, { "dropping-particle" : "", "family" : "Wang", "given" : "Jian", "non-dropping-particle" : "", "parse-names" : false, "suffix" : "" }, { "dropping-particle" : "", "family" : "Lam", "given" : "Tak-Wah", "non-dropping-particle" : "", "parse-names" : false, "suffix" : "" }, { "dropping-particle" : "", "family" : "Wang", "given" : "Jun", "non-dropping-particle" : "", "parse-names" : false, "suffix" : "" } ], "container-title" : "GigaScience", "id" : "ITEM-1", "issued" : { "date-parts" : [ [ "2012" ] ] }, "page" : "18", "title" : "SOAPdenovo2: an empirically improved memory-efficient short-read de novo assembler.", "type" : "article-journal", "volume" : "1" }, "uris" : [ "http://www.mendeley.com/documents/?uuid=150d2d6c-d84b-4cd9-9385-4ca4291926a6", "http://www.mendeley.com/documents/?uuid=e15766b0-edd9-4281-889b-4fa088079b72" ] } ], "mendeley" : { "formattedCitation" : "(Luo et al. 2012)", "plainTextFormattedCitation" : "(Luo et al. 2012)", "previouslyFormattedCitation" : "(Luo et al. 2012)" }, "properties" : { "noteIndex" : 0 }, "schema" : "https://github.com/citation-style-language/schema/raw/master/csl-citation.json" }</w:instrText>
      </w:r>
      <w:r>
        <w:rPr>
          <w:szCs w:val="20"/>
        </w:rPr>
        <w:fldChar w:fldCharType="separate"/>
      </w:r>
      <w:r w:rsidR="00E64154" w:rsidRPr="00E64154">
        <w:rPr>
          <w:noProof/>
          <w:color w:val="auto"/>
          <w:sz w:val="20"/>
          <w:szCs w:val="20"/>
        </w:rPr>
        <w:t>(Luo et al. 2012)</w:t>
      </w:r>
      <w:r>
        <w:rPr>
          <w:szCs w:val="20"/>
        </w:rPr>
        <w:fldChar w:fldCharType="end"/>
      </w:r>
      <w:r w:rsidRPr="0064164B">
        <w:rPr>
          <w:color w:val="auto"/>
          <w:sz w:val="20"/>
          <w:szCs w:val="20"/>
        </w:rPr>
        <w:t>. Scaffolds were aligned to</w:t>
      </w:r>
      <w:r>
        <w:rPr>
          <w:color w:val="auto"/>
          <w:sz w:val="20"/>
          <w:szCs w:val="20"/>
        </w:rPr>
        <w:t xml:space="preserve"> the</w:t>
      </w:r>
      <w:r w:rsidRPr="0064164B">
        <w:rPr>
          <w:color w:val="auto"/>
          <w:sz w:val="20"/>
          <w:szCs w:val="20"/>
        </w:rPr>
        <w:t xml:space="preserve"> GRCh37 reference using the </w:t>
      </w:r>
      <w:r>
        <w:rPr>
          <w:color w:val="auto"/>
          <w:sz w:val="20"/>
          <w:szCs w:val="20"/>
        </w:rPr>
        <w:t>NCBI BLAST</w:t>
      </w:r>
      <w:r w:rsidRPr="0064164B">
        <w:rPr>
          <w:color w:val="auto"/>
          <w:sz w:val="20"/>
          <w:szCs w:val="20"/>
        </w:rPr>
        <w:t xml:space="preserve"> software</w:t>
      </w:r>
      <w:r>
        <w:rPr>
          <w:color w:val="auto"/>
          <w:sz w:val="20"/>
          <w:szCs w:val="20"/>
        </w:rPr>
        <w:t xml:space="preserve"> </w:t>
      </w:r>
      <w:r>
        <w:rPr>
          <w:szCs w:val="20"/>
        </w:rPr>
        <w:fldChar w:fldCharType="begin" w:fldLock="1"/>
      </w:r>
      <w:r w:rsidR="006A6CF5">
        <w:rPr>
          <w:color w:val="auto"/>
          <w:sz w:val="20"/>
          <w:szCs w:val="20"/>
        </w:rPr>
        <w:instrText>ADDIN CSL_CITATION { "citationItems" : [ { "id" : "ITEM-1", "itemData" : { "DOI" : "10.1101/gr.229202", "ISSN" : "1088-9051", "author" : [ { "dropping-particle" : "", "family" : "Kent", "given" : "W. J.", "non-dropping-particle" : "", "parse-names" : false, "suffix" : "" } ], "container-title" : "Genome Research", "id" : "ITEM-1", "issue" : "4", "issued" : { "date-parts" : [ [ "2002", "3", "20" ] ] }, "page" : "656-664", "title" : "BLAT---The BLAST-Like Alignment Tool", "type" : "article-journal", "volume" : "12" }, "uris" : [ "http://www.mendeley.com/documents/?uuid=f102fdd7-c7b0-44f5-8d43-7a5bf0350942" ] } ], "mendeley" : { "formattedCitation" : "(Kent 2002)", "plainTextFormattedCitation" : "(Kent 2002)", "previouslyFormattedCitation" : "(Kent 2002)" }, "properties" : { "noteIndex" : 0 }, "schema" : "https://github.com/citation-style-language/schema/raw/master/csl-citation.json" }</w:instrText>
      </w:r>
      <w:r>
        <w:rPr>
          <w:szCs w:val="20"/>
        </w:rPr>
        <w:fldChar w:fldCharType="separate"/>
      </w:r>
      <w:r w:rsidR="008F7228">
        <w:rPr>
          <w:noProof/>
          <w:color w:val="auto"/>
          <w:sz w:val="20"/>
          <w:szCs w:val="20"/>
        </w:rPr>
        <w:t>(Altschul et al, 1990</w:t>
      </w:r>
      <w:r w:rsidR="00E7592E" w:rsidRPr="00E7592E">
        <w:rPr>
          <w:noProof/>
          <w:color w:val="auto"/>
          <w:sz w:val="20"/>
          <w:szCs w:val="20"/>
        </w:rPr>
        <w:t>)</w:t>
      </w:r>
      <w:r>
        <w:rPr>
          <w:szCs w:val="20"/>
        </w:rPr>
        <w:fldChar w:fldCharType="end"/>
      </w:r>
      <w:r>
        <w:rPr>
          <w:color w:val="auto"/>
          <w:sz w:val="20"/>
          <w:szCs w:val="20"/>
        </w:rPr>
        <w:t xml:space="preserve">. Scaffolds with two high scoring segment pairs (HSPs) that are consistent with predicted structural variants were used for design of validation assays. Forward and reverse primers were placed in scaffold regions that corresponded to an HSP upstream and downstream of a predicted variant, respectively. </w:t>
      </w:r>
      <w:r w:rsidR="000609BA">
        <w:rPr>
          <w:color w:val="auto"/>
          <w:sz w:val="20"/>
          <w:szCs w:val="20"/>
        </w:rPr>
        <w:t xml:space="preserve">For tandem duplication we designed amplicons that overlapped a boundary between first and second copy of duplicated segment. </w:t>
      </w:r>
      <w:r>
        <w:rPr>
          <w:color w:val="auto"/>
          <w:sz w:val="20"/>
          <w:szCs w:val="20"/>
        </w:rPr>
        <w:t xml:space="preserve">Primers were picked using Primer3 software </w:t>
      </w:r>
      <w:r>
        <w:rPr>
          <w:szCs w:val="20"/>
        </w:rPr>
        <w:fldChar w:fldCharType="begin" w:fldLock="1"/>
      </w:r>
      <w:r w:rsidR="006A6CF5">
        <w:rPr>
          <w:color w:val="auto"/>
          <w:sz w:val="20"/>
          <w:szCs w:val="20"/>
        </w:rPr>
        <w:instrText>ADDIN CSL_CITATION { "citationItems" : [ { "id" : "ITEM-1", "itemData" : { "author" : [ { "dropping-particle" : "", "family" : "Rozen", "given" : "Steve", "non-dropping-particle" : "", "parse-names" : false, "suffix" : "" }, { "dropping-particle" : "", "family" : "Skaletsky", "given" : "Helen", "non-dropping-particle" : "", "parse-names" : false, "suffix" : "" } ], "container-title" : "Methods in Molecular Biology", "id" : "ITEM-1", "issued" : { "date-parts" : [ [ "2000" ] ] }, "page" : "265-386", "title" : "Primers3 on the WWW for General Users and for Biologist Programmers", "type" : "article-journal", "volume" : "132" }, "uris" : [ "http://www.mendeley.com/documents/?uuid=f2e247fc-6fe6-434e-9398-d9a18f57b365" ] } ], "mendeley" : { "formattedCitation" : "(Rozen and Skaletsky 2000)", "plainTextFormattedCitation" : "(Rozen and Skaletsky 2000)", "previouslyFormattedCitation" : "(Rozen and Skaletsky 2000)" }, "properties" : { "noteIndex" : 0 }, "schema" : "https://github.com/citation-style-language/schema/raw/master/csl-citation.json" }</w:instrText>
      </w:r>
      <w:r>
        <w:rPr>
          <w:szCs w:val="20"/>
        </w:rPr>
        <w:fldChar w:fldCharType="separate"/>
      </w:r>
      <w:r w:rsidR="00E7592E" w:rsidRPr="00E7592E">
        <w:rPr>
          <w:noProof/>
          <w:color w:val="auto"/>
          <w:sz w:val="20"/>
          <w:szCs w:val="20"/>
        </w:rPr>
        <w:t>(Rozen and Skaletsky 2000)</w:t>
      </w:r>
      <w:r>
        <w:rPr>
          <w:szCs w:val="20"/>
        </w:rPr>
        <w:fldChar w:fldCharType="end"/>
      </w:r>
      <w:r>
        <w:rPr>
          <w:color w:val="auto"/>
          <w:sz w:val="20"/>
          <w:szCs w:val="20"/>
        </w:rPr>
        <w:t xml:space="preserve"> to amplify a 300bp or bigger fragment that includes a predicted variant.  </w:t>
      </w:r>
    </w:p>
    <w:p w14:paraId="6FD386A1" w14:textId="7D8EAE0D" w:rsidR="004142E7" w:rsidRDefault="00E35911" w:rsidP="004142E7">
      <w:pPr>
        <w:pStyle w:val="Heading1"/>
      </w:pPr>
      <w:bookmarkStart w:id="25" w:name="_Ref257966029"/>
      <w:bookmarkStart w:id="26" w:name="_Toc268963851"/>
      <w:r>
        <w:tab/>
      </w:r>
      <w:bookmarkStart w:id="27" w:name="_Toc289421714"/>
      <w:r w:rsidR="004142E7" w:rsidRPr="00D65A26">
        <w:t>Validation</w:t>
      </w:r>
      <w:bookmarkEnd w:id="25"/>
      <w:bookmarkEnd w:id="26"/>
      <w:r w:rsidR="00CB4FF3">
        <w:t xml:space="preserve"> experiments</w:t>
      </w:r>
      <w:bookmarkEnd w:id="27"/>
    </w:p>
    <w:p w14:paraId="20E0D3DD" w14:textId="77777777" w:rsidR="004142E7" w:rsidRDefault="004142E7" w:rsidP="004142E7">
      <w:pPr>
        <w:pStyle w:val="Heading2"/>
      </w:pPr>
      <w:bookmarkStart w:id="28" w:name="_Ref258161141"/>
      <w:bookmarkStart w:id="29" w:name="_Toc268963852"/>
      <w:bookmarkStart w:id="30" w:name="_Toc289421715"/>
      <w:r>
        <w:t>Technologies</w:t>
      </w:r>
      <w:bookmarkEnd w:id="28"/>
      <w:bookmarkEnd w:id="29"/>
      <w:bookmarkEnd w:id="30"/>
    </w:p>
    <w:p w14:paraId="6C2C850C" w14:textId="77777777" w:rsidR="004142E7" w:rsidRDefault="004142E7" w:rsidP="004142E7">
      <w:pPr>
        <w:pStyle w:val="Heading3"/>
      </w:pPr>
      <w:bookmarkStart w:id="31" w:name="_Toc268963853"/>
      <w:bookmarkStart w:id="32" w:name="_Toc289421716"/>
      <w:r>
        <w:t>Sanger validation</w:t>
      </w:r>
      <w:bookmarkEnd w:id="31"/>
      <w:bookmarkEnd w:id="32"/>
    </w:p>
    <w:p w14:paraId="02F90D4E" w14:textId="1B47313F" w:rsidR="004142E7" w:rsidRPr="003A3FEC" w:rsidRDefault="004142E7" w:rsidP="004142E7">
      <w:r w:rsidRPr="00BC3719">
        <w:rPr>
          <w:rFonts w:eastAsia="Times New Roman"/>
          <w:szCs w:val="20"/>
        </w:rPr>
        <w:t xml:space="preserve">PCR primers were designed for predicted </w:t>
      </w:r>
      <w:r w:rsidRPr="00BC3719">
        <w:rPr>
          <w:rFonts w:eastAsia="Times New Roman"/>
          <w:i/>
          <w:szCs w:val="20"/>
        </w:rPr>
        <w:t xml:space="preserve">de novo </w:t>
      </w:r>
      <w:r w:rsidRPr="00BC3719">
        <w:rPr>
          <w:rFonts w:eastAsia="Times New Roman"/>
          <w:szCs w:val="20"/>
        </w:rPr>
        <w:t>variants (</w:t>
      </w:r>
      <w:r w:rsidR="009775C3" w:rsidRPr="007B72E9">
        <w:rPr>
          <w:rFonts w:eastAsia="Times New Roman"/>
          <w:b/>
          <w:szCs w:val="20"/>
        </w:rPr>
        <w:t xml:space="preserve">Supplemental </w:t>
      </w:r>
      <w:r w:rsidR="00F37BB2">
        <w:rPr>
          <w:rFonts w:eastAsia="Times New Roman"/>
          <w:b/>
          <w:szCs w:val="20"/>
        </w:rPr>
        <w:t xml:space="preserve">Table </w:t>
      </w:r>
      <w:r w:rsidR="00095FEF">
        <w:rPr>
          <w:rFonts w:eastAsia="Times New Roman"/>
          <w:b/>
          <w:szCs w:val="20"/>
        </w:rPr>
        <w:t>2</w:t>
      </w:r>
      <w:r w:rsidRPr="00BC3719">
        <w:rPr>
          <w:rFonts w:eastAsia="Times New Roman"/>
          <w:szCs w:val="20"/>
        </w:rPr>
        <w:t>) using Primer3 software</w:t>
      </w:r>
      <w:r>
        <w:rPr>
          <w:szCs w:val="20"/>
        </w:rPr>
        <w:t xml:space="preserve">. </w:t>
      </w:r>
      <w:r w:rsidRPr="00BC3719">
        <w:rPr>
          <w:rFonts w:eastAsia="Times New Roman"/>
          <w:szCs w:val="20"/>
        </w:rPr>
        <w:t>PCR was performed on families using Amp</w:t>
      </w:r>
      <w:r>
        <w:rPr>
          <w:rFonts w:eastAsia="Times New Roman"/>
          <w:szCs w:val="20"/>
        </w:rPr>
        <w:t xml:space="preserve">liTaq Gold (Life Technologies) and </w:t>
      </w:r>
      <w:r w:rsidRPr="00BC3719">
        <w:rPr>
          <w:rFonts w:eastAsia="Times New Roman"/>
          <w:szCs w:val="20"/>
        </w:rPr>
        <w:t>PCR reads were subjected to Sanger sequencing</w:t>
      </w:r>
      <w:r>
        <w:rPr>
          <w:rFonts w:eastAsia="Times New Roman"/>
          <w:szCs w:val="20"/>
        </w:rPr>
        <w:t xml:space="preserve">. For </w:t>
      </w:r>
      <w:r>
        <w:rPr>
          <w:rFonts w:eastAsia="Times New Roman"/>
          <w:i/>
          <w:szCs w:val="20"/>
        </w:rPr>
        <w:t xml:space="preserve">de novo </w:t>
      </w:r>
      <w:r>
        <w:rPr>
          <w:rFonts w:eastAsia="Times New Roman"/>
          <w:szCs w:val="20"/>
        </w:rPr>
        <w:t>indels, the resulting</w:t>
      </w:r>
      <w:r>
        <w:t xml:space="preserve"> sequence was genotyped visually using Phred software </w:t>
      </w:r>
      <w:r>
        <w:fldChar w:fldCharType="begin" w:fldLock="1"/>
      </w:r>
      <w:r w:rsidR="006A6CF5">
        <w:instrText>ADDIN CSL_CITATION { "citationItems" : [ { "id" : "ITEM-1", "itemData" : { "DOI" : "10.1101/gr.8.3.175", "ISBN" : "1088-9051", "ISSN" : "1088-9051", "PMID" : "9521921", "abstract" : "The availability of massive amounts of DNA sequence information has begun to revolutionize the practice of biology. As a result, current large-scale sequencing output, while impressive, is not adequate to keep pace with growing demand and, in particular, is far short of what will be required to obtain the 3-billion-base human genome sequence by the target date of 2005. To reach this goal, improved automation will be essential, and it is particularly important that human involvement in sequence data processing be significantly reduced or eliminated. Progress in this respect will require both improved accuracy of the data processing software and reliable accuracy measures to reduce the need for human involvement in error correction and make human review more efficient. Here, we describe one step toward that goal: a base-calling program for automated sequencer traces, phred, with improved accuracy. phred appears to be the first base-calling program to achieve a lower error rate than the ABI software, averaging 40%\u201350% fewer errors in the data sets examined independent of position in read, machine running conditions, or sequencing chemistry.", "author" : [ { "dropping-particle" : "", "family" : "Ewing", "given" : "B", "non-dropping-particle" : "", "parse-names" : false, "suffix" : "" }, { "dropping-particle" : "", "family" : "Hillier", "given" : "LD", "non-dropping-particle" : "", "parse-names" : false, "suffix" : "" }, { "dropping-particle" : "", "family" : "Wendl", "given" : "MC", "non-dropping-particle" : "", "parse-names" : false, "suffix" : "" }, { "dropping-particle" : "", "family" : "Green", "given" : "P", "non-dropping-particle" : "", "parse-names" : false, "suffix" : "" } ], "container-title" : "Genome research", "id" : "ITEM-1", "issued" : { "date-parts" : [ [ "1998" ] ] }, "page" : "175-185", "title" : "Base-calling of automated sequencer traces usingPhred. I. Accuracy assessment", "type" : "article-journal" }, "uris" : [ "http://www.mendeley.com/documents/?uuid=3ab7fd2e-6ad0-4daa-b2ae-816c0dfe894a" ] } ], "mendeley" : { "formattedCitation" : "(Ewing et al. 1998)", "plainTextFormattedCitation" : "(Ewing et al. 1998)", "previouslyFormattedCitation" : "(Ewing et al. 1998)" }, "properties" : { "noteIndex" : 0 }, "schema" : "https://github.com/citation-style-language/schema/raw/master/csl-citation.json" }</w:instrText>
      </w:r>
      <w:r>
        <w:fldChar w:fldCharType="separate"/>
      </w:r>
      <w:r w:rsidR="00E7592E" w:rsidRPr="00E7592E">
        <w:rPr>
          <w:noProof/>
        </w:rPr>
        <w:t>(Ewing et al. 1998)</w:t>
      </w:r>
      <w:r>
        <w:fldChar w:fldCharType="end"/>
      </w:r>
      <w:r>
        <w:t xml:space="preserve">. For </w:t>
      </w:r>
      <w:r>
        <w:rPr>
          <w:i/>
        </w:rPr>
        <w:t xml:space="preserve">de novo </w:t>
      </w:r>
      <w:r>
        <w:t xml:space="preserve">SVs, </w:t>
      </w:r>
      <w:r>
        <w:rPr>
          <w:rFonts w:eastAsia="Times New Roman"/>
          <w:szCs w:val="20"/>
        </w:rPr>
        <w:t>a</w:t>
      </w:r>
      <w:r w:rsidRPr="00BC3719">
        <w:rPr>
          <w:rFonts w:eastAsia="Times New Roman"/>
          <w:szCs w:val="20"/>
        </w:rPr>
        <w:t>nalysis of Sanger traces was done manually using</w:t>
      </w:r>
      <w:r>
        <w:rPr>
          <w:rFonts w:eastAsia="Times New Roman"/>
          <w:szCs w:val="20"/>
        </w:rPr>
        <w:t xml:space="preserve"> </w:t>
      </w:r>
      <w:r w:rsidRPr="00BC3719">
        <w:rPr>
          <w:rFonts w:eastAsia="Times New Roman"/>
          <w:szCs w:val="20"/>
        </w:rPr>
        <w:t xml:space="preserve">BLAST and BLAT functionalities available from the </w:t>
      </w:r>
      <w:r w:rsidRPr="00AA0BCB">
        <w:rPr>
          <w:rFonts w:eastAsia="Times New Roman"/>
          <w:szCs w:val="20"/>
        </w:rPr>
        <w:t>UCSC</w:t>
      </w:r>
      <w:r>
        <w:rPr>
          <w:rFonts w:eastAsia="Times New Roman"/>
          <w:szCs w:val="20"/>
        </w:rPr>
        <w:t xml:space="preserve"> </w:t>
      </w:r>
      <w:r>
        <w:rPr>
          <w:rFonts w:eastAsia="Times New Roman"/>
          <w:szCs w:val="20"/>
        </w:rPr>
        <w:fldChar w:fldCharType="begin" w:fldLock="1"/>
      </w:r>
      <w:r w:rsidR="006A6CF5">
        <w:rPr>
          <w:rFonts w:eastAsia="Times New Roman"/>
          <w:szCs w:val="20"/>
        </w:rPr>
        <w:instrText>ADDIN CSL_CITATION { "citationItems" : [ { "id" : "ITEM-1", "itemData" : { "DOI" : "10.1101/gr.229102", "ISSN" : "1088-9051", "author" : [ { "dropping-particle" : "", "family" : "Kent", "given" : "W. J.", "non-dropping-particle" : "", "parse-names" : false, "suffix" : "" }, { "dropping-particle" : "", "family" : "Sugnet", "given" : "C. W.", "non-dropping-particle" : "", "parse-names" : false, "suffix" : "" }, { "dropping-particle" : "", "family" : "Furey", "given" : "T. S.", "non-dropping-particle" : "", "parse-names" : false, "suffix" : "" }, { "dropping-particle" : "", "family" : "Roskin", "given" : "K. M.", "non-dropping-particle" : "", "parse-names" : false, "suffix" : "" }, { "dropping-particle" : "", "family" : "Pringle", "given" : "T. H.", "non-dropping-particle" : "", "parse-names" : false, "suffix" : "" }, { "dropping-particle" : "", "family" : "Zahler", "given" : "a. M.", "non-dropping-particle" : "", "parse-names" : false, "suffix" : "" }, { "dropping-particle" : "", "family" : "Haussler", "given" : "a. D.", "non-dropping-particle" : "", "parse-names" : false, "suffix" : "" } ], "container-title" : "Genome Research", "id" : "ITEM-1", "issue" : "6", "issued" : { "date-parts" : [ [ "2002", "5", "16" ] ] }, "page" : "996-1006", "title" : "The Human Genome Browser at UCSC", "type" : "article-journal", "volume" : "12" }, "uris" : [ "http://www.mendeley.com/documents/?uuid=89f9abee-8341-46c6-9b37-c0c9f2bbf4cb" ] } ], "mendeley" : { "formattedCitation" : "(Kent et al. 2002)", "plainTextFormattedCitation" : "(Kent et al. 2002)", "previouslyFormattedCitation" : "(Kent et al. 2002)" }, "properties" : { "noteIndex" : 0 }, "schema" : "https://github.com/citation-style-language/schema/raw/master/csl-citation.json" }</w:instrText>
      </w:r>
      <w:r>
        <w:rPr>
          <w:rFonts w:eastAsia="Times New Roman"/>
          <w:szCs w:val="20"/>
        </w:rPr>
        <w:fldChar w:fldCharType="separate"/>
      </w:r>
      <w:r w:rsidR="00E7592E" w:rsidRPr="00E7592E">
        <w:rPr>
          <w:rFonts w:eastAsia="Times New Roman"/>
          <w:noProof/>
          <w:szCs w:val="20"/>
        </w:rPr>
        <w:t>(Kent et al. 2002)</w:t>
      </w:r>
      <w:r>
        <w:rPr>
          <w:rFonts w:eastAsia="Times New Roman"/>
          <w:szCs w:val="20"/>
        </w:rPr>
        <w:fldChar w:fldCharType="end"/>
      </w:r>
      <w:r w:rsidRPr="00AA0BCB">
        <w:rPr>
          <w:rFonts w:eastAsia="Times New Roman"/>
          <w:szCs w:val="20"/>
        </w:rPr>
        <w:t xml:space="preserve"> and Ensembl</w:t>
      </w:r>
      <w:r>
        <w:rPr>
          <w:rFonts w:eastAsia="Times New Roman"/>
          <w:szCs w:val="20"/>
        </w:rPr>
        <w:t xml:space="preserve"> </w:t>
      </w:r>
      <w:r>
        <w:rPr>
          <w:rFonts w:eastAsia="Times New Roman"/>
          <w:szCs w:val="20"/>
        </w:rPr>
        <w:fldChar w:fldCharType="begin" w:fldLock="1"/>
      </w:r>
      <w:r w:rsidR="006A6CF5">
        <w:rPr>
          <w:rFonts w:eastAsia="Times New Roman"/>
          <w:szCs w:val="20"/>
        </w:rPr>
        <w:instrText>ADDIN CSL_CITATION { "citationItems" : [ { "id" : "ITEM-1", "itemData" : { "DOI" : "10.1093/nar/gks1236", "ISSN" : "1362-4962", "PMID" : "23203987", "abstract" : "The Ensembl project (http://www.ensembl.org) provides genome information for sequenced chordate genomes with a particular focus on human, mouse, zebrafish and rat. Our resources include evidenced-based gene sets for all supported species; large-scale whole genome multiple species alignments across vertebrates and clade-specific alignments for eutherian mammals, primates, birds and fish; variation data resources for 17 species and regulation annotations based on ENCODE and other data sets. Ensembl data are accessible through the genome browser at http://www.ensembl.org and through other tools and programmatic interfaces.", "author" : [ { "dropping-particle" : "", "family" : "Flicek", "given" : "Paul", "non-dropping-particle" : "", "parse-names" : false, "suffix" : "" }, { "dropping-particle" : "", "family" : "Ahmed", "given" : "Ikhlak", "non-dropping-particle" : "", "parse-names" : false, "suffix" : "" }, { "dropping-particle" : "", "family" : "Amode", "given" : "M Ridwan", "non-dropping-particle" : "", "parse-names" : false, "suffix" : "" }, { "dropping-particle" : "", "family" : "Barrell", "given" : "Daniel", "non-dropping-particle" : "", "parse-names" : false, "suffix" : "" }, { "dropping-particle" : "", "family" : "Beal", "given" : "Kathryn", "non-dropping-particle" : "", "parse-names" : false, "suffix" : "" }, { "dropping-particle" : "", "family" : "Brent", "given" : "Simon", "non-dropping-particle" : "", "parse-names" : false, "suffix" : "" }, { "dropping-particle" : "", "family" : "Carvalho-Silva", "given" : "Denise", "non-dropping-particle" : "", "parse-names" : false, "suffix" : "" }, { "dropping-particle" : "", "family" : "Clapham", "given" : "Peter", "non-dropping-particle" : "", "parse-names" : false, "suffix" : "" }, { "dropping-particle" : "", "family" : "Coates", "given" : "Guy", "non-dropping-particle" : "", "parse-names" : false, "suffix" : "" }, { "dropping-particle" : "", "family" : "Fairley", "given" : "Susan", "non-dropping-particle" : "", "parse-names" : false, "suffix" : "" }, { "dropping-particle" : "", "family" : "Fitzgerald", "given" : "Stephen", "non-dropping-particle" : "", "parse-names" : false, "suffix" : "" }, { "dropping-particle" : "", "family" : "Gil", "given" : "Laurent", "non-dropping-particle" : "", "parse-names" : false, "suffix" : "" }, { "dropping-particle" : "", "family" : "Garc\u00eda-Gir\u00f3n", "given" : "Carlos", "non-dropping-particle" : "", "parse-names" : false, "suffix" : "" }, { "dropping-particle" : "", "family" : "Gordon", "given" : "Leo", "non-dropping-particle" : "", "parse-names" : false, "suffix" : "" }, { "dropping-particle" : "", "family" : "Hourlier", "given" : "Thibaut", "non-dropping-particle" : "", "parse-names" : false, "suffix" : "" }, { "dropping-particle" : "", "family" : "Hunt", "given" : "Sarah", "non-dropping-particle" : "", "parse-names" : false, "suffix" : "" }, { "dropping-particle" : "", "family" : "Juettemann", "given" : "Thomas", "non-dropping-particle" : "", "parse-names" : false, "suffix" : "" }, { "dropping-particle" : "", "family" : "K\u00e4h\u00e4ri", "given" : "Andreas K", "non-dropping-particle" : "", "parse-names" : false, "suffix" : "" }, { "dropping-particle" : "", "family" : "Keenan", "given" : "Stephen", "non-dropping-particle" : "", "parse-names" : false, "suffix" : "" }, { "dropping-particle" : "", "family" : "Komorowska", "given" : "Monika", "non-dropping-particle" : "", "parse-names" : false, "suffix" : "" }, { "dropping-particle" : "", "family" : "Kulesha", "given" : "Eugene", "non-dropping-particle" : "", "parse-names" : false, "suffix" : "" }, { "dropping-particle" : "", "family" : "Longden", "given" : "Ian", "non-dropping-particle" : "", "parse-names" : false, "suffix" : "" }, { "dropping-particle" : "", "family" : "Maurel", "given" : "Thomas", "non-dropping-particle" : "", "parse-names" : false, "suffix" : "" }, { "dropping-particle" : "", "family" : "McLaren", "given" : "William M", "non-dropping-particle" : "", "parse-names" : false, "suffix" : "" }, { "dropping-particle" : "", "family" : "Muffato", "given" : "Matthieu", "non-dropping-particle" : "", "parse-names" : false, "suffix" : "" }, { "dropping-particle" : "", "family" : "Nag", "given" : "Rishi", "non-dropping-particle" : "", "parse-names" : false, "suffix" : "" }, { "dropping-particle" : "", "family" : "Overduin", "given" : "Bert", "non-dropping-particle" : "", "parse-names" : false, "suffix" : "" }, { "dropping-particle" : "", "family" : "Pignatelli", "given" : "Miguel", "non-dropping-particle" : "", "parse-names" : false, "suffix" : "" }, { "dropping-particle" : "", "family" : "Pritchard", "given" : "Bethan", "non-dropping-particle" : "", "parse-names" : false, "suffix" : "" }, { "dropping-particle" : "", "family" : "Pritchard", "given" : "Emily", "non-dropping-particle" : "", "parse-names" : false, "suffix" : "" }, { "dropping-particle" : "", "family" : "Riat", "given" : "Harpreet Singh", "non-dropping-particle" : "", "parse-names" : false, "suffix" : "" }, { "dropping-particle" : "", "family" : "Ritchie", "given" : "Graham R S", "non-dropping-particle" : "", "parse-names" : false, "suffix" : "" }, { "dropping-particle" : "", "family" : "Ruffier", "given" : "Magali", "non-dropping-particle" : "", "parse-names" : false, "suffix" : "" }, { "dropping-particle" : "", "family" : "Schuster", "given" : "Michael", "non-dropping-particle" : "", "parse-names" : false, "suffix" : "" }, { "dropping-particle" : "", "family" : "Sheppard", "given" : "Daniel", "non-dropping-particle" : "", "parse-names" : false, "suffix" : "" }, { "dropping-particle" : "", "family" : "Sobral", "given" : "Daniel", "non-dropping-particle" : "", "parse-names" : false, "suffix" : "" }, { "dropping-particle" : "", "family" : "Taylor", "given" : "Kieron", "non-dropping-particle" : "", "parse-names" : false, "suffix" : "" }, { "dropping-particle" : "", "family" : "Thormann", "given" : "Anja", "non-dropping-particle" : "", "parse-names" : false, "suffix" : "" }, { "dropping-particle" : "", "family" : "Trevanion", "given" : "Stephen", "non-dropping-particle" : "", "parse-names" : false, "suffix" : "" }, { "dropping-particle" : "", "family" : "White", "given" : "Simon", "non-dropping-particle" : "", "parse-names" : false, "suffix" : "" }, { "dropping-particle" : "", "family" : "Wilder", "given" : "Steven P", "non-dropping-particle" : "", "parse-names" : false, "suffix" : "" }, { "dropping-particle" : "", "family" : "Aken", "given" : "Bronwen L", "non-dropping-particle" : "", "parse-names" : false, "suffix" : "" }, { "dropping-particle" : "", "family" : "Birney", "given" : "Ewan", "non-dropping-particle" : "", "parse-names" : false, "suffix" : "" }, { "dropping-particle" : "", "family" : "Cunningham", "given" : "Fiona", "non-dropping-particle" : "", "parse-names" : false, "suffix" : "" }, { "dropping-particle" : "", "family" : "Dunham", "given" : "Ian", "non-dropping-particle" : "", "parse-names" : false, "suffix" : "" }, { "dropping-particle" : "", "family" : "Harrow", "given" : "Jennifer", "non-dropping-particle" : "", "parse-names" : false, "suffix" : "" }, { "dropping-particle" : "", "family" : "Herrero", "given" : "Javier", "non-dropping-particle" : "", "parse-names" : false, "suffix" : "" }, { "dropping-particle" : "", "family" : "Hubbard", "given" : "Tim J P", "non-dropping-particle" : "", "parse-names" : false, "suffix" : "" }, { "dropping-particle" : "", "family" : "Johnson", "given" : "Nathan", "non-dropping-particle" : "", "parse-names" : false, "suffix" : "" }, { "dropping-particle" : "", "family" : "Kinsella", "given" : "Rhoda", "non-dropping-particle" : "", "parse-names" : false, "suffix" : "" }, { "dropping-particle" : "", "family" : "Parker", "given" : "Anne", "non-dropping-particle" : "", "parse-names" : false, "suffix" : "" }, { "dropping-particle" : "", "family" : "Spudich", "given" : "Giulietta", "non-dropping-particle" : "", "parse-names" : false, "suffix" : "" }, { "dropping-particle" : "", "family" : "Yates", "given" : "Andy", "non-dropping-particle" : "", "parse-names" : false, "suffix" : "" }, { "dropping-particle" : "", "family" : "Zadissa", "given" : "Amonida", "non-dropping-particle" : "", "parse-names" : false, "suffix" : "" }, { "dropping-particle" : "", "family" : "Searle", "given" : "Stephen M J", "non-dropping-particle" : "", "parse-names" : false, "suffix" : "" } ], "container-title" : "Nucleic acids research", "id" : "ITEM-1", "issue" : "Database issue", "issued" : { "date-parts" : [ [ "2013", "1" ] ] }, "page" : "D48-55", "title" : "Ensembl 2013.", "type" : "article-journal", "volume" : "41" }, "uris" : [ "http://www.mendeley.com/documents/?uuid=dfd9c28e-ed3b-450f-bfb1-301ce31ebcff" ] } ], "mendeley" : { "formattedCitation" : "(Flicek et al. 2013)", "plainTextFormattedCitation" : "(Flicek et al. 2013)", "previouslyFormattedCitation" : "(Flicek et al. 2013)" }, "properties" : { "noteIndex" : 0 }, "schema" : "https://github.com/citation-style-language/schema/raw/master/csl-citation.json" }</w:instrText>
      </w:r>
      <w:r>
        <w:rPr>
          <w:rFonts w:eastAsia="Times New Roman"/>
          <w:szCs w:val="20"/>
        </w:rPr>
        <w:fldChar w:fldCharType="separate"/>
      </w:r>
      <w:r w:rsidR="00E7592E" w:rsidRPr="00E7592E">
        <w:rPr>
          <w:rFonts w:eastAsia="Times New Roman"/>
          <w:noProof/>
          <w:szCs w:val="20"/>
        </w:rPr>
        <w:t>(Flicek et al. 2013)</w:t>
      </w:r>
      <w:r>
        <w:rPr>
          <w:rFonts w:eastAsia="Times New Roman"/>
          <w:szCs w:val="20"/>
        </w:rPr>
        <w:fldChar w:fldCharType="end"/>
      </w:r>
      <w:r w:rsidRPr="00AA0BCB">
        <w:rPr>
          <w:rFonts w:eastAsia="Times New Roman"/>
          <w:szCs w:val="20"/>
        </w:rPr>
        <w:t xml:space="preserve"> browsers.</w:t>
      </w:r>
    </w:p>
    <w:p w14:paraId="27802B33" w14:textId="77777777" w:rsidR="004142E7" w:rsidRDefault="004142E7" w:rsidP="004142E7">
      <w:pPr>
        <w:pStyle w:val="Heading3"/>
      </w:pPr>
      <w:bookmarkStart w:id="33" w:name="_Ref258146084"/>
      <w:bookmarkStart w:id="34" w:name="_Toc268963854"/>
      <w:bookmarkStart w:id="35" w:name="_Toc289421717"/>
      <w:r>
        <w:t>Miseq validation</w:t>
      </w:r>
      <w:bookmarkEnd w:id="33"/>
      <w:bookmarkEnd w:id="34"/>
      <w:bookmarkEnd w:id="35"/>
    </w:p>
    <w:p w14:paraId="7B061067" w14:textId="09305C74" w:rsidR="004142E7" w:rsidRDefault="004142E7" w:rsidP="004142E7">
      <w:pPr>
        <w:rPr>
          <w:rFonts w:eastAsia="Times New Roman"/>
          <w:szCs w:val="20"/>
        </w:rPr>
      </w:pPr>
      <w:r w:rsidRPr="00BC3719">
        <w:rPr>
          <w:rFonts w:eastAsia="Times New Roman"/>
          <w:szCs w:val="20"/>
        </w:rPr>
        <w:t xml:space="preserve">PCR primers were designed for predicted </w:t>
      </w:r>
      <w:r w:rsidRPr="00BC3719">
        <w:rPr>
          <w:rFonts w:eastAsia="Times New Roman"/>
          <w:i/>
          <w:szCs w:val="20"/>
        </w:rPr>
        <w:t xml:space="preserve">de novo </w:t>
      </w:r>
      <w:r w:rsidRPr="00BC3719">
        <w:rPr>
          <w:rFonts w:eastAsia="Times New Roman"/>
          <w:szCs w:val="20"/>
        </w:rPr>
        <w:t>variants (</w:t>
      </w:r>
      <w:r w:rsidR="009775C3">
        <w:rPr>
          <w:rFonts w:eastAsia="Times New Roman"/>
          <w:b/>
          <w:szCs w:val="20"/>
        </w:rPr>
        <w:t>Supplemental T</w:t>
      </w:r>
      <w:r w:rsidR="00F37BB2">
        <w:rPr>
          <w:rFonts w:eastAsia="Times New Roman"/>
          <w:b/>
          <w:szCs w:val="20"/>
        </w:rPr>
        <w:t xml:space="preserve">able </w:t>
      </w:r>
      <w:r w:rsidR="009775C3">
        <w:rPr>
          <w:rFonts w:eastAsia="Times New Roman"/>
          <w:b/>
          <w:szCs w:val="20"/>
        </w:rPr>
        <w:t>2</w:t>
      </w:r>
      <w:r w:rsidRPr="00BC3719">
        <w:rPr>
          <w:rFonts w:eastAsia="Times New Roman"/>
          <w:szCs w:val="20"/>
        </w:rPr>
        <w:t>) using Primer3</w:t>
      </w:r>
      <w:r>
        <w:rPr>
          <w:rFonts w:eastAsia="Times New Roman"/>
          <w:szCs w:val="20"/>
        </w:rPr>
        <w:t xml:space="preserve"> software</w:t>
      </w:r>
      <w:r w:rsidRPr="00BC3719">
        <w:rPr>
          <w:rFonts w:eastAsia="Times New Roman"/>
          <w:szCs w:val="20"/>
        </w:rPr>
        <w:t>. PCR was performed on families using AmpliTaq Gold (Life Technologies). PCR amplicons were pooled per family member (separate pools for PCR products from father, mother and child)</w:t>
      </w:r>
      <w:r>
        <w:rPr>
          <w:rFonts w:eastAsia="Times New Roman"/>
          <w:szCs w:val="20"/>
        </w:rPr>
        <w:t xml:space="preserve"> and</w:t>
      </w:r>
      <w:r w:rsidRPr="00BC3719">
        <w:rPr>
          <w:rFonts w:eastAsia="Times New Roman"/>
          <w:szCs w:val="20"/>
        </w:rPr>
        <w:t xml:space="preserve"> MiSeq libraries were generated </w:t>
      </w:r>
      <w:r>
        <w:rPr>
          <w:rFonts w:eastAsia="Times New Roman"/>
          <w:szCs w:val="20"/>
        </w:rPr>
        <w:t xml:space="preserve">based </w:t>
      </w:r>
      <w:r w:rsidRPr="00BC3719">
        <w:rPr>
          <w:rFonts w:eastAsia="Times New Roman"/>
          <w:szCs w:val="20"/>
        </w:rPr>
        <w:t>on the PCR amplicon pools using Nextera DNA sample preparation reagents (Illumina). Libraries were sequenced on MiSeq in 2x250bp mode.</w:t>
      </w:r>
      <w:r>
        <w:rPr>
          <w:rFonts w:eastAsia="Times New Roman"/>
          <w:szCs w:val="20"/>
        </w:rPr>
        <w:t xml:space="preserve"> </w:t>
      </w:r>
    </w:p>
    <w:p w14:paraId="32B03E33" w14:textId="796EC7A4" w:rsidR="004142E7" w:rsidRDefault="004142E7" w:rsidP="004142E7">
      <w:r>
        <w:rPr>
          <w:rFonts w:eastAsia="Times New Roman"/>
          <w:szCs w:val="20"/>
        </w:rPr>
        <w:t xml:space="preserve">For </w:t>
      </w:r>
      <w:r>
        <w:rPr>
          <w:rFonts w:eastAsia="Times New Roman"/>
          <w:i/>
          <w:szCs w:val="20"/>
        </w:rPr>
        <w:t xml:space="preserve">de novo </w:t>
      </w:r>
      <w:r>
        <w:rPr>
          <w:rFonts w:eastAsia="Times New Roman"/>
          <w:szCs w:val="20"/>
        </w:rPr>
        <w:t xml:space="preserve">indels, </w:t>
      </w:r>
      <w:r w:rsidR="00C97810">
        <w:t>t</w:t>
      </w:r>
      <w:r>
        <w:t xml:space="preserve">he MiSeq sequence data were aligned to the UCSC human reference genome build37 using BWA </w:t>
      </w:r>
      <w:r>
        <w:fldChar w:fldCharType="begin" w:fldLock="1"/>
      </w:r>
      <w:r w:rsidR="006A6CF5">
        <w:instrText>ADDIN CSL_CITATION { "citationItems" : [ { "id" : "ITEM-1", "itemData" : { "DOI" : "10.1093/bioinformatics/btp698", "ISBN" : "1367-4803", "ISSN" : "1367-4811", "PMID" : "20080505", "abstract" : "MOTIVATION: Many programs for aligning short sequencing reads to a reference genome have been developed in the last 2 years. Most of them are very efficient for short reads but inefficient or not applicable for reads &gt;200 bp because the algorithms are heavily and specifically tuned for short queries with low sequencing error rate. However, some sequencing platforms already produce longer reads and others are expected to become available soon. For longer reads, hashing-based software such as BLAT and SSAHA2 remain the only choices. Nonetheless, these methods are substantially slower than short-read aligners in terms of aligned bases per unit time. RESULTS: We designed and implemented a new algorithm, Burrows-Wheeler Aligner's Smith-Waterman Alignment (BWA-SW), to align long sequences up to 1 Mb against a large sequence database (e.g. the human genome) with a few gigabytes of memory. The algorithm is as accurate as SSAHA2, more accurate than BLAT, and is several to tens of times faster than both. AVAILABILITY: http://bio-bwa.sourceforge.net", "author" : [ { "dropping-particle" : "", "family" : "Li", "given" : "Heng", "non-dropping-particle" : "", "parse-names" : false, "suffix" : "" }, { "dropping-particle" : "", "family" : "Durbin", "given" : "Richard", "non-dropping-particle" : "", "parse-names" : false, "suffix" : "" } ], "container-title" : "Bioinformatics (Oxford, England)", "id" : "ITEM-1", "issued" : { "date-parts" : [ [ "2010" ] ] }, "page" : "589-595", "title" : "Fast and accurate long-read alignment with Burrows-Wheeler transform.", "type" : "article-journal", "volume" : "26" }, "uris" : [ "http://www.mendeley.com/documents/?uuid=c30dc029-b5dc-4ea5-8a68-f1bdd476a4dc" ] } ], "mendeley" : { "formattedCitation" : "(Li and Durbin 2010)", "plainTextFormattedCitation" : "(Li and Durbin 2010)", "previouslyFormattedCitation" : "(Li and Durbin 2010)" }, "properties" : { "noteIndex" : 0 }, "schema" : "https://github.com/citation-style-language/schema/raw/master/csl-citation.json" }</w:instrText>
      </w:r>
      <w:r>
        <w:fldChar w:fldCharType="separate"/>
      </w:r>
      <w:r w:rsidR="00E7592E" w:rsidRPr="00E7592E">
        <w:rPr>
          <w:noProof/>
        </w:rPr>
        <w:t>(Li and Durbin 2010)</w:t>
      </w:r>
      <w:r>
        <w:fldChar w:fldCharType="end"/>
      </w:r>
      <w:r>
        <w:t xml:space="preserve"> and variants were genotyped using both GATK </w:t>
      </w:r>
      <w:r w:rsidRPr="00AA0BCB">
        <w:t>UnifiedGenotyper</w:t>
      </w:r>
      <w:r>
        <w:t xml:space="preserve"> and GATK </w:t>
      </w:r>
      <w:r w:rsidRPr="00AA0BCB">
        <w:t>HaplotypeCaller</w:t>
      </w:r>
      <w:r>
        <w:t xml:space="preserve">. Only genotypes concordant between both methods with a genotype quality (GQ) &gt;Q30 and at least 20x coverage in the parents and 15x in the child were considered informative. </w:t>
      </w:r>
    </w:p>
    <w:p w14:paraId="2E4EEAE4" w14:textId="77777777" w:rsidR="004142E7" w:rsidRPr="00A068D3" w:rsidRDefault="004142E7" w:rsidP="004142E7">
      <w:r>
        <w:rPr>
          <w:rFonts w:eastAsia="Times New Roman"/>
          <w:szCs w:val="20"/>
        </w:rPr>
        <w:t xml:space="preserve">For </w:t>
      </w:r>
      <w:r>
        <w:rPr>
          <w:rFonts w:eastAsia="Times New Roman"/>
          <w:i/>
          <w:szCs w:val="20"/>
        </w:rPr>
        <w:t xml:space="preserve">de </w:t>
      </w:r>
      <w:r w:rsidRPr="005A0A9C">
        <w:rPr>
          <w:rFonts w:eastAsia="Times New Roman"/>
          <w:i/>
          <w:szCs w:val="20"/>
        </w:rPr>
        <w:t>novo</w:t>
      </w:r>
      <w:r>
        <w:rPr>
          <w:rFonts w:eastAsia="Times New Roman"/>
          <w:szCs w:val="20"/>
        </w:rPr>
        <w:t xml:space="preserve"> SVs, r</w:t>
      </w:r>
      <w:r w:rsidRPr="003A3FEC">
        <w:rPr>
          <w:rFonts w:eastAsia="Times New Roman"/>
          <w:szCs w:val="20"/>
        </w:rPr>
        <w:t>eads</w:t>
      </w:r>
      <w:r>
        <w:rPr>
          <w:rFonts w:eastAsia="Times New Roman"/>
          <w:szCs w:val="20"/>
        </w:rPr>
        <w:t xml:space="preserve"> were mapped using BWA</w:t>
      </w:r>
      <w:r w:rsidRPr="00BC3719">
        <w:rPr>
          <w:rFonts w:eastAsia="Times New Roman"/>
          <w:szCs w:val="20"/>
        </w:rPr>
        <w:t xml:space="preserve">. Breakpoints were detected by performing local </w:t>
      </w:r>
      <w:r w:rsidRPr="00BC3719">
        <w:rPr>
          <w:rFonts w:eastAsia="Times New Roman"/>
          <w:i/>
          <w:szCs w:val="20"/>
        </w:rPr>
        <w:t>de novo</w:t>
      </w:r>
      <w:r w:rsidRPr="00BC3719">
        <w:rPr>
          <w:rFonts w:eastAsia="Times New Roman"/>
          <w:szCs w:val="20"/>
        </w:rPr>
        <w:t xml:space="preserve"> assembly of MiSeq reads followed by BLAST analysis of the assembled contig </w:t>
      </w:r>
      <w:r>
        <w:rPr>
          <w:rFonts w:eastAsia="Times New Roman"/>
          <w:szCs w:val="20"/>
        </w:rPr>
        <w:t>against the GRCh37 genome reference</w:t>
      </w:r>
      <w:r w:rsidRPr="00BC3719">
        <w:rPr>
          <w:rFonts w:eastAsia="Times New Roman"/>
          <w:szCs w:val="20"/>
        </w:rPr>
        <w:t>.</w:t>
      </w:r>
    </w:p>
    <w:p w14:paraId="249607CB" w14:textId="77777777" w:rsidR="004142E7" w:rsidRDefault="004142E7" w:rsidP="004142E7">
      <w:pPr>
        <w:pStyle w:val="Heading3"/>
      </w:pPr>
      <w:bookmarkStart w:id="36" w:name="_Ref258143063"/>
      <w:bookmarkStart w:id="37" w:name="_Toc268963855"/>
      <w:bookmarkStart w:id="38" w:name="_Toc289421718"/>
      <w:r>
        <w:t>IonTorrent validation</w:t>
      </w:r>
      <w:bookmarkEnd w:id="36"/>
      <w:bookmarkEnd w:id="37"/>
      <w:bookmarkEnd w:id="38"/>
    </w:p>
    <w:p w14:paraId="2AB5BDDB" w14:textId="77777777" w:rsidR="004142E7" w:rsidRDefault="004142E7" w:rsidP="004142E7">
      <w:r w:rsidRPr="003B0059">
        <w:t xml:space="preserve">A Fluidigm AccessArray was created from a list of candidate </w:t>
      </w:r>
      <w:r>
        <w:rPr>
          <w:i/>
        </w:rPr>
        <w:t>de novo</w:t>
      </w:r>
      <w:r>
        <w:t xml:space="preserve"> indels</w:t>
      </w:r>
      <w:r w:rsidRPr="003B0059">
        <w:t xml:space="preserve"> and library preparation was done according to </w:t>
      </w:r>
      <w:r>
        <w:t xml:space="preserve">the </w:t>
      </w:r>
      <w:r w:rsidRPr="003B0059">
        <w:t>Fluidigm protocol. These were sequenced on IonTorrent PGM</w:t>
      </w:r>
      <w:r>
        <w:t xml:space="preserve"> and the data were de-multiplex using a Perl script using first 10 bases as one of MID set barcodes</w:t>
      </w:r>
      <w:r w:rsidRPr="003B0059">
        <w:t>. The sequencing reads were mapped to the human genome reference build 37 using by TMAP aligner v. 3.4.1</w:t>
      </w:r>
      <w:r>
        <w:t xml:space="preserve"> (Life Technologies)</w:t>
      </w:r>
      <w:r w:rsidRPr="003B0059">
        <w:t xml:space="preserve">. The putative </w:t>
      </w:r>
      <w:r w:rsidRPr="00AA0BCB">
        <w:rPr>
          <w:i/>
        </w:rPr>
        <w:t>de novo</w:t>
      </w:r>
      <w:r w:rsidRPr="003B0059">
        <w:t xml:space="preserve"> </w:t>
      </w:r>
      <w:r>
        <w:t>indels</w:t>
      </w:r>
      <w:r w:rsidRPr="003B0059">
        <w:t xml:space="preserve"> were genotyped using the GATK </w:t>
      </w:r>
      <w:r w:rsidRPr="005A0A9C">
        <w:t>UnifiedGenotyper</w:t>
      </w:r>
      <w:r>
        <w:t xml:space="preserve"> and GATK </w:t>
      </w:r>
      <w:r w:rsidRPr="005A0A9C">
        <w:t>HaplotypeCaller</w:t>
      </w:r>
      <w:r w:rsidRPr="003B0059">
        <w:t xml:space="preserve">. Only calls </w:t>
      </w:r>
      <w:r>
        <w:t xml:space="preserve">concordant between both methods </w:t>
      </w:r>
      <w:r w:rsidRPr="003B0059">
        <w:t>with a genotype quality</w:t>
      </w:r>
      <w:r>
        <w:t xml:space="preserve"> (GQ)</w:t>
      </w:r>
      <w:r w:rsidRPr="003B0059">
        <w:t xml:space="preserve"> &gt;Q30 and at least 20x coverage</w:t>
      </w:r>
      <w:r>
        <w:t xml:space="preserve"> in the parents and 15x in the child</w:t>
      </w:r>
      <w:r w:rsidRPr="003B0059">
        <w:t xml:space="preserve"> were considered informative.</w:t>
      </w:r>
      <w:r>
        <w:t xml:space="preserve"> </w:t>
      </w:r>
    </w:p>
    <w:p w14:paraId="19413C80" w14:textId="251142C1" w:rsidR="004142E7" w:rsidRDefault="004142E7" w:rsidP="004142E7">
      <w:pPr>
        <w:pStyle w:val="Heading2"/>
      </w:pPr>
      <w:bookmarkStart w:id="39" w:name="_Toc268963856"/>
      <w:bookmarkStart w:id="40" w:name="_Toc289421719"/>
      <w:r>
        <w:rPr>
          <w:i/>
        </w:rPr>
        <w:t xml:space="preserve">De novo </w:t>
      </w:r>
      <w:r w:rsidRPr="003A3FEC">
        <w:t xml:space="preserve">indel </w:t>
      </w:r>
      <w:r w:rsidR="00916771">
        <w:t xml:space="preserve">validation </w:t>
      </w:r>
      <w:r>
        <w:t>results</w:t>
      </w:r>
      <w:bookmarkEnd w:id="39"/>
      <w:bookmarkEnd w:id="40"/>
    </w:p>
    <w:p w14:paraId="76BAA7FA" w14:textId="700A9346" w:rsidR="004142E7" w:rsidRDefault="004142E7" w:rsidP="004142E7">
      <w:r>
        <w:t>We assayed 1,</w:t>
      </w:r>
      <w:r w:rsidR="000C6B9B">
        <w:t>1</w:t>
      </w:r>
      <w:r w:rsidR="00C77AB4">
        <w:t>69</w:t>
      </w:r>
      <w:r w:rsidR="000C6B9B">
        <w:t xml:space="preserve"> </w:t>
      </w:r>
      <w:r>
        <w:t xml:space="preserve">candidate </w:t>
      </w:r>
      <w:r>
        <w:rPr>
          <w:i/>
        </w:rPr>
        <w:t xml:space="preserve">de novo </w:t>
      </w:r>
      <w:r>
        <w:t xml:space="preserve">indel sites in 99 children from 92 families (11 quartets with monozygotic twin pairs, 7 quartets with dizygotic twin pairs and 74 trios). In total </w:t>
      </w:r>
      <w:r w:rsidR="00C77AB4">
        <w:t>968</w:t>
      </w:r>
      <w:r w:rsidR="000145DA">
        <w:t xml:space="preserve"> </w:t>
      </w:r>
      <w:r>
        <w:t>were successfully re-sequenced and 2</w:t>
      </w:r>
      <w:r w:rsidR="00424DA9">
        <w:t>91</w:t>
      </w:r>
      <w:r>
        <w:t xml:space="preserve"> were confirmed as </w:t>
      </w:r>
      <w:r>
        <w:rPr>
          <w:i/>
        </w:rPr>
        <w:t>de novo</w:t>
      </w:r>
      <w:r w:rsidR="00420B66">
        <w:rPr>
          <w:i/>
        </w:rPr>
        <w:t xml:space="preserve"> </w:t>
      </w:r>
      <w:r w:rsidR="00420B66">
        <w:t>events</w:t>
      </w:r>
      <w:r>
        <w:t>. All 1</w:t>
      </w:r>
      <w:r w:rsidR="00424DA9">
        <w:t>53</w:t>
      </w:r>
      <w:r>
        <w:t xml:space="preserve"> sites (31 </w:t>
      </w:r>
      <w:r>
        <w:rPr>
          <w:i/>
        </w:rPr>
        <w:t xml:space="preserve">de </w:t>
      </w:r>
      <w:r w:rsidRPr="003A3FEC">
        <w:rPr>
          <w:i/>
        </w:rPr>
        <w:t>novo</w:t>
      </w:r>
      <w:r>
        <w:t xml:space="preserve">) </w:t>
      </w:r>
      <w:r w:rsidRPr="003A3FEC">
        <w:t>successfully</w:t>
      </w:r>
      <w:r>
        <w:t xml:space="preserve"> re-sequenced in families with monozygotic twin pairs had concordant results between the two twins. We used 3 technologies (</w:t>
      </w:r>
      <w:r>
        <w:rPr>
          <w:b/>
        </w:rPr>
        <w:t xml:space="preserve">section </w:t>
      </w:r>
      <w:r w:rsidR="00D553C4">
        <w:rPr>
          <w:b/>
        </w:rPr>
        <w:fldChar w:fldCharType="begin"/>
      </w:r>
      <w:r w:rsidR="00D553C4">
        <w:rPr>
          <w:b/>
        </w:rPr>
        <w:instrText xml:space="preserve"> REF _Ref258161141 \r \h </w:instrText>
      </w:r>
      <w:r w:rsidR="00D553C4">
        <w:rPr>
          <w:b/>
        </w:rPr>
      </w:r>
      <w:r w:rsidR="00D553C4">
        <w:rPr>
          <w:b/>
        </w:rPr>
        <w:fldChar w:fldCharType="separate"/>
      </w:r>
      <w:r w:rsidR="004A1973">
        <w:rPr>
          <w:b/>
        </w:rPr>
        <w:t>3.1</w:t>
      </w:r>
      <w:r w:rsidR="00D553C4">
        <w:rPr>
          <w:b/>
        </w:rPr>
        <w:fldChar w:fldCharType="end"/>
      </w:r>
      <w:r>
        <w:t>) for these assays:</w:t>
      </w:r>
    </w:p>
    <w:p w14:paraId="71CB2BD6" w14:textId="012DBF19" w:rsidR="004142E7" w:rsidRDefault="004142E7" w:rsidP="004142E7">
      <w:pPr>
        <w:pStyle w:val="ListParagraph"/>
        <w:numPr>
          <w:ilvl w:val="0"/>
          <w:numId w:val="11"/>
        </w:numPr>
      </w:pPr>
      <w:r>
        <w:t xml:space="preserve">41 sites were assayed using both Sanger and MiSeq. 29 sites were successfully assayed using both technologies and 17 were confirmed </w:t>
      </w:r>
      <w:r>
        <w:rPr>
          <w:i/>
        </w:rPr>
        <w:t>de novo</w:t>
      </w:r>
      <w:r>
        <w:t xml:space="preserve">. All calls were concordant between the two technologies. Another </w:t>
      </w:r>
      <w:r w:rsidR="00424DA9">
        <w:t xml:space="preserve">9 </w:t>
      </w:r>
      <w:r>
        <w:t xml:space="preserve">sites were successfully assayed on one technology and </w:t>
      </w:r>
      <w:r w:rsidR="00424DA9">
        <w:t xml:space="preserve">4 </w:t>
      </w:r>
      <w:r>
        <w:t xml:space="preserve">were confirmed </w:t>
      </w:r>
      <w:r>
        <w:rPr>
          <w:i/>
        </w:rPr>
        <w:t>de novo</w:t>
      </w:r>
      <w:r>
        <w:t>.</w:t>
      </w:r>
    </w:p>
    <w:p w14:paraId="1A5DA110" w14:textId="593057A5" w:rsidR="004142E7" w:rsidRPr="00420B66" w:rsidRDefault="004142E7" w:rsidP="004142E7">
      <w:pPr>
        <w:pStyle w:val="ListParagraph"/>
        <w:numPr>
          <w:ilvl w:val="0"/>
          <w:numId w:val="11"/>
        </w:numPr>
      </w:pPr>
      <w:r>
        <w:t>1,</w:t>
      </w:r>
      <w:r w:rsidR="00AE6067">
        <w:t>038</w:t>
      </w:r>
      <w:r w:rsidR="000C6B9B">
        <w:t xml:space="preserve"> </w:t>
      </w:r>
      <w:r>
        <w:t xml:space="preserve">sites were assayed using MiSeq. </w:t>
      </w:r>
      <w:r w:rsidR="00AE6067">
        <w:t>847</w:t>
      </w:r>
      <w:r w:rsidR="000C6B9B">
        <w:t xml:space="preserve"> </w:t>
      </w:r>
      <w:r>
        <w:t xml:space="preserve">sites produced enough sequence to be </w:t>
      </w:r>
      <w:r w:rsidRPr="00420B66">
        <w:t xml:space="preserve">informative and </w:t>
      </w:r>
      <w:r w:rsidR="00AE6067" w:rsidRPr="00420B66">
        <w:t>244</w:t>
      </w:r>
      <w:r w:rsidR="007B0BC5" w:rsidRPr="00420B66">
        <w:t xml:space="preserve"> </w:t>
      </w:r>
      <w:r w:rsidRPr="00420B66">
        <w:t xml:space="preserve">were confirmed </w:t>
      </w:r>
      <w:r w:rsidRPr="00420B66">
        <w:rPr>
          <w:i/>
        </w:rPr>
        <w:t>de novo</w:t>
      </w:r>
      <w:r w:rsidRPr="00420B66">
        <w:t>.</w:t>
      </w:r>
    </w:p>
    <w:p w14:paraId="14F8A115" w14:textId="66DFFDD8" w:rsidR="004142E7" w:rsidRDefault="00AE6067" w:rsidP="004142E7">
      <w:pPr>
        <w:pStyle w:val="ListParagraph"/>
        <w:numPr>
          <w:ilvl w:val="0"/>
          <w:numId w:val="11"/>
        </w:numPr>
      </w:pPr>
      <w:r w:rsidRPr="00420B66">
        <w:t>9</w:t>
      </w:r>
      <w:r w:rsidR="00C77AB4" w:rsidRPr="00420B66">
        <w:t>0</w:t>
      </w:r>
      <w:r w:rsidRPr="00420B66">
        <w:t xml:space="preserve"> </w:t>
      </w:r>
      <w:r w:rsidR="004142E7" w:rsidRPr="00420B66">
        <w:t>sites</w:t>
      </w:r>
      <w:r w:rsidR="004142E7">
        <w:t xml:space="preserve"> were assayed using IonTorrent. </w:t>
      </w:r>
      <w:r w:rsidR="00C77AB4">
        <w:t xml:space="preserve">83 </w:t>
      </w:r>
      <w:r w:rsidR="004142E7">
        <w:t xml:space="preserve">sites produced enough sequence to be informative and </w:t>
      </w:r>
      <w:r w:rsidR="00C77AB4">
        <w:t xml:space="preserve">26 </w:t>
      </w:r>
      <w:r w:rsidR="004142E7">
        <w:t xml:space="preserve">were confirmed </w:t>
      </w:r>
      <w:r w:rsidR="004142E7">
        <w:rPr>
          <w:i/>
        </w:rPr>
        <w:t>de novo</w:t>
      </w:r>
      <w:r w:rsidR="004142E7">
        <w:t>.</w:t>
      </w:r>
    </w:p>
    <w:p w14:paraId="5A46AB5D" w14:textId="41BF3351" w:rsidR="004779E2" w:rsidRPr="007D6378" w:rsidRDefault="00757615" w:rsidP="007D6378">
      <w:pPr>
        <w:rPr>
          <w:rFonts w:cs="Arial"/>
          <w:szCs w:val="20"/>
        </w:rPr>
      </w:pPr>
      <w:r w:rsidRPr="007D6378">
        <w:rPr>
          <w:rFonts w:cs="Arial"/>
          <w:szCs w:val="20"/>
        </w:rPr>
        <w:t>A relatively small subset</w:t>
      </w:r>
      <w:r w:rsidR="00916771" w:rsidRPr="007D6378">
        <w:rPr>
          <w:rFonts w:cs="Arial"/>
          <w:szCs w:val="20"/>
        </w:rPr>
        <w:t xml:space="preserve"> of indel candidates (n=201) </w:t>
      </w:r>
      <w:r w:rsidRPr="007D6378">
        <w:rPr>
          <w:rFonts w:cs="Arial"/>
          <w:szCs w:val="20"/>
        </w:rPr>
        <w:t>have</w:t>
      </w:r>
      <w:r w:rsidR="004779E2" w:rsidRPr="007D6378">
        <w:rPr>
          <w:rFonts w:cs="Arial"/>
          <w:szCs w:val="20"/>
        </w:rPr>
        <w:t xml:space="preserve"> </w:t>
      </w:r>
      <w:r w:rsidR="00916771" w:rsidRPr="007D6378">
        <w:rPr>
          <w:rFonts w:cs="Arial"/>
          <w:szCs w:val="20"/>
        </w:rPr>
        <w:t xml:space="preserve">failed validation due to problems with designing specific oligonucleotide primers, lack of robust amplification or ambiguous sequencing results. </w:t>
      </w:r>
      <w:r w:rsidRPr="007D6378">
        <w:rPr>
          <w:rFonts w:cs="Arial"/>
          <w:szCs w:val="20"/>
        </w:rPr>
        <w:t>The indel candidates that failed</w:t>
      </w:r>
      <w:r w:rsidR="00916771" w:rsidRPr="007D6378">
        <w:rPr>
          <w:rFonts w:cs="Arial"/>
          <w:szCs w:val="20"/>
        </w:rPr>
        <w:t xml:space="preserve"> </w:t>
      </w:r>
      <w:r w:rsidRPr="007D6378">
        <w:rPr>
          <w:rFonts w:cs="Arial"/>
          <w:szCs w:val="20"/>
        </w:rPr>
        <w:t xml:space="preserve">in the </w:t>
      </w:r>
      <w:r w:rsidR="00916771" w:rsidRPr="007D6378">
        <w:rPr>
          <w:rFonts w:cs="Arial"/>
          <w:szCs w:val="20"/>
        </w:rPr>
        <w:t xml:space="preserve">validation </w:t>
      </w:r>
      <w:r w:rsidRPr="007D6378">
        <w:rPr>
          <w:rFonts w:cs="Arial"/>
          <w:szCs w:val="20"/>
        </w:rPr>
        <w:t>assays</w:t>
      </w:r>
      <w:r w:rsidR="004779E2" w:rsidRPr="007D6378">
        <w:rPr>
          <w:rFonts w:cs="Arial"/>
          <w:szCs w:val="20"/>
        </w:rPr>
        <w:t xml:space="preserve"> </w:t>
      </w:r>
      <w:r w:rsidR="00916771" w:rsidRPr="007D6378">
        <w:rPr>
          <w:rFonts w:cs="Arial"/>
          <w:szCs w:val="20"/>
        </w:rPr>
        <w:t>were enriched in repetitive re</w:t>
      </w:r>
      <w:r w:rsidR="004779E2" w:rsidRPr="007D6378">
        <w:rPr>
          <w:rFonts w:cs="Arial"/>
          <w:szCs w:val="20"/>
        </w:rPr>
        <w:t>gions (27.9% vs 18.8%). Since successful assays exhibited a higher false-positive rate for repetitive regions</w:t>
      </w:r>
      <w:r w:rsidR="00916771" w:rsidRPr="007D6378">
        <w:rPr>
          <w:rFonts w:cs="Arial"/>
          <w:szCs w:val="20"/>
        </w:rPr>
        <w:t xml:space="preserve"> </w:t>
      </w:r>
      <w:r w:rsidR="004779E2" w:rsidRPr="007D6378">
        <w:rPr>
          <w:rFonts w:cs="Arial"/>
          <w:szCs w:val="20"/>
        </w:rPr>
        <w:t>(82.4% vs 63.1%), we decided not to assume a similar v</w:t>
      </w:r>
      <w:r w:rsidRPr="007D6378">
        <w:rPr>
          <w:rFonts w:cs="Arial"/>
          <w:szCs w:val="20"/>
        </w:rPr>
        <w:t>alidation rate for candidate indels with failed assays</w:t>
      </w:r>
      <w:r w:rsidR="004779E2" w:rsidRPr="007D6378">
        <w:rPr>
          <w:rFonts w:cs="Arial"/>
          <w:szCs w:val="20"/>
        </w:rPr>
        <w:t xml:space="preserve"> (to the rate obtained for successful assays) and present a conservative estimate of indel rate that is based only on confirmed events.</w:t>
      </w:r>
    </w:p>
    <w:p w14:paraId="214853EF" w14:textId="37CBB40E" w:rsidR="004142E7" w:rsidRPr="00FF12BE" w:rsidRDefault="002905DA" w:rsidP="004142E7">
      <w:pPr>
        <w:rPr>
          <w:rFonts w:cs="Arial"/>
          <w:color w:val="FF0000"/>
          <w:szCs w:val="20"/>
        </w:rPr>
      </w:pPr>
      <w:r w:rsidRPr="007D6378">
        <w:rPr>
          <w:rFonts w:cs="Arial"/>
          <w:szCs w:val="20"/>
        </w:rPr>
        <w:t xml:space="preserve">The 31 </w:t>
      </w:r>
      <w:r w:rsidRPr="007D6378">
        <w:rPr>
          <w:rFonts w:cs="Arial"/>
          <w:i/>
          <w:szCs w:val="20"/>
        </w:rPr>
        <w:t>de novo</w:t>
      </w:r>
      <w:r w:rsidR="00A144BF">
        <w:rPr>
          <w:rFonts w:cs="Arial"/>
          <w:szCs w:val="20"/>
        </w:rPr>
        <w:t xml:space="preserve"> mutations </w:t>
      </w:r>
      <w:r w:rsidRPr="007D6378">
        <w:rPr>
          <w:rFonts w:cs="Arial"/>
          <w:szCs w:val="20"/>
        </w:rPr>
        <w:t>observed in MZ twins were evenly distributed</w:t>
      </w:r>
      <w:r w:rsidRPr="00B67A54">
        <w:rPr>
          <w:rFonts w:cs="Arial"/>
          <w:szCs w:val="20"/>
        </w:rPr>
        <w:t xml:space="preserve"> across the different families (min=1, max=5, mean=3.1). </w:t>
      </w:r>
      <w:r w:rsidR="00A144BF">
        <w:rPr>
          <w:rFonts w:cs="Arial"/>
          <w:szCs w:val="20"/>
        </w:rPr>
        <w:t>We</w:t>
      </w:r>
      <w:r>
        <w:rPr>
          <w:rFonts w:cs="Arial"/>
          <w:szCs w:val="20"/>
        </w:rPr>
        <w:t xml:space="preserve"> did not detect a</w:t>
      </w:r>
      <w:r w:rsidRPr="00B67A54">
        <w:rPr>
          <w:rFonts w:cs="Arial"/>
          <w:szCs w:val="20"/>
        </w:rPr>
        <w:t xml:space="preserve"> significant difference in the number of mutations in families with twins when compared to those with a single offspring.</w:t>
      </w:r>
    </w:p>
    <w:p w14:paraId="6EC8BF3A" w14:textId="0AE537AD" w:rsidR="004142E7" w:rsidRPr="00420B66" w:rsidRDefault="004142E7" w:rsidP="004142E7">
      <w:pPr>
        <w:pStyle w:val="Heading2"/>
        <w:rPr>
          <w:color w:val="auto"/>
        </w:rPr>
      </w:pPr>
      <w:bookmarkStart w:id="41" w:name="_Toc268963857"/>
      <w:bookmarkStart w:id="42" w:name="_Toc289421720"/>
      <w:r>
        <w:rPr>
          <w:i/>
        </w:rPr>
        <w:t>De n</w:t>
      </w:r>
      <w:r w:rsidRPr="00420B66">
        <w:rPr>
          <w:i/>
          <w:color w:val="auto"/>
        </w:rPr>
        <w:t xml:space="preserve">ovo </w:t>
      </w:r>
      <w:r w:rsidRPr="00420B66">
        <w:rPr>
          <w:color w:val="auto"/>
        </w:rPr>
        <w:t xml:space="preserve">SV </w:t>
      </w:r>
      <w:r w:rsidR="00916771" w:rsidRPr="00420B66">
        <w:rPr>
          <w:color w:val="auto"/>
        </w:rPr>
        <w:t xml:space="preserve">validation </w:t>
      </w:r>
      <w:r w:rsidRPr="00420B66">
        <w:rPr>
          <w:color w:val="auto"/>
        </w:rPr>
        <w:t>results</w:t>
      </w:r>
      <w:bookmarkEnd w:id="41"/>
      <w:bookmarkEnd w:id="42"/>
    </w:p>
    <w:p w14:paraId="265D183F" w14:textId="70F15591" w:rsidR="004142E7" w:rsidRPr="0083605A" w:rsidRDefault="00EE0176" w:rsidP="004142E7">
      <w:r w:rsidRPr="00420B66">
        <w:rPr>
          <w:rFonts w:cs="Arial"/>
          <w:szCs w:val="20"/>
        </w:rPr>
        <w:t xml:space="preserve">We specifically aimed at detecting </w:t>
      </w:r>
      <w:r w:rsidRPr="00420B66">
        <w:rPr>
          <w:rFonts w:cs="Arial"/>
          <w:i/>
          <w:szCs w:val="20"/>
        </w:rPr>
        <w:t>de novo</w:t>
      </w:r>
      <w:r w:rsidRPr="00420B66">
        <w:rPr>
          <w:rFonts w:cs="Arial"/>
          <w:szCs w:val="20"/>
        </w:rPr>
        <w:t xml:space="preserve"> variants with high sensitivity. Therefore, even </w:t>
      </w:r>
      <w:r w:rsidRPr="00420B66">
        <w:rPr>
          <w:rFonts w:cs="Arial"/>
          <w:i/>
          <w:szCs w:val="20"/>
        </w:rPr>
        <w:t>de novo</w:t>
      </w:r>
      <w:r w:rsidRPr="00420B66">
        <w:rPr>
          <w:rFonts w:cs="Arial"/>
          <w:szCs w:val="20"/>
        </w:rPr>
        <w:t xml:space="preserve"> calls with marginal read support were still included for validation</w:t>
      </w:r>
      <w:r w:rsidRPr="00420B66">
        <w:t xml:space="preserve">. </w:t>
      </w:r>
      <w:r w:rsidR="004142E7">
        <w:t xml:space="preserve">The subsections below give the details of all validation experiments we undertook. </w:t>
      </w:r>
      <w:r w:rsidR="00BE76BA" w:rsidRPr="005C0479">
        <w:rPr>
          <w:b/>
        </w:rPr>
        <w:t xml:space="preserve">Supplemental </w:t>
      </w:r>
      <w:r w:rsidR="00F37BB2" w:rsidRPr="005C0479">
        <w:rPr>
          <w:b/>
        </w:rPr>
        <w:t xml:space="preserve">Figures 1 and </w:t>
      </w:r>
      <w:r w:rsidR="00B902E8" w:rsidRPr="005C0479">
        <w:rPr>
          <w:b/>
        </w:rPr>
        <w:t>2</w:t>
      </w:r>
      <w:r w:rsidR="004142E7">
        <w:t xml:space="preserve"> show the supporting evidence for all </w:t>
      </w:r>
      <w:r w:rsidR="004B4513">
        <w:t xml:space="preserve">41 </w:t>
      </w:r>
      <w:r w:rsidR="004142E7">
        <w:t xml:space="preserve">validated </w:t>
      </w:r>
      <w:r w:rsidR="004142E7">
        <w:rPr>
          <w:i/>
        </w:rPr>
        <w:t xml:space="preserve">de novo </w:t>
      </w:r>
      <w:r w:rsidR="004142E7">
        <w:t>SVs</w:t>
      </w:r>
      <w:r w:rsidR="0083605A">
        <w:t xml:space="preserve">. </w:t>
      </w:r>
    </w:p>
    <w:p w14:paraId="5C77EC3F" w14:textId="77777777" w:rsidR="004142E7" w:rsidRDefault="004142E7" w:rsidP="004142E7">
      <w:pPr>
        <w:pStyle w:val="Heading3"/>
      </w:pPr>
      <w:bookmarkStart w:id="43" w:name="_Toc268963858"/>
      <w:bookmarkStart w:id="44" w:name="_Toc289421721"/>
      <w:r>
        <w:t>Pilot validation of split-reads and discordant reads predictions</w:t>
      </w:r>
      <w:bookmarkEnd w:id="43"/>
      <w:bookmarkEnd w:id="44"/>
    </w:p>
    <w:p w14:paraId="7A53EBB6" w14:textId="74170BCF" w:rsidR="004142E7"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Pr>
          <w:rFonts w:cs="Arial"/>
          <w:szCs w:val="20"/>
        </w:rPr>
        <w:t xml:space="preserve">For an initial validation experiment we selected 39 candidate </w:t>
      </w:r>
      <w:r w:rsidR="004858A5">
        <w:rPr>
          <w:rFonts w:cs="Arial"/>
          <w:szCs w:val="20"/>
        </w:rPr>
        <w:t>SV</w:t>
      </w:r>
      <w:r>
        <w:rPr>
          <w:rFonts w:cs="Arial"/>
          <w:szCs w:val="20"/>
        </w:rPr>
        <w:t>s predicted by 1</w:t>
      </w:r>
      <w:r w:rsidR="004858A5">
        <w:rPr>
          <w:rFonts w:cs="Arial"/>
          <w:szCs w:val="20"/>
        </w:rPr>
        <w:t>-</w:t>
      </w:r>
      <w:r>
        <w:rPr>
          <w:rFonts w:cs="Arial"/>
          <w:szCs w:val="20"/>
        </w:rPr>
        <w:t>2</w:t>
      </w:r>
      <w:r w:rsidR="004858A5">
        <w:rPr>
          <w:rFonts w:cs="Arial"/>
          <w:szCs w:val="20"/>
        </w:rPr>
        <w:t>-</w:t>
      </w:r>
      <w:r>
        <w:rPr>
          <w:rFonts w:cs="Arial"/>
          <w:szCs w:val="20"/>
        </w:rPr>
        <w:t>3</w:t>
      </w:r>
      <w:r w:rsidR="004858A5">
        <w:rPr>
          <w:rFonts w:cs="Arial"/>
          <w:szCs w:val="20"/>
        </w:rPr>
        <w:t xml:space="preserve"> </w:t>
      </w:r>
      <w:r>
        <w:rPr>
          <w:rFonts w:cs="Arial"/>
          <w:szCs w:val="20"/>
        </w:rPr>
        <w:t>SV, BreakDancer, Pindel and Genome</w:t>
      </w:r>
      <w:r w:rsidR="00181BE8">
        <w:rPr>
          <w:rFonts w:cs="Arial"/>
          <w:szCs w:val="20"/>
        </w:rPr>
        <w:t xml:space="preserve"> </w:t>
      </w:r>
      <w:r>
        <w:rPr>
          <w:rFonts w:cs="Arial"/>
          <w:szCs w:val="20"/>
        </w:rPr>
        <w:t xml:space="preserve">STRiP. Although the majority of candidates were inherited (i.e. false negatives in the parents), three candidates were validated as true </w:t>
      </w:r>
      <w:r w:rsidRPr="0056384E">
        <w:rPr>
          <w:rFonts w:cs="Arial"/>
          <w:i/>
          <w:szCs w:val="20"/>
        </w:rPr>
        <w:t>de novo</w:t>
      </w:r>
      <w:r w:rsidRPr="0056384E">
        <w:rPr>
          <w:rFonts w:cs="Arial"/>
          <w:szCs w:val="20"/>
        </w:rPr>
        <w:t xml:space="preserve"> events,</w:t>
      </w:r>
      <w:r>
        <w:rPr>
          <w:rFonts w:cs="Arial"/>
          <w:szCs w:val="20"/>
        </w:rPr>
        <w:t xml:space="preserve"> confirming the presence of </w:t>
      </w:r>
      <w:r w:rsidRPr="0056384E">
        <w:rPr>
          <w:rFonts w:cs="Arial"/>
          <w:i/>
          <w:szCs w:val="20"/>
        </w:rPr>
        <w:t>de novo</w:t>
      </w:r>
      <w:r>
        <w:rPr>
          <w:rFonts w:cs="Arial"/>
          <w:szCs w:val="20"/>
        </w:rPr>
        <w:t xml:space="preserve"> variants in our callsets.</w:t>
      </w:r>
    </w:p>
    <w:p w14:paraId="00869C7B" w14:textId="77777777" w:rsidR="004142E7" w:rsidRDefault="004142E7" w:rsidP="004142E7">
      <w:pPr>
        <w:pStyle w:val="Heading3"/>
      </w:pPr>
      <w:bookmarkStart w:id="45" w:name="_Toc268963859"/>
      <w:bookmarkStart w:id="46" w:name="_Toc289421722"/>
      <w:r>
        <w:t>Large SVs / discordant pair and read depth approaches</w:t>
      </w:r>
      <w:bookmarkEnd w:id="45"/>
      <w:bookmarkEnd w:id="46"/>
    </w:p>
    <w:p w14:paraId="4555F508" w14:textId="176A1D67" w:rsidR="004142E7"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Pr>
          <w:rFonts w:cs="Arial"/>
          <w:szCs w:val="20"/>
        </w:rPr>
        <w:t>We checked 70 calls, predicted by discordant pair (1</w:t>
      </w:r>
      <w:r w:rsidR="00A528FD">
        <w:rPr>
          <w:rFonts w:cs="Arial"/>
          <w:szCs w:val="20"/>
        </w:rPr>
        <w:t>-</w:t>
      </w:r>
      <w:r>
        <w:rPr>
          <w:rFonts w:cs="Arial"/>
          <w:szCs w:val="20"/>
        </w:rPr>
        <w:t>2</w:t>
      </w:r>
      <w:r w:rsidR="00A528FD">
        <w:rPr>
          <w:rFonts w:cs="Arial"/>
          <w:szCs w:val="20"/>
        </w:rPr>
        <w:t>-</w:t>
      </w:r>
      <w:r>
        <w:rPr>
          <w:rFonts w:cs="Arial"/>
          <w:szCs w:val="20"/>
        </w:rPr>
        <w:t>3</w:t>
      </w:r>
      <w:r w:rsidR="00A528FD">
        <w:rPr>
          <w:rFonts w:cs="Arial"/>
          <w:szCs w:val="20"/>
        </w:rPr>
        <w:t xml:space="preserve"> </w:t>
      </w:r>
      <w:r>
        <w:rPr>
          <w:rFonts w:cs="Arial"/>
          <w:szCs w:val="20"/>
        </w:rPr>
        <w:t>SV, Br</w:t>
      </w:r>
      <w:r w:rsidR="00613F7E">
        <w:rPr>
          <w:rFonts w:cs="Arial"/>
          <w:szCs w:val="20"/>
        </w:rPr>
        <w:t>eakDancer), read density (DWAC-s</w:t>
      </w:r>
      <w:r>
        <w:rPr>
          <w:rFonts w:cs="Arial"/>
          <w:szCs w:val="20"/>
        </w:rPr>
        <w:t>eq, CNVnator) or combined (Genome</w:t>
      </w:r>
      <w:r w:rsidR="00181BE8">
        <w:rPr>
          <w:rFonts w:cs="Arial"/>
          <w:szCs w:val="20"/>
        </w:rPr>
        <w:t xml:space="preserve"> </w:t>
      </w:r>
      <w:r>
        <w:rPr>
          <w:rFonts w:cs="Arial"/>
          <w:szCs w:val="20"/>
        </w:rPr>
        <w:t xml:space="preserve">STRiP) approaches. Large (&gt;1kbp) discordant pair-based candidates were cross-checked for showing expected read density profiles. We validated another 12 events as </w:t>
      </w:r>
      <w:r w:rsidRPr="00AA0BCB">
        <w:rPr>
          <w:rFonts w:cs="Arial"/>
          <w:i/>
          <w:szCs w:val="20"/>
        </w:rPr>
        <w:t>de novo</w:t>
      </w:r>
      <w:r>
        <w:rPr>
          <w:rFonts w:cs="Arial"/>
          <w:szCs w:val="20"/>
        </w:rPr>
        <w:t>, including 11 sized above 1kbp.</w:t>
      </w:r>
    </w:p>
    <w:p w14:paraId="0DA603A2" w14:textId="77777777" w:rsidR="004142E7" w:rsidRDefault="004142E7" w:rsidP="004142E7">
      <w:pPr>
        <w:pStyle w:val="Heading3"/>
      </w:pPr>
      <w:bookmarkStart w:id="47" w:name="_Toc268963860"/>
      <w:bookmarkStart w:id="48" w:name="_Toc289421723"/>
      <w:r>
        <w:t>Large SVs / read depth-based methods</w:t>
      </w:r>
      <w:bookmarkEnd w:id="47"/>
      <w:bookmarkEnd w:id="48"/>
    </w:p>
    <w:p w14:paraId="7ABA8399" w14:textId="57323A69" w:rsidR="004142E7" w:rsidRDefault="004142E7" w:rsidP="004142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Pr>
          <w:rFonts w:cs="Arial"/>
          <w:szCs w:val="20"/>
        </w:rPr>
        <w:t>In an attempt to verify other large events we selected calls (n=69) exceeding 600 bases, which were called using at least one of the read-depth approaches (</w:t>
      </w:r>
      <w:r w:rsidR="00123935">
        <w:rPr>
          <w:rFonts w:cs="Arial"/>
          <w:szCs w:val="20"/>
        </w:rPr>
        <w:t>FACADE</w:t>
      </w:r>
      <w:r w:rsidR="00613F7E">
        <w:rPr>
          <w:rFonts w:cs="Arial"/>
          <w:szCs w:val="20"/>
        </w:rPr>
        <w:t>, DWAC-s</w:t>
      </w:r>
      <w:r>
        <w:rPr>
          <w:rFonts w:cs="Arial"/>
          <w:szCs w:val="20"/>
        </w:rPr>
        <w:t xml:space="preserve">eq, CNVnator), but not found by other methods. Inspection of the target regions using IGV browser </w:t>
      </w:r>
      <w:r>
        <w:rPr>
          <w:rFonts w:cs="Arial"/>
          <w:szCs w:val="20"/>
        </w:rPr>
        <w:fldChar w:fldCharType="begin" w:fldLock="1"/>
      </w:r>
      <w:r w:rsidR="006A6CF5">
        <w:rPr>
          <w:rFonts w:cs="Arial"/>
          <w:szCs w:val="20"/>
        </w:rPr>
        <w:instrText>ADDIN CSL_CITATION { "citationItems" : [ { "id" : "ITEM-1", "itemData" : { "DOI" : "10.1093/bib/bbs017", "ISSN" : "1477-4054", "PMID" : "22517427", "abstract" : "Data visualization is an essential component of genomic data analysis. However, the size and diversity of the data sets produced by today's sequencing and array-based profiling methods present major challenges to visualization tools. The Integrative Genomics Viewer (IGV) is a high-performance viewer that efficiently handles large heterogeneous data sets, while providing a smooth and intuitive user experience at all levels of genome resolution. A key characteristic of IGV is its focus on the integrative nature of genomic studies, with support for both array-based and next-generation sequencing data, and the integration of clinical and phenotypic data. Although IGV is often used to view genomic data from public sources, its primary emphasis is to support researchers who wish to visualize and explore their own data sets or those from colleagues. To that end, IGV supports flexible loading of local and remote data sets, and is optimized to provide high-performance data visualization and exploration on standard desktop systems. IGV is freely available for download from http://www.broadinstitute.org/igv, under a GNU LGPL open-source license.", "author" : [ { "dropping-particle" : "", "family" : "Thorvaldsd\u00f3ttir", "given" : "Helga", "non-dropping-particle" : "", "parse-names" : false, "suffix" : "" }, { "dropping-particle" : "", "family" : "Robinson", "given" : "James T", "non-dropping-particle" : "", "parse-names" : false, "suffix" : "" }, { "dropping-particle" : "", "family" : "Mesirov", "given" : "Jill P", "non-dropping-particle" : "", "parse-names" : false, "suffix" : "" } ], "container-title" : "Briefings in bioinformatics", "id" : "ITEM-1", "issue" : "2", "issued" : { "date-parts" : [ [ "2013", "3" ] ] }, "page" : "178-92", "title" : "Integrative Genomics Viewer (IGV): high-performance genomics data visualization and exploration.", "type" : "article-journal", "volume" : "14" }, "uris" : [ "http://www.mendeley.com/documents/?uuid=e424d2d6-3e3f-4817-9662-7ae36cf50603" ] } ], "mendeley" : { "formattedCitation" : "(Thorvaldsd\u00f3ttir et al. 2013)", "plainTextFormattedCitation" : "(Thorvaldsd\u00f3ttir et al. 2013)", "previouslyFormattedCitation" : "(Thorvaldsd\u00f3ttir et al. 2013)" }, "properties" : { "noteIndex" : 0 }, "schema" : "https://github.com/citation-style-language/schema/raw/master/csl-citation.json" }</w:instrText>
      </w:r>
      <w:r>
        <w:rPr>
          <w:rFonts w:cs="Arial"/>
          <w:szCs w:val="20"/>
        </w:rPr>
        <w:fldChar w:fldCharType="separate"/>
      </w:r>
      <w:r w:rsidR="00E7592E" w:rsidRPr="00E7592E">
        <w:rPr>
          <w:rFonts w:cs="Arial"/>
          <w:noProof/>
          <w:szCs w:val="20"/>
        </w:rPr>
        <w:t>(Thorvaldsdóttir et al. 2013)</w:t>
      </w:r>
      <w:r>
        <w:rPr>
          <w:rFonts w:cs="Arial"/>
          <w:szCs w:val="20"/>
        </w:rPr>
        <w:fldChar w:fldCharType="end"/>
      </w:r>
      <w:r w:rsidR="00613F7E">
        <w:rPr>
          <w:rFonts w:cs="Arial"/>
          <w:szCs w:val="20"/>
        </w:rPr>
        <w:t xml:space="preserve"> (IGV_check) or DWAC-s</w:t>
      </w:r>
      <w:r>
        <w:rPr>
          <w:rFonts w:cs="Arial"/>
          <w:szCs w:val="20"/>
        </w:rPr>
        <w:t xml:space="preserve">eq read depth profiles (RD_check) showed that these mostly represent inherited events where RD methods failed to make a call in one of the parents. None of the variants with only read-depth support were validated as </w:t>
      </w:r>
      <w:r>
        <w:rPr>
          <w:rFonts w:cs="Arial"/>
          <w:i/>
          <w:szCs w:val="20"/>
        </w:rPr>
        <w:t>de novo</w:t>
      </w:r>
      <w:r>
        <w:rPr>
          <w:rFonts w:cs="Arial"/>
          <w:szCs w:val="20"/>
        </w:rPr>
        <w:t>.</w:t>
      </w:r>
    </w:p>
    <w:p w14:paraId="60576CF5" w14:textId="77777777" w:rsidR="004142E7" w:rsidRDefault="004142E7" w:rsidP="004142E7">
      <w:pPr>
        <w:pStyle w:val="Heading3"/>
      </w:pPr>
      <w:bookmarkStart w:id="49" w:name="_Toc268963861"/>
      <w:bookmarkStart w:id="50" w:name="_Toc289421724"/>
      <w:r>
        <w:t>Short SVs produced by MATE-CLEVER</w:t>
      </w:r>
      <w:bookmarkEnd w:id="49"/>
      <w:bookmarkEnd w:id="50"/>
    </w:p>
    <w:p w14:paraId="14FBCDE5" w14:textId="0CAF1B5E" w:rsidR="004142E7" w:rsidRPr="005A0A9C" w:rsidRDefault="004142E7" w:rsidP="004142E7">
      <w:r>
        <w:t>We</w:t>
      </w:r>
      <w:r w:rsidRPr="00C91C12">
        <w:t xml:space="preserve"> used</w:t>
      </w:r>
      <w:r>
        <w:t xml:space="preserve"> the</w:t>
      </w:r>
      <w:r w:rsidRPr="00C91C12">
        <w:t xml:space="preserve"> </w:t>
      </w:r>
      <w:r w:rsidRPr="00AA0BCB">
        <w:rPr>
          <w:i/>
        </w:rPr>
        <w:t>de novo</w:t>
      </w:r>
      <w:r w:rsidRPr="00C91C12">
        <w:t xml:space="preserve"> calls from MATE-CLEVER described in </w:t>
      </w:r>
      <w:r>
        <w:t xml:space="preserve">an earlier publication </w:t>
      </w:r>
      <w:r>
        <w:fldChar w:fldCharType="begin" w:fldLock="1"/>
      </w:r>
      <w:r w:rsidR="00A92323">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fldChar w:fldCharType="separate"/>
      </w:r>
      <w:r w:rsidR="008B18A5" w:rsidRPr="008B18A5">
        <w:rPr>
          <w:noProof/>
        </w:rPr>
        <w:t>(Francioli et al. 2014)</w:t>
      </w:r>
      <w:r>
        <w:fldChar w:fldCharType="end"/>
      </w:r>
      <w:r>
        <w:t>. A total of 63 calls were tested by PCR/Mi</w:t>
      </w:r>
      <w:r w:rsidRPr="00C91C12">
        <w:t xml:space="preserve">Seq sequencing, </w:t>
      </w:r>
      <w:r>
        <w:t>and only</w:t>
      </w:r>
      <w:r w:rsidRPr="00C91C12">
        <w:t xml:space="preserve"> one additional 29 bp</w:t>
      </w:r>
      <w:r>
        <w:t xml:space="preserve"> deletion validated as</w:t>
      </w:r>
      <w:r w:rsidRPr="00C91C12">
        <w:t xml:space="preserve"> </w:t>
      </w:r>
      <w:r w:rsidRPr="00AA0BCB">
        <w:rPr>
          <w:i/>
        </w:rPr>
        <w:t>de novo</w:t>
      </w:r>
      <w:r w:rsidRPr="00C91C12">
        <w:t xml:space="preserve">. We analyzed the reasons for this low </w:t>
      </w:r>
      <w:r>
        <w:t>validation rate</w:t>
      </w:r>
      <w:r w:rsidRPr="00C91C12">
        <w:t xml:space="preserve"> and found that slightly different insert size distribution</w:t>
      </w:r>
      <w:r>
        <w:t>s</w:t>
      </w:r>
      <w:r w:rsidRPr="00C91C12">
        <w:t xml:space="preserve"> of different libraries lead to </w:t>
      </w:r>
      <w:r>
        <w:t>these</w:t>
      </w:r>
      <w:r w:rsidRPr="00C91C12">
        <w:t xml:space="preserve"> false positive calls. We adapted the MATE-CLEVER pipeline to be lane/library-aware and re-ran it as described in</w:t>
      </w:r>
      <w:r w:rsidRPr="00AA0BCB">
        <w:rPr>
          <w:b/>
        </w:rPr>
        <w:t xml:space="preserve"> Section </w:t>
      </w:r>
      <w:r w:rsidR="00D553C4">
        <w:rPr>
          <w:b/>
        </w:rPr>
        <w:t>1.6</w:t>
      </w:r>
      <w:r w:rsidRPr="00C91C12">
        <w:t xml:space="preserve">. </w:t>
      </w:r>
      <w:r>
        <w:t>The r</w:t>
      </w:r>
      <w:r w:rsidRPr="00C91C12">
        <w:t xml:space="preserve">esults of that run of MATE-CLEVER were included in </w:t>
      </w:r>
      <w:r>
        <w:t>the next round of validation</w:t>
      </w:r>
      <w:r w:rsidRPr="00C91C12">
        <w:t xml:space="preserve"> </w:t>
      </w:r>
      <w:r>
        <w:t>(</w:t>
      </w:r>
      <w:r w:rsidRPr="00AA0BCB">
        <w:rPr>
          <w:b/>
        </w:rPr>
        <w:t xml:space="preserve">Section </w:t>
      </w:r>
      <w:r w:rsidR="00E32C44" w:rsidRPr="00AA0BCB">
        <w:rPr>
          <w:b/>
        </w:rPr>
        <w:fldChar w:fldCharType="begin"/>
      </w:r>
      <w:r w:rsidR="00E32C44" w:rsidRPr="00AA0BCB">
        <w:rPr>
          <w:b/>
        </w:rPr>
        <w:instrText xml:space="preserve"> REF _Ref258853641 \r \h </w:instrText>
      </w:r>
      <w:r w:rsidR="00E32C44" w:rsidRPr="00AA0BCB">
        <w:rPr>
          <w:b/>
        </w:rPr>
      </w:r>
      <w:r w:rsidR="00E32C44" w:rsidRPr="00AA0BCB">
        <w:rPr>
          <w:b/>
        </w:rPr>
        <w:fldChar w:fldCharType="separate"/>
      </w:r>
      <w:r w:rsidR="004A1973">
        <w:rPr>
          <w:b/>
        </w:rPr>
        <w:t>3.3.5</w:t>
      </w:r>
      <w:r w:rsidR="00E32C44" w:rsidRPr="00AA0BCB">
        <w:rPr>
          <w:b/>
        </w:rPr>
        <w:fldChar w:fldCharType="end"/>
      </w:r>
      <w:r>
        <w:t>)</w:t>
      </w:r>
      <w:r w:rsidRPr="00C91C12">
        <w:t>.</w:t>
      </w:r>
    </w:p>
    <w:p w14:paraId="1B168A55" w14:textId="77777777" w:rsidR="004142E7" w:rsidRDefault="004142E7" w:rsidP="004142E7">
      <w:pPr>
        <w:pStyle w:val="Heading3"/>
      </w:pPr>
      <w:bookmarkStart w:id="51" w:name="_Ref258853641"/>
      <w:bookmarkStart w:id="52" w:name="_Toc268963862"/>
      <w:bookmarkStart w:id="53" w:name="_Toc289421725"/>
      <w:r>
        <w:t>Large scale validation</w:t>
      </w:r>
      <w:bookmarkEnd w:id="51"/>
      <w:bookmarkEnd w:id="52"/>
      <w:bookmarkEnd w:id="53"/>
    </w:p>
    <w:p w14:paraId="4AC5A4F0" w14:textId="777D4EB2" w:rsidR="004142E7" w:rsidRDefault="004142E7" w:rsidP="004142E7">
      <w:pPr>
        <w:rPr>
          <w:rFonts w:cs="Arial"/>
          <w:szCs w:val="20"/>
        </w:rPr>
      </w:pPr>
      <w:r>
        <w:rPr>
          <w:rFonts w:cs="Arial"/>
          <w:szCs w:val="20"/>
        </w:rPr>
        <w:t xml:space="preserve">We validated </w:t>
      </w:r>
      <w:r w:rsidR="00031A36">
        <w:rPr>
          <w:rFonts w:cs="Arial"/>
          <w:szCs w:val="20"/>
        </w:rPr>
        <w:t>the remaining</w:t>
      </w:r>
      <w:r>
        <w:rPr>
          <w:rFonts w:cs="Arial"/>
          <w:szCs w:val="20"/>
        </w:rPr>
        <w:t xml:space="preserve"> t</w:t>
      </w:r>
      <w:r w:rsidR="00145E6C">
        <w:rPr>
          <w:rFonts w:cs="Arial"/>
          <w:szCs w:val="20"/>
        </w:rPr>
        <w:t>wo</w:t>
      </w:r>
      <w:r>
        <w:rPr>
          <w:rFonts w:cs="Arial"/>
          <w:szCs w:val="20"/>
        </w:rPr>
        <w:t xml:space="preserve"> hundred </w:t>
      </w:r>
      <w:r w:rsidR="003B3EBC">
        <w:rPr>
          <w:rFonts w:cs="Arial"/>
          <w:szCs w:val="20"/>
        </w:rPr>
        <w:t xml:space="preserve">and sixty </w:t>
      </w:r>
      <w:r w:rsidR="00145E6C">
        <w:rPr>
          <w:rFonts w:cs="Arial"/>
          <w:szCs w:val="20"/>
        </w:rPr>
        <w:t xml:space="preserve">five </w:t>
      </w:r>
      <w:r w:rsidR="00031A36">
        <w:rPr>
          <w:rFonts w:cs="Arial"/>
          <w:szCs w:val="20"/>
        </w:rPr>
        <w:t>candidates</w:t>
      </w:r>
      <w:r>
        <w:rPr>
          <w:rFonts w:cs="Arial"/>
          <w:szCs w:val="20"/>
        </w:rPr>
        <w:t xml:space="preserve">. Another </w:t>
      </w:r>
      <w:r w:rsidR="00145E6C">
        <w:rPr>
          <w:rFonts w:cs="Arial"/>
          <w:szCs w:val="20"/>
        </w:rPr>
        <w:t>twenty</w:t>
      </w:r>
      <w:r>
        <w:rPr>
          <w:rFonts w:cs="Arial"/>
          <w:szCs w:val="20"/>
        </w:rPr>
        <w:t xml:space="preserve"> </w:t>
      </w:r>
      <w:r w:rsidRPr="0056384E">
        <w:rPr>
          <w:rFonts w:cs="Arial"/>
          <w:i/>
          <w:szCs w:val="20"/>
        </w:rPr>
        <w:t>de novo</w:t>
      </w:r>
      <w:r>
        <w:rPr>
          <w:rFonts w:cs="Arial"/>
          <w:szCs w:val="20"/>
        </w:rPr>
        <w:t xml:space="preserve"> events were confirmed in these validation rounds.</w:t>
      </w:r>
    </w:p>
    <w:p w14:paraId="1B555EA9" w14:textId="77777777" w:rsidR="004142E7" w:rsidRDefault="004142E7" w:rsidP="004142E7">
      <w:pPr>
        <w:pStyle w:val="Heading3"/>
      </w:pPr>
      <w:bookmarkStart w:id="54" w:name="_Toc268963863"/>
      <w:bookmarkStart w:id="55" w:name="_Toc289421726"/>
      <w:r>
        <w:t>Mobile element insertions validation</w:t>
      </w:r>
      <w:bookmarkEnd w:id="54"/>
      <w:bookmarkEnd w:id="55"/>
    </w:p>
    <w:p w14:paraId="3F3C8F58" w14:textId="0C7C9D4F" w:rsidR="00F476FC" w:rsidRDefault="004142E7" w:rsidP="004142E7">
      <w:r>
        <w:t xml:space="preserve">We identified 95 mobile element insertion (MEI) candidates, including </w:t>
      </w:r>
      <w:r w:rsidRPr="00471F0B">
        <w:t xml:space="preserve">61 </w:t>
      </w:r>
      <w:r>
        <w:t>LINEs</w:t>
      </w:r>
      <w:r w:rsidRPr="00471F0B">
        <w:t xml:space="preserve">, 30 </w:t>
      </w:r>
      <w:r>
        <w:t>SINEs</w:t>
      </w:r>
      <w:r w:rsidRPr="00471F0B">
        <w:t xml:space="preserve">, 3 </w:t>
      </w:r>
      <w:r>
        <w:t xml:space="preserve">SVA, </w:t>
      </w:r>
      <w:r w:rsidRPr="00471F0B">
        <w:t xml:space="preserve">1 </w:t>
      </w:r>
      <w:r>
        <w:t xml:space="preserve">HERV and attempted to validate them all. Oligonucleotide primers were designed for 5’- and 3’- breakpoints based on homologous sequences shared by discordant pairs belonging to regions upstream and downstream of a candidate integration site, respectively. All primers were PCR-amplified and sequenced using Sanger/Miseq. We could confirm </w:t>
      </w:r>
      <w:r w:rsidR="003B3EBC">
        <w:t xml:space="preserve">5 </w:t>
      </w:r>
      <w:r>
        <w:t xml:space="preserve">MEIs as </w:t>
      </w:r>
      <w:r>
        <w:rPr>
          <w:i/>
        </w:rPr>
        <w:t>de novo</w:t>
      </w:r>
      <w:r w:rsidR="003B3EBC" w:rsidRPr="00145E6C">
        <w:t xml:space="preserve"> (one more MEI was confirmed</w:t>
      </w:r>
      <w:r w:rsidR="00145E6C" w:rsidRPr="00145E6C">
        <w:t xml:space="preserve"> in 3.3.2</w:t>
      </w:r>
      <w:r w:rsidR="003B3EBC" w:rsidRPr="00145E6C">
        <w:t>)</w:t>
      </w:r>
      <w:r w:rsidR="00923FCE">
        <w:t>, all SINE</w:t>
      </w:r>
      <w:r w:rsidR="001242AA">
        <w:t>s</w:t>
      </w:r>
      <w:r>
        <w:t xml:space="preserve"> (</w:t>
      </w:r>
      <w:r w:rsidR="00E84ACB" w:rsidRPr="00031A36">
        <w:rPr>
          <w:b/>
        </w:rPr>
        <w:t xml:space="preserve">Supplemental </w:t>
      </w:r>
      <w:r w:rsidR="00A43AA4">
        <w:rPr>
          <w:b/>
        </w:rPr>
        <w:t>Figure</w:t>
      </w:r>
      <w:r w:rsidR="00B902E8" w:rsidRPr="00B902E8">
        <w:rPr>
          <w:b/>
        </w:rPr>
        <w:t xml:space="preserve"> 2</w:t>
      </w:r>
      <w:r>
        <w:t>).</w:t>
      </w:r>
    </w:p>
    <w:p w14:paraId="4B38584F" w14:textId="4280B305" w:rsidR="00F476FC" w:rsidRDefault="00F476FC" w:rsidP="00F476FC">
      <w:pPr>
        <w:pStyle w:val="Heading3"/>
      </w:pPr>
      <w:bookmarkStart w:id="56" w:name="_Toc289421727"/>
      <w:r>
        <w:t>Cross-validation using SNP array data</w:t>
      </w:r>
      <w:bookmarkEnd w:id="56"/>
    </w:p>
    <w:p w14:paraId="23D4C5FB" w14:textId="06699105" w:rsidR="00F476FC" w:rsidRDefault="00F476FC" w:rsidP="004142E7">
      <w:pPr>
        <w:rPr>
          <w:rFonts w:cs="Verdana"/>
          <w:szCs w:val="20"/>
        </w:rPr>
      </w:pPr>
      <w:r w:rsidRPr="001721F0">
        <w:rPr>
          <w:rFonts w:cs="Verdana"/>
          <w:szCs w:val="20"/>
        </w:rPr>
        <w:t xml:space="preserve">We analyzed genomic DNA of 57 GoNL family trios (171 individuals) using available high-density Illumina Omni1 Quad SNP arrays. We called </w:t>
      </w:r>
      <w:r w:rsidRPr="001721F0">
        <w:rPr>
          <w:rFonts w:cs="Verdana"/>
          <w:i/>
          <w:szCs w:val="20"/>
        </w:rPr>
        <w:t>de novo</w:t>
      </w:r>
      <w:r w:rsidRPr="001721F0">
        <w:rPr>
          <w:rFonts w:cs="Verdana"/>
          <w:szCs w:val="20"/>
        </w:rPr>
        <w:t xml:space="preserve"> CNVs in these data u</w:t>
      </w:r>
      <w:r>
        <w:rPr>
          <w:rFonts w:cs="Verdana"/>
          <w:szCs w:val="20"/>
        </w:rPr>
        <w:t xml:space="preserve">sing PennCNV (protocols downloaded from </w:t>
      </w:r>
      <w:r w:rsidRPr="00F476FC">
        <w:rPr>
          <w:rFonts w:cs="Verdana"/>
          <w:szCs w:val="20"/>
        </w:rPr>
        <w:t>http://www.openbioinformatics.or</w:t>
      </w:r>
      <w:r>
        <w:rPr>
          <w:rFonts w:cs="Verdana"/>
          <w:szCs w:val="20"/>
        </w:rPr>
        <w:t>g/penncnv</w:t>
      </w:r>
      <w:r w:rsidRPr="001721F0">
        <w:rPr>
          <w:rFonts w:cs="Verdana"/>
          <w:szCs w:val="20"/>
        </w:rPr>
        <w:t xml:space="preserve">). We confirmed the </w:t>
      </w:r>
      <w:r w:rsidRPr="001721F0">
        <w:rPr>
          <w:rFonts w:cs="Verdana"/>
          <w:i/>
          <w:szCs w:val="20"/>
        </w:rPr>
        <w:t>de novo</w:t>
      </w:r>
      <w:r w:rsidRPr="001721F0">
        <w:rPr>
          <w:rFonts w:cs="Verdana"/>
          <w:szCs w:val="20"/>
        </w:rPr>
        <w:t xml:space="preserve"> deletion (113kb) in sample gonl-42c (confidence score=6.1). Two additional </w:t>
      </w:r>
      <w:r w:rsidRPr="001721F0">
        <w:rPr>
          <w:rFonts w:cs="Verdana"/>
          <w:i/>
          <w:szCs w:val="20"/>
        </w:rPr>
        <w:t>de novo</w:t>
      </w:r>
      <w:r w:rsidRPr="001721F0">
        <w:rPr>
          <w:rFonts w:cs="Verdana"/>
          <w:szCs w:val="20"/>
        </w:rPr>
        <w:t xml:space="preserve"> variants (a duplication of 28kb in gonl-200c and a duplication of 44kb in gonl-125c) were not detected by PennCNV, probably because the</w:t>
      </w:r>
      <w:r>
        <w:rPr>
          <w:rFonts w:cs="Verdana"/>
          <w:szCs w:val="20"/>
        </w:rPr>
        <w:t xml:space="preserve"> small</w:t>
      </w:r>
      <w:r w:rsidRPr="001721F0">
        <w:rPr>
          <w:rFonts w:cs="Verdana"/>
          <w:szCs w:val="20"/>
        </w:rPr>
        <w:t xml:space="preserve"> amount of probes that covered these variants was too low (</w:t>
      </w:r>
      <w:r>
        <w:rPr>
          <w:rFonts w:cs="Verdana"/>
          <w:szCs w:val="20"/>
        </w:rPr>
        <w:t xml:space="preserve">below </w:t>
      </w:r>
      <w:r w:rsidRPr="001721F0">
        <w:rPr>
          <w:rFonts w:cs="Verdana"/>
          <w:szCs w:val="20"/>
        </w:rPr>
        <w:t>20</w:t>
      </w:r>
      <w:r>
        <w:rPr>
          <w:rFonts w:cs="Verdana"/>
          <w:szCs w:val="20"/>
        </w:rPr>
        <w:t xml:space="preserve"> probes, see </w:t>
      </w:r>
      <w:r w:rsidRPr="006165B5">
        <w:rPr>
          <w:rFonts w:cs="Verdana"/>
          <w:b/>
          <w:szCs w:val="20"/>
        </w:rPr>
        <w:t>Supplemental Table 2</w:t>
      </w:r>
      <w:r w:rsidRPr="001721F0">
        <w:rPr>
          <w:rFonts w:cs="Verdana"/>
          <w:szCs w:val="20"/>
        </w:rPr>
        <w:t xml:space="preserve">). Within these 57 trios with available array data we did not detect any additional </w:t>
      </w:r>
      <w:r w:rsidRPr="001721F0">
        <w:rPr>
          <w:rFonts w:cs="Verdana"/>
          <w:i/>
          <w:szCs w:val="20"/>
        </w:rPr>
        <w:t>de novo</w:t>
      </w:r>
      <w:r w:rsidRPr="001721F0">
        <w:rPr>
          <w:rFonts w:cs="Verdana"/>
          <w:szCs w:val="20"/>
        </w:rPr>
        <w:t xml:space="preserve"> SVs from the Illumina SNP array data beyond the SVs that were already found by WGS.</w:t>
      </w:r>
    </w:p>
    <w:p w14:paraId="4B1AA7DD" w14:textId="77777777" w:rsidR="00512B14" w:rsidRDefault="00512B14" w:rsidP="004142E7">
      <w:pPr>
        <w:rPr>
          <w:rFonts w:cs="Verdana"/>
          <w:szCs w:val="20"/>
        </w:rPr>
      </w:pPr>
    </w:p>
    <w:p w14:paraId="29AA7CDC" w14:textId="44C68745" w:rsidR="00512B14" w:rsidRDefault="00512B14" w:rsidP="00512B14">
      <w:pPr>
        <w:pStyle w:val="Heading3"/>
      </w:pPr>
      <w:bookmarkStart w:id="57" w:name="_Toc289421728"/>
      <w:r>
        <w:t>Precision of breakpoint prediction by SV calling tools</w:t>
      </w:r>
      <w:bookmarkEnd w:id="57"/>
    </w:p>
    <w:p w14:paraId="58A6A645" w14:textId="0F402D39" w:rsidR="00512B14" w:rsidRDefault="00512B14" w:rsidP="00512B14">
      <w:pPr>
        <w:widowControl w:val="0"/>
        <w:autoSpaceDE w:val="0"/>
        <w:autoSpaceDN w:val="0"/>
        <w:adjustRightInd w:val="0"/>
        <w:rPr>
          <w:rFonts w:cs="Verdana"/>
          <w:szCs w:val="20"/>
        </w:rPr>
      </w:pPr>
      <w:r w:rsidRPr="001C55EB">
        <w:rPr>
          <w:rFonts w:cs="Verdana"/>
          <w:szCs w:val="20"/>
        </w:rPr>
        <w:t>We compared the SV breakpoints based on validation with those predicted by various SV detection tools. This showed that the median deviation of the prediction and the validated breakpoint was 10 base pairs, ranging from an exact breakpoint prediction (by split-read methods) to 1 kb deviation (depth of coverage methods).</w:t>
      </w:r>
      <w:r>
        <w:rPr>
          <w:rFonts w:cs="Verdana"/>
          <w:szCs w:val="20"/>
        </w:rPr>
        <w:t xml:space="preserve"> See </w:t>
      </w:r>
      <w:r w:rsidRPr="00EC783F">
        <w:rPr>
          <w:rFonts w:cs="Verdana"/>
          <w:b/>
          <w:szCs w:val="20"/>
        </w:rPr>
        <w:t>Supplemental Table 2</w:t>
      </w:r>
      <w:r>
        <w:rPr>
          <w:rFonts w:cs="Verdana"/>
          <w:szCs w:val="20"/>
        </w:rPr>
        <w:t xml:space="preserve"> for details</w:t>
      </w:r>
      <w:r w:rsidRPr="001C55EB">
        <w:rPr>
          <w:rFonts w:cs="Verdana"/>
          <w:szCs w:val="20"/>
        </w:rPr>
        <w:t>.</w:t>
      </w:r>
    </w:p>
    <w:p w14:paraId="650D7212" w14:textId="77777777" w:rsidR="004E3C98" w:rsidRDefault="004E3C98" w:rsidP="00512B14">
      <w:pPr>
        <w:widowControl w:val="0"/>
        <w:autoSpaceDE w:val="0"/>
        <w:autoSpaceDN w:val="0"/>
        <w:adjustRightInd w:val="0"/>
        <w:rPr>
          <w:rFonts w:cs="Verdana"/>
          <w:szCs w:val="20"/>
        </w:rPr>
      </w:pPr>
    </w:p>
    <w:p w14:paraId="7788D351" w14:textId="3D37C11E" w:rsidR="004142E7" w:rsidRDefault="00C76657" w:rsidP="004142E7">
      <w:pPr>
        <w:pStyle w:val="Heading1"/>
      </w:pPr>
      <w:bookmarkStart w:id="58" w:name="_Toc289421729"/>
      <w:r>
        <w:t>Indel classification</w:t>
      </w:r>
      <w:bookmarkEnd w:id="58"/>
    </w:p>
    <w:p w14:paraId="399760FA" w14:textId="53C2F58D" w:rsidR="004142E7" w:rsidRDefault="004142E7" w:rsidP="004142E7">
      <w:r>
        <w:t xml:space="preserve">We used the classification proposed by Montgomery and al. </w:t>
      </w:r>
      <w:r>
        <w:fldChar w:fldCharType="begin" w:fldLock="1"/>
      </w:r>
      <w:r w:rsidR="006A6CF5">
        <w:instrText>ADDIN CSL_CITATION { "citationItems" : [ { "id" : "ITEM-1", "itemData" : { "DOI" : "10.1101/gr.148718.112", "author" : [ { "dropping-particle" : "", "family" : "Montgomery", "given" : "Stephen B", "non-dropping-particle" : "", "parse-names" : false, "suffix" : "" }, { "dropping-particle" : "", "family" : "Goode", "given" : "David L", "non-dropping-particle" : "", "parse-names" : false, "suffix" : "" }, { "dropping-particle" : "", "family" : "Kvikstad", "given" : "Erika", "non-dropping-particle" : "", "parse-names" : false, "suffix" : "" }, { "dropping-particle" : "", "family" : "Albers", "given" : "Cornelis A", "non-dropping-particle" : "", "parse-names" : false, "suffix" : "" }, { "dropping-particle" : "", "family" : "Zhang", "given" : "Zhengdong D", "non-dropping-particle" : "", "parse-names" : false, "suffix" : "" }, { "dropping-particle" : "", "family" : "Mu", "given" : "Xinmeng Jasmine", "non-dropping-particle" : "", "parse-names" : false, "suffix" : "" }, { "dropping-particle" : "", "family" : "Ananda", "given" : "Guruprasad", "non-dropping-particle" : "", "parse-names" : false, "suffix" : "" }, { "dropping-particle" : "", "family" : "Howie", "given" : "Bryan", "non-dropping-particle" : "", "parse-names" : false, "suffix" : "" }, { "dropping-particle" : "", "family" : "Karczewski", "given" : "Konrad J", "non-dropping-particle" : "", "parse-names" : false, "suffix" : "" }, { "dropping-particle" : "", "family" : "Smith", "given" : "Kevin S", "non-dropping-particle" : "", "parse-names" : false, "suffix" : "" }, { "dropping-particle" : "", "family" : "Anaya", "given" : "Vanessa", "non-dropping-particle" : "", "parse-names" : false, "suffix" : "" }, { "dropping-particle" : "", "family" : "Richardson", "given" : "Rhea", "non-dropping-particle" : "", "parse-names" : false, "suffix" : "" }, { "dropping-particle" : "", "family" : "Davis", "given" : "Joe", "non-dropping-particle" : "", "parse-names" : false, "suffix" : "" }, { "dropping-particle" : "", "family" : "Genomes", "given" : "The", "non-dropping-particle" : "", "parse-names" : false, "suffix" : "" }, { "dropping-particle" : "", "family" : "Consortium", "given" : "Project", "non-dropping-particle" : "", "parse-names" : false, "suffix" : "" }, { "dropping-particle" : "", "family" : "Makova", "given" : "Kateryna D", "non-dropping-particle" : "", "parse-names" : false, "suffix" : "" }, { "dropping-particle" : "", "family" : "Marchini", "given" : "Jonathan", "non-dropping-particle" : "", "parse-names" : false, "suffix" : "" }, { "dropping-particle" : "", "family" : "Mcvean", "given" : "Gil", "non-dropping-particle" : "", "parse-names" : false, "suffix" : "" }, { "dropping-particle" : "", "family" : "Lunter", "given" : "Gerton", "non-dropping-particle" : "", "parse-names" : false, "suffix" : "" } ], "id" : "ITEM-1", "issued" : { "date-parts" : [ [ "2013" ] ] }, "page" : "749-761", "title" : "deletion variants identified in 179 human genomes The origin , evolution , and functional impact of short insertion \u2013 deletion variants identified in 179 human genomes", "type" : "article-journal" }, "uris" : [ "http://www.mendeley.com/documents/?uuid=f7190c41-b8df-4c3c-ae3d-ad8d91ecf015" ] } ], "mendeley" : { "formattedCitation" : "(Montgomery et al. 2013)", "plainTextFormattedCitation" : "(Montgomery et al. 2013)", "previouslyFormattedCitation" : "(Montgomery et al. 2013)" }, "properties" : { "noteIndex" : 0 }, "schema" : "https://github.com/citation-style-language/schema/raw/master/csl-citation.json" }</w:instrText>
      </w:r>
      <w:r>
        <w:fldChar w:fldCharType="separate"/>
      </w:r>
      <w:r w:rsidR="00E7592E" w:rsidRPr="00E7592E">
        <w:rPr>
          <w:noProof/>
        </w:rPr>
        <w:t>(Montgomery et al. 2013)</w:t>
      </w:r>
      <w:r>
        <w:fldChar w:fldCharType="end"/>
      </w:r>
      <w:r>
        <w:t xml:space="preserve"> in order to classify our indels, except for (i) Predicted Hotspots (PR) that we did not use since they were not readily available and (ii) Complex indels that are new in our data. The indel classes we used were thus defined as follows:</w:t>
      </w:r>
    </w:p>
    <w:p w14:paraId="7F702C16" w14:textId="77777777" w:rsidR="004142E7" w:rsidRDefault="004142E7" w:rsidP="004142E7">
      <w:pPr>
        <w:pStyle w:val="ListParagraph"/>
        <w:numPr>
          <w:ilvl w:val="0"/>
          <w:numId w:val="12"/>
        </w:numPr>
      </w:pPr>
      <w:r>
        <w:t>HR: Indels in homopolymer runs of at least 6 identical nucleotides.</w:t>
      </w:r>
    </w:p>
    <w:p w14:paraId="0D583CF5" w14:textId="77777777" w:rsidR="004142E7" w:rsidRDefault="004142E7" w:rsidP="004142E7">
      <w:pPr>
        <w:pStyle w:val="ListParagraph"/>
        <w:numPr>
          <w:ilvl w:val="0"/>
          <w:numId w:val="12"/>
        </w:numPr>
      </w:pPr>
      <w:r>
        <w:t>TR: Indel in tandem repeats of at least</w:t>
      </w:r>
    </w:p>
    <w:p w14:paraId="0D274B50" w14:textId="77777777" w:rsidR="004142E7" w:rsidRDefault="004142E7" w:rsidP="004142E7">
      <w:pPr>
        <w:pStyle w:val="ListParagraph"/>
        <w:numPr>
          <w:ilvl w:val="1"/>
          <w:numId w:val="12"/>
        </w:numPr>
      </w:pPr>
      <w:r>
        <w:t>9 nucleotides for repeat unit of 2 nucleotides</w:t>
      </w:r>
    </w:p>
    <w:p w14:paraId="3780FA67" w14:textId="77777777" w:rsidR="004142E7" w:rsidRDefault="004142E7" w:rsidP="004142E7">
      <w:pPr>
        <w:pStyle w:val="ListParagraph"/>
        <w:numPr>
          <w:ilvl w:val="1"/>
          <w:numId w:val="12"/>
        </w:numPr>
      </w:pPr>
      <w:r>
        <w:t>12 nucleotides for repeat unit of 3 nucleotides</w:t>
      </w:r>
    </w:p>
    <w:p w14:paraId="6A13200D" w14:textId="77777777" w:rsidR="004142E7" w:rsidRDefault="004142E7" w:rsidP="004142E7">
      <w:pPr>
        <w:pStyle w:val="ListParagraph"/>
        <w:numPr>
          <w:ilvl w:val="1"/>
          <w:numId w:val="12"/>
        </w:numPr>
      </w:pPr>
      <w:r>
        <w:t>14 nucleotides for repeat unit of 4 nucleotides</w:t>
      </w:r>
    </w:p>
    <w:p w14:paraId="7AC17C5E" w14:textId="77777777" w:rsidR="004142E7" w:rsidRDefault="004142E7" w:rsidP="004142E7">
      <w:pPr>
        <w:pStyle w:val="ListParagraph"/>
        <w:numPr>
          <w:ilvl w:val="1"/>
          <w:numId w:val="12"/>
        </w:numPr>
      </w:pPr>
      <w:r>
        <w:t>15 nucleotides for repeat unit of 5 nucleotides</w:t>
      </w:r>
    </w:p>
    <w:p w14:paraId="6BCD26B2" w14:textId="77777777" w:rsidR="004142E7" w:rsidRDefault="004142E7" w:rsidP="004142E7">
      <w:pPr>
        <w:pStyle w:val="ListParagraph"/>
        <w:numPr>
          <w:ilvl w:val="1"/>
          <w:numId w:val="12"/>
        </w:numPr>
      </w:pPr>
      <w:r>
        <w:t>17 nucleotides for repeat unit of 6 nucleotides</w:t>
      </w:r>
    </w:p>
    <w:p w14:paraId="385260F1" w14:textId="77777777" w:rsidR="004142E7" w:rsidRDefault="004142E7" w:rsidP="004142E7">
      <w:pPr>
        <w:pStyle w:val="ListParagraph"/>
        <w:numPr>
          <w:ilvl w:val="1"/>
          <w:numId w:val="12"/>
        </w:numPr>
      </w:pPr>
      <w:r>
        <w:t xml:space="preserve">19 nucleotides for repeat unit </w:t>
      </w:r>
      <w:r>
        <w:rPr>
          <w:rFonts w:cs="Arial"/>
        </w:rPr>
        <w:t>≥</w:t>
      </w:r>
      <w:r>
        <w:t>7 nucleotides</w:t>
      </w:r>
    </w:p>
    <w:p w14:paraId="4B5DD524" w14:textId="77777777" w:rsidR="004142E7" w:rsidRDefault="004142E7" w:rsidP="004142E7">
      <w:pPr>
        <w:pStyle w:val="ListParagraph"/>
        <w:numPr>
          <w:ilvl w:val="0"/>
          <w:numId w:val="12"/>
        </w:numPr>
      </w:pPr>
      <w:r>
        <w:t>NR, CCC: Indels in non-repeat regions (not HR nor TR) but inducing a local change in copy count.</w:t>
      </w:r>
    </w:p>
    <w:p w14:paraId="69C6ACE1" w14:textId="77777777" w:rsidR="004142E7" w:rsidRDefault="004142E7" w:rsidP="004142E7">
      <w:pPr>
        <w:pStyle w:val="ListParagraph"/>
        <w:numPr>
          <w:ilvl w:val="0"/>
          <w:numId w:val="12"/>
        </w:numPr>
      </w:pPr>
      <w:r>
        <w:t>NR, non-CCC: Indels in non-repeat regions (not HR nor TR) which do not introduce a local change in copy count</w:t>
      </w:r>
    </w:p>
    <w:p w14:paraId="05E315AC" w14:textId="77777777" w:rsidR="004142E7" w:rsidRDefault="004142E7" w:rsidP="004142E7">
      <w:pPr>
        <w:pStyle w:val="ListParagraph"/>
      </w:pPr>
      <w:r>
        <w:t xml:space="preserve">Complex: Indels substituting multiple bases for others </w:t>
      </w:r>
    </w:p>
    <w:p w14:paraId="28C87891" w14:textId="77777777" w:rsidR="00A16B8E" w:rsidRDefault="00A16B8E" w:rsidP="004142E7">
      <w:pPr>
        <w:pStyle w:val="ListParagraph"/>
      </w:pPr>
    </w:p>
    <w:p w14:paraId="2DC61750" w14:textId="0A3AE471" w:rsidR="00A16B8E" w:rsidRPr="005A0A9C" w:rsidRDefault="00A16B8E" w:rsidP="00031A36">
      <w:r>
        <w:t>Homopolymer runs were annotated using the GATK VariantAnnotator. Tandem repeats were found using Sciroko</w:t>
      </w:r>
      <w:r w:rsidR="00CD51BF">
        <w:t xml:space="preserve"> </w:t>
      </w:r>
      <w:r w:rsidR="00FD1A28">
        <w:fldChar w:fldCharType="begin" w:fldLock="1"/>
      </w:r>
      <w:r w:rsidR="008B18A5">
        <w:instrText>ADDIN CSL_CITATION { "citationItems" : [ { "id" : "ITEM-1", "itemData" : { "DOI" : "10.1093/bioinformatics/btm157", "ISSN" : "1367-4811", "PMID" : "17463017", "abstract" : "UNLABELLED: SciRoKo is a user-friendly software tool for the identification of microsatellites in genomic sequences. The combination of an extremely fast search algorithm with a built-in summary statistic tool makes SciRoKo an excellent tool for full genome analysis. Compared to other already existing tools, SciRoKo also allows the analysis of compound microsatellites. AVAILABILITY: free for use: www.kofler.or.at/Bioinformatics. SUPPLEMENTARY INFORMATION: Supplementary data are available at Bioinformatics online.", "author" : [ { "dropping-particle" : "", "family" : "Kofler", "given" : "Robert", "non-dropping-particle" : "", "parse-names" : false, "suffix" : "" }, { "dropping-particle" : "", "family" : "Schl\u00f6tterer", "given" : "Christian", "non-dropping-particle" : "", "parse-names" : false, "suffix" : "" }, { "dropping-particle" : "", "family" : "Lelley", "given" : "Tamas", "non-dropping-particle" : "", "parse-names" : false, "suffix" : "" } ], "container-title" : "Bioinformatics", "id" : "ITEM-1", "issue" : "13", "issued" : { "date-parts" : [ [ "2007", "7", "1" ] ] }, "page" : "1683-5", "title" : "SciRoKo: a new tool for whole genome microsatellite search and investigation.", "type" : "article-journal", "volume" : "23" }, "uris" : [ "http://www.mendeley.com/documents/?uuid=b6e0049f-d84f-4e90-bae0-1e89704e7de3", "http://www.mendeley.com/documents/?uuid=8f88a893-97da-4c88-8eca-7575a0add01f" ] } ], "mendeley" : { "formattedCitation" : "(Kofler et al. 2007)", "plainTextFormattedCitation" : "(Kofler et al. 2007)", "previouslyFormattedCitation" : "(Kofler et al. 2007)" }, "properties" : { "noteIndex" : 0 }, "schema" : "https://github.com/citation-style-language/schema/raw/master/csl-citation.json" }</w:instrText>
      </w:r>
      <w:r w:rsidR="00FD1A28">
        <w:fldChar w:fldCharType="separate"/>
      </w:r>
      <w:r w:rsidR="00FD1A28" w:rsidRPr="00FD1A28">
        <w:rPr>
          <w:noProof/>
        </w:rPr>
        <w:t>(Kofler et al. 2007)</w:t>
      </w:r>
      <w:r w:rsidR="00FD1A28">
        <w:fldChar w:fldCharType="end"/>
      </w:r>
      <w:r>
        <w:t xml:space="preserve"> (for TR of unit size &lt;7bp) and Tandem Repeat Finder</w:t>
      </w:r>
      <w:r w:rsidR="00CD51BF">
        <w:t xml:space="preserve"> </w:t>
      </w:r>
      <w:r w:rsidR="00FD1A28">
        <w:fldChar w:fldCharType="begin" w:fldLock="1"/>
      </w:r>
      <w:r w:rsidR="008B18A5">
        <w:instrText>ADDIN CSL_CITATION { "citationItems" : [ { "id" : "ITEM-1", "itemData" : { "DOI" : "10.1093/nar/27.2.573", "ISSN" : "0305-1048", "author" : [ { "dropping-particle" : "", "family" : "Benson", "given" : "G.", "non-dropping-particle" : "", "parse-names" : false, "suffix" : "" } ], "container-title" : "Nucleic Acids Research", "id" : "ITEM-1", "issue" : "2", "issued" : { "date-parts" : [ [ "1999", "1", "1" ] ] }, "page" : "573-580", "title" : "Tandem repeats finder: a program to analyze DNA sequences", "type" : "article-journal", "volume" : "27" }, "uris" : [ "http://www.mendeley.com/documents/?uuid=60f57a69-dd3d-4f27-b1d4-0010615d6f80", "http://www.mendeley.com/documents/?uuid=023a1665-fd66-4089-acfe-cccd008bb3f6" ] } ], "mendeley" : { "formattedCitation" : "(Benson 1999)", "plainTextFormattedCitation" : "(Benson 1999)", "previouslyFormattedCitation" : "(Benson 1999)" }, "properties" : { "noteIndex" : 0 }, "schema" : "https://github.com/citation-style-language/schema/raw/master/csl-citation.json" }</w:instrText>
      </w:r>
      <w:r w:rsidR="00FD1A28">
        <w:fldChar w:fldCharType="separate"/>
      </w:r>
      <w:r w:rsidR="00FD1A28" w:rsidRPr="00FD1A28">
        <w:rPr>
          <w:noProof/>
        </w:rPr>
        <w:t>(Benson 1999)</w:t>
      </w:r>
      <w:r w:rsidR="00FD1A28">
        <w:fldChar w:fldCharType="end"/>
      </w:r>
      <w:r>
        <w:t xml:space="preserve"> (for TR of larger unit size). We required perfect sequence identity for tandem repeats of unit size &lt;7bp and 90% sequence identity for tandem repeats of larger unit size.</w:t>
      </w:r>
    </w:p>
    <w:p w14:paraId="73C32A78" w14:textId="77777777" w:rsidR="004142E7" w:rsidRDefault="004142E7" w:rsidP="00C76657">
      <w:pPr>
        <w:pStyle w:val="Heading2"/>
      </w:pPr>
      <w:bookmarkStart w:id="59" w:name="_Toc268963874"/>
      <w:bookmarkStart w:id="60" w:name="_Toc289421730"/>
      <w:r>
        <w:t>Formation mechanism</w:t>
      </w:r>
      <w:bookmarkEnd w:id="59"/>
      <w:bookmarkEnd w:id="60"/>
    </w:p>
    <w:p w14:paraId="21412645" w14:textId="1D9F3B56" w:rsidR="004142E7" w:rsidRDefault="007467A0" w:rsidP="004142E7">
      <w:r>
        <w:t>We assumed that a</w:t>
      </w:r>
      <w:r w:rsidR="004142E7">
        <w:t>ll indels</w:t>
      </w:r>
      <w:r w:rsidR="00A16B8E">
        <w:t xml:space="preserve"> </w:t>
      </w:r>
      <w:r>
        <w:t xml:space="preserve">that are located </w:t>
      </w:r>
      <w:r w:rsidR="00A16B8E">
        <w:t xml:space="preserve">in repeat regions or </w:t>
      </w:r>
      <w:r>
        <w:t xml:space="preserve">that </w:t>
      </w:r>
      <w:r w:rsidR="00A16B8E">
        <w:t>lead to a copy count chance</w:t>
      </w:r>
      <w:r w:rsidR="004142E7">
        <w:t xml:space="preserve"> (HR, TR, NR CCC)</w:t>
      </w:r>
      <w:r w:rsidR="00A16B8E">
        <w:t>,</w:t>
      </w:r>
      <w:r w:rsidR="004142E7">
        <w:t xml:space="preserve"> have arisen by polymerase slippage. </w:t>
      </w:r>
    </w:p>
    <w:p w14:paraId="5B65F577" w14:textId="77777777" w:rsidR="004142E7" w:rsidRDefault="004142E7" w:rsidP="004142E7"/>
    <w:p w14:paraId="7186AC3F" w14:textId="454C7CC9" w:rsidR="004142E7" w:rsidRDefault="004142E7" w:rsidP="004142E7">
      <w:r>
        <w:t xml:space="preserve">For simple non copy count changing indels (NR non-CCC), we expect most of these to emerge through non-homologous end-joining (NHEJ) given the short size of these events and the breakpoints presenting little or no microhomology and therefore assigned NHEJ as a possible mechanism for all of these </w:t>
      </w:r>
      <w:r>
        <w:fldChar w:fldCharType="begin" w:fldLock="1"/>
      </w:r>
      <w:r w:rsidR="00A92323">
        <w:instrText>ADDIN CSL_CITATION { "citationItems" : [ { "id" : "ITEM-1", "itemData" : { "DOI" : "10.1038/nrg2593", "ISBN" : "1471-0064 (Electronic)\\r1471-0056 (Linking)", "ISSN" : "1471-0064", "PMID" : "19597530", "abstract" : "Deletions and duplications of chromosomal segments (copy number variants, CNVs) are a major source of variation between individual humans and are an underlying factor in human evolution and in many diseases, including mental illness, developmental disorders and cancer. CNVs form at a faster rate than other types of mutation, and seem to do so by similar mechanisms in bacteria, yeast and humans. Here we review current models of the mechanisms that cause copy number variation. Non-homologous end-joining mechanisms are well known, but recent models focus on perturbation of DNA replication and replication of non-contiguous DNA segments. For example, cellular stress might induce repair of broken replication forks to switch from high-fidelity homologous recombination to non-homologous repair, thus promoting copy number change.", "author" : [ { "dropping-particle" : "", "family" : "Hastings", "given" : "PJ", "non-dropping-particle" : "", "parse-names" : false, "suffix" : "" }, { "dropping-particle" : "", "family" : "Hastings", "given" : "PJ", "non-dropping-particle" : "", "parse-names" : false, "suffix" : "" }, { "dropping-particle" : "", "family" : "Lupski", "given" : "James R", "non-dropping-particle" : "", "parse-names" : false, "suffix" : "" }, { "dropping-particle" : "", "family" : "Lupski", "given" : "James R", "non-dropping-particle" : "", "parse-names" : false, "suffix" : "" }, { "dropping-particle" : "", "family" : "Rosenberg", "given" : "Susan M", "non-dropping-particle" : "", "parse-names" : false, "suffix" : "" }, { "dropping-particle" : "", "family" : "Rosenberg", "given" : "Susan M", "non-dropping-particle" : "", "parse-names" : false, "suffix" : "" }, { "dropping-particle" : "", "family" : "Ira", "given" : "Grzegorz", "non-dropping-particle" : "", "parse-names" : false, "suffix" : "" }, { "dropping-particle" : "", "family" : "Ira", "given" : "Grzegorz", "non-dropping-particle" : "", "parse-names" : false, "suffix" : "" } ], "container-title" : "Nature reviews. Genetics", "id" : "ITEM-1", "issue" : "8", "issued" : { "date-parts" : [ [ "2009" ] ] }, "page" : "551-564", "title" : "Mechanisms of change in gene copy number.", "type" : "article-journal", "volume" : "10" }, "uris" : [ "http://www.mendeley.com/documents/?uuid=533c3b53-6e17-4ee8-b14d-90b96a2fc019" ] } ], "mendeley" : { "formattedCitation" : "(Hastings et al. 2009)", "plainTextFormattedCitation" : "(Hastings et al. 2009)", "previouslyFormattedCitation" : "(Hastings et al. 2009)" }, "properties" : { "noteIndex" : 0 }, "schema" : "https://github.com/citation-style-language/schema/raw/master/csl-citation.json" }</w:instrText>
      </w:r>
      <w:r>
        <w:fldChar w:fldCharType="separate"/>
      </w:r>
      <w:r w:rsidR="00E7592E" w:rsidRPr="00E7592E">
        <w:rPr>
          <w:noProof/>
        </w:rPr>
        <w:t>(Hastings et al. 2009)</w:t>
      </w:r>
      <w:r>
        <w:fldChar w:fldCharType="end"/>
      </w:r>
      <w:r>
        <w:t>. In addition to NHEJ, we also</w:t>
      </w:r>
      <w:r w:rsidR="003E6F8E">
        <w:t xml:space="preserve"> </w:t>
      </w:r>
      <w:r>
        <w:t>looked whether some</w:t>
      </w:r>
      <w:r w:rsidR="006B278D">
        <w:t>:</w:t>
      </w:r>
    </w:p>
    <w:p w14:paraId="568ADACE" w14:textId="27E139BD" w:rsidR="004142E7" w:rsidRDefault="004142E7" w:rsidP="004142E7">
      <w:pPr>
        <w:pStyle w:val="ListParagraph"/>
        <w:numPr>
          <w:ilvl w:val="0"/>
          <w:numId w:val="16"/>
        </w:numPr>
      </w:pPr>
      <w:r>
        <w:t>contained larger microhomologies (&gt;3bp)</w:t>
      </w:r>
      <w:r w:rsidR="00A67F87">
        <w:t>,</w:t>
      </w:r>
      <w:r>
        <w:t xml:space="preserve"> possible signatures of replication slippage or microhomology-mediated end joining (MMEJ) </w:t>
      </w:r>
      <w:r>
        <w:fldChar w:fldCharType="begin" w:fldLock="1"/>
      </w:r>
      <w:r w:rsidR="00A92323">
        <w:instrText>ADDIN CSL_CITATION { "citationItems" : [ { "id" : "ITEM-1", "itemData" : { "DOI" : "10.1038/nrg2593", "ISBN" : "1471-0064 (Electronic)\\r1471-0056 (Linking)", "ISSN" : "1471-0064", "PMID" : "19597530", "abstract" : "Deletions and duplications of chromosomal segments (copy number variants, CNVs) are a major source of variation between individual humans and are an underlying factor in human evolution and in many diseases, including mental illness, developmental disorders and cancer. CNVs form at a faster rate than other types of mutation, and seem to do so by similar mechanisms in bacteria, yeast and humans. Here we review current models of the mechanisms that cause copy number variation. Non-homologous end-joining mechanisms are well known, but recent models focus on perturbation of DNA replication and replication of non-contiguous DNA segments. For example, cellular stress might induce repair of broken replication forks to switch from high-fidelity homologous recombination to non-homologous repair, thus promoting copy number change.", "author" : [ { "dropping-particle" : "", "family" : "Hastings", "given" : "PJ", "non-dropping-particle" : "", "parse-names" : false, "suffix" : "" }, { "dropping-particle" : "", "family" : "Hastings", "given" : "PJ", "non-dropping-particle" : "", "parse-names" : false, "suffix" : "" }, { "dropping-particle" : "", "family" : "Lupski", "given" : "James R", "non-dropping-particle" : "", "parse-names" : false, "suffix" : "" }, { "dropping-particle" : "", "family" : "Lupski", "given" : "James R", "non-dropping-particle" : "", "parse-names" : false, "suffix" : "" }, { "dropping-particle" : "", "family" : "Rosenberg", "given" : "Susan M", "non-dropping-particle" : "", "parse-names" : false, "suffix" : "" }, { "dropping-particle" : "", "family" : "Rosenberg", "given" : "Susan M", "non-dropping-particle" : "", "parse-names" : false, "suffix" : "" }, { "dropping-particle" : "", "family" : "Ira", "given" : "Grzegorz", "non-dropping-particle" : "", "parse-names" : false, "suffix" : "" }, { "dropping-particle" : "", "family" : "Ira", "given" : "Grzegorz", "non-dropping-particle" : "", "parse-names" : false, "suffix" : "" } ], "container-title" : "Nature reviews. Genetics", "id" : "ITEM-1", "issue" : "8", "issued" : { "date-parts" : [ [ "2009" ] ] }, "page" : "551-564", "title" : "Mechanisms of change in gene copy number.", "type" : "article-journal", "volume" : "10" }, "uris" : [ "http://www.mendeley.com/documents/?uuid=533c3b53-6e17-4ee8-b14d-90b96a2fc019" ] }, { "id" : "ITEM-2", "itemData" : { "author" : [ { "dropping-particle" : "", "family" : "Albertini", "given" : "M", "non-dropping-particle" : "", "parse-names" : false, "suffix" : "" }, { "dropping-particle" : "", "family" : "Hofer", "given" : "Murielle", "non-dropping-particle" : "", "parse-names" : false, "suffix" : "" }, { "dropping-particle" : "", "family" : "Calos", "given" : "Michele P", "non-dropping-particle" : "", "parse-names" : false, "suffix" : "" }, { "dropping-particle" : "", "family" : "Miller", "given" : "Jeffrey H", "non-dropping-particle" : "", "parse-names" : false, "suffix" : "" } ], "container-title" : "Cell", "id" : "ITEM-2", "issue" : "June", "issued" : { "date-parts" : [ [ "1982" ] ] }, "page" : "319-328", "title" : "On the formation of Spontaneous Deletions: The Importance of Short Sequence Homologies in the Generation of Large Deletions", "type" : "article-journal", "volume" : "29" }, "uris" : [ "http://www.mendeley.com/documents/?uuid=33abeaeb-e0fd-43b8-af37-1a02de42dc4c" ] }, { "id" : "ITEM-3", "itemData" : { "DOI" : "10.1016/j.tig.2008.08.007", "ISBN" : "0168-9525", "ISSN" : "01689525", "PMID" : "18809224", "abstract" : "DNA double-strand breaks are normal consequences of cell division and differentiation and must be repaired faithfully to maintain genome stability. Two mechanistically distinct pathways are known to efficiently repair double-strand breaks: homologous recombination and Ku-dependent non-homologous end joining. Recently, a third, less characterized repair mechanism, named microhomology-mediated end joining (MMEJ), has received increasing attention. MMEJ repairs DNA breaks via the use of substantial microhomology and always results in deletions. Furthermore, it probably contributes to oncogenic chromosome rearrangements and genetic variation in humans. Here, we summarize the genetic attributes of MMEJ from several model systems and discuss the relationship between MMEJ and 'alternative end joining'. We propose a mechanistic model for MMEJ and highlight important questions for future research. \u00a9 2008 Elsevier Ltd. All rights reserved.", "author" : [ { "dropping-particle" : "", "family" : "McVey", "given" : "Mitch", "non-dropping-particle" : "", "parse-names" : false, "suffix" : "" }, { "dropping-particle" : "", "family" : "Lee", "given" : "Sang Eun", "non-dropping-particle" : "", "parse-names" : false, "suffix" : "" } ], "container-title" : "Trends in Genetics", "id" : "ITEM-3", "issue" : "11", "issued" : { "date-parts" : [ [ "2008" ] ] }, "page" : "529-538", "title" : "MMEJ repair of double-strand breaks (director's cut): deleted sequences and alternative endings", "type" : "article", "volume" : "24" }, "uris" : [ "http://www.mendeley.com/documents/?uuid=cffc5420-93df-422f-9941-91a6321bd5ae" ] } ], "mendeley" : { "formattedCitation" : "(Hastings et al. 2009; Albertini et al. 1982; McVey and Lee 2008)", "plainTextFormattedCitation" : "(Hastings et al. 2009; Albertini et al. 1982; McVey and Lee 2008)", "previouslyFormattedCitation" : "(Hastings et al. 2009; Albertini et al. 1982; Mcvey and Lee 2008)" }, "properties" : { "noteIndex" : 0 }, "schema" : "https://github.com/citation-style-language/schema/raw/master/csl-citation.json" }</w:instrText>
      </w:r>
      <w:r>
        <w:fldChar w:fldCharType="separate"/>
      </w:r>
      <w:r w:rsidR="00A92323" w:rsidRPr="00A92323">
        <w:rPr>
          <w:noProof/>
        </w:rPr>
        <w:t>(Hastings et al. 2009; Albertini et al. 1982; McVey and Lee 2008)</w:t>
      </w:r>
      <w:r>
        <w:fldChar w:fldCharType="end"/>
      </w:r>
      <w:r>
        <w:t xml:space="preserve"> </w:t>
      </w:r>
    </w:p>
    <w:p w14:paraId="27F8FCA9" w14:textId="66F64C7E" w:rsidR="004142E7" w:rsidRDefault="004142E7" w:rsidP="004142E7">
      <w:pPr>
        <w:pStyle w:val="ListParagraph"/>
        <w:numPr>
          <w:ilvl w:val="0"/>
          <w:numId w:val="16"/>
        </w:numPr>
      </w:pPr>
      <w:r>
        <w:t xml:space="preserve">were located between palindromes, possibly indicating that the formation of a secondary structure played a role in their formation. We only looked at perfect palindromes of at least 6bp as these were previously shown to be overrepresented around indels when compared to the genomic background </w:t>
      </w:r>
      <w:r>
        <w:fldChar w:fldCharType="begin" w:fldLock="1"/>
      </w:r>
      <w:r w:rsidR="006A6CF5">
        <w:instrText>ADDIN CSL_CITATION { "citationItems" : [ { "id" : "ITEM-1", "itemData" : { "DOI" : "10.1101/gr.148718.112", "author" : [ { "dropping-particle" : "", "family" : "Montgomery", "given" : "Stephen B", "non-dropping-particle" : "", "parse-names" : false, "suffix" : "" }, { "dropping-particle" : "", "family" : "Goode", "given" : "David L", "non-dropping-particle" : "", "parse-names" : false, "suffix" : "" }, { "dropping-particle" : "", "family" : "Kvikstad", "given" : "Erika", "non-dropping-particle" : "", "parse-names" : false, "suffix" : "" }, { "dropping-particle" : "", "family" : "Albers", "given" : "Cornelis A", "non-dropping-particle" : "", "parse-names" : false, "suffix" : "" }, { "dropping-particle" : "", "family" : "Zhang", "given" : "Zhengdong D", "non-dropping-particle" : "", "parse-names" : false, "suffix" : "" }, { "dropping-particle" : "", "family" : "Mu", "given" : "Xinmeng Jasmine", "non-dropping-particle" : "", "parse-names" : false, "suffix" : "" }, { "dropping-particle" : "", "family" : "Ananda", "given" : "Guruprasad", "non-dropping-particle" : "", "parse-names" : false, "suffix" : "" }, { "dropping-particle" : "", "family" : "Howie", "given" : "Bryan", "non-dropping-particle" : "", "parse-names" : false, "suffix" : "" }, { "dropping-particle" : "", "family" : "Karczewski", "given" : "Konrad J", "non-dropping-particle" : "", "parse-names" : false, "suffix" : "" }, { "dropping-particle" : "", "family" : "Smith", "given" : "Kevin S", "non-dropping-particle" : "", "parse-names" : false, "suffix" : "" }, { "dropping-particle" : "", "family" : "Anaya", "given" : "Vanessa", "non-dropping-particle" : "", "parse-names" : false, "suffix" : "" }, { "dropping-particle" : "", "family" : "Richardson", "given" : "Rhea", "non-dropping-particle" : "", "parse-names" : false, "suffix" : "" }, { "dropping-particle" : "", "family" : "Davis", "given" : "Joe", "non-dropping-particle" : "", "parse-names" : false, "suffix" : "" }, { "dropping-particle" : "", "family" : "Genomes", "given" : "The", "non-dropping-particle" : "", "parse-names" : false, "suffix" : "" }, { "dropping-particle" : "", "family" : "Consortium", "given" : "Project", "non-dropping-particle" : "", "parse-names" : false, "suffix" : "" }, { "dropping-particle" : "", "family" : "Makova", "given" : "Kateryna D", "non-dropping-particle" : "", "parse-names" : false, "suffix" : "" }, { "dropping-particle" : "", "family" : "Marchini", "given" : "Jonathan", "non-dropping-particle" : "", "parse-names" : false, "suffix" : "" }, { "dropping-particle" : "", "family" : "Mcvean", "given" : "Gil", "non-dropping-particle" : "", "parse-names" : false, "suffix" : "" }, { "dropping-particle" : "", "family" : "Lunter", "given" : "Gerton", "non-dropping-particle" : "", "parse-names" : false, "suffix" : "" } ], "id" : "ITEM-1", "issued" : { "date-parts" : [ [ "2013" ] ] }, "page" : "749-761", "title" : "deletion variants identified in 179 human genomes The origin , evolution , and functional impact of short insertion \u2013 deletion variants identified in 179 human genomes", "type" : "article-journal" }, "uris" : [ "http://www.mendeley.com/documents/?uuid=f7190c41-b8df-4c3c-ae3d-ad8d91ecf015" ] } ], "mendeley" : { "formattedCitation" : "(Montgomery et al. 2013)", "plainTextFormattedCitation" : "(Montgomery et al. 2013)", "previouslyFormattedCitation" : "(Montgomery et al. 2013)" }, "properties" : { "noteIndex" : 0 }, "schema" : "https://github.com/citation-style-language/schema/raw/master/csl-citation.json" }</w:instrText>
      </w:r>
      <w:r>
        <w:fldChar w:fldCharType="separate"/>
      </w:r>
      <w:r w:rsidR="00E7592E" w:rsidRPr="00E7592E">
        <w:rPr>
          <w:noProof/>
        </w:rPr>
        <w:t>(Montgomery et al. 2013)</w:t>
      </w:r>
      <w:r>
        <w:fldChar w:fldCharType="end"/>
      </w:r>
      <w:r>
        <w:t xml:space="preserve">. </w:t>
      </w:r>
    </w:p>
    <w:p w14:paraId="1601A17C" w14:textId="77777777" w:rsidR="004142E7" w:rsidRDefault="004142E7" w:rsidP="004142E7"/>
    <w:p w14:paraId="579CCD77" w14:textId="696BB3BA" w:rsidR="004142E7" w:rsidRDefault="004142E7" w:rsidP="004142E7">
      <w:r>
        <w:t xml:space="preserve">For complex indels, we noticed that many of the derived alleles were forming palindromes with neighboring sequence. We used a minimum size of 6bp for palindromes, consistent with palindromic annotations of the context around simple NR non-CCC indels. Such complex indels were previously described in cancer studies and template switching was proposed as a possible mechanism for their emergence </w:t>
      </w:r>
      <w:r>
        <w:fldChar w:fldCharType="begin" w:fldLock="1"/>
      </w:r>
      <w:r w:rsidR="00A92323">
        <w:instrText>ADDIN CSL_CITATION { "citationItems" : [ { "id" : "ITEM-1", "itemData" : { "DOI" : "10.1073/pnas.79.13.4128", "ISSN" : "0027-8424", "PMID" : "7051004", "abstract" : "A model is described for the templated production of frameshift and base-substitution mutations mediated through aberrant DNA structures arising as a consequence of quasi-palindromic DNA sequences. Two general mechanisms are considered. One evokes the formation and processing of imperfect DNA secondary structures (hairpins) for the production of mutations. The other evokes a \"strand switch\" during DNA synthesis which, in a manner unique to quasi-palindromic sequences, may be resolved to produce frameshift or base-substitution mutations, or both. It is the unique combination of symmetrical and asymmetrical elements of the quasi-palindromic sequence itself that provides the basis for both models. Through the mechanisms described, the symmetrical elements permit unusually paired DNA substrates, and the asymmetrical elements permit templated insertions, deletions, and base substitutions. The model predicts a class of mutations--simultaneously frameshifts and base substitutions--whose sequences can be predicted from a local quasi-palindromic sequence. This prediction appears to be met by a significant fraction (more than 15%) of frameshift mutations in the iso-1-cytochrome c gene of Saccharomyces cerevisiae.", "author" : [ { "dropping-particle" : "", "family" : "Ripley", "given" : "Lynn S", "non-dropping-particle" : "", "parse-names" : false, "suffix" : "" } ], "container-title" : "Proceedings of the National Academy of Sciences of the United States of America", "id" : "ITEM-1", "issue" : "13", "issued" : { "date-parts" : [ [ "1982" ] ] }, "page" : "4128-4132", "title" : "Model for the participation of quasi-palindromic DNA sequences in frameshift mutation.", "type" : "article-journal", "volume" : "79" }, "uris" : [ "http://www.mendeley.com/documents/?uuid=d353f77b-3676-4b92-a5ed-b8b4078ae072" ] }, { "id" : "ITEM-2", "itemData" : { "author" : [ { "dropping-particle" : "", "family" : "Ripley", "given" : "L.S.", "non-dropping-particle" : "", "parse-names" : false, "suffix" : "" } ], "container-title" : "Annu. Rev. Genet.", "id" : "ITEM-2", "issued" : { "date-parts" : [ [ "1990" ] ] }, "page" : "189-213", "title" : "Frameshif Mutation: Determinants of Specificity", "type" : "article-journal", "volume" : "24" }, "uris" : [ "http://www.mendeley.com/documents/?uuid=318b5716-1dfe-46eb-bb68-02a7e9dc34f6" ] } ], "mendeley" : { "formattedCitation" : "(Ripley 1982, 1990)", "plainTextFormattedCitation" : "(Ripley 1982, 1990)", "previouslyFormattedCitation" : "(Ripley 1982, 1990)" }, "properties" : { "noteIndex" : 0 }, "schema" : "https://github.com/citation-style-language/schema/raw/master/csl-citation.json" }</w:instrText>
      </w:r>
      <w:r>
        <w:fldChar w:fldCharType="separate"/>
      </w:r>
      <w:r w:rsidR="00E7592E" w:rsidRPr="00E7592E">
        <w:rPr>
          <w:noProof/>
        </w:rPr>
        <w:t>(Ripley 1982, 1990)</w:t>
      </w:r>
      <w:r>
        <w:fldChar w:fldCharType="end"/>
      </w:r>
      <w:r>
        <w:t xml:space="preserve">. We also annotated complex indels where the inserted sequence was partially or entirely templated from neighboring sequence. Such replacements with a templated sequence were observed in </w:t>
      </w:r>
      <w:r>
        <w:rPr>
          <w:i/>
        </w:rPr>
        <w:t>C. elegans</w:t>
      </w:r>
      <w:r>
        <w:t xml:space="preserve"> and theta-mediated end joining (TMEJ) was proposed as a mechanism </w:t>
      </w:r>
      <w:r>
        <w:fldChar w:fldCharType="begin" w:fldLock="1"/>
      </w:r>
      <w:r w:rsidR="00A92323">
        <w:instrText>ADDIN CSL_CITATION { "citationItems" : [ { "id" : "ITEM-1", "itemData" : { "DOI" : "10.1101/gr.170431.113", "ISSN" : "15495469", "PMID" : "24614976", "abstract" : "DNA lesions that block replication fork progression are drivers of cancer-associated genome alterations, but the error-prone DNA repair mechanisms acting on collapsed replication are incompletely understood, and their contribution to genome evolution largely unexplored. Here, through whole-genome sequencing of animal populations that were clonally propagated for more than 50 generations, we identify a distinct class of deletions that spontaneously accumulate in C. elegans strains lacking translesion synthesis (TLS) polymerases. Emerging DNA double-strand breaks are repaired via an error-prone mechanism in which the outermost nucleotide of one end serves to prime DNA synthesis on the other end. This pathway critically depends on the A-family polymerase theta, which protects the genome against gross chromosomal rearrangements. By comparing the genomes of isolates of C. elegans from different geographical regions, we found that in fact most spontaneously evolving structural variations match the signature of polymerase theta-mediated end joining (TMEJ), illustrating that this pathway is an important source of genetic diversification.", "author" : [ { "dropping-particle" : "", "family" : "Roerink", "given" : "Sophie F", "non-dropping-particle" : "", "parse-names" : false, "suffix" : "" }, { "dropping-particle" : "", "family" : "Schendel", "given" : "Robinvan", "non-dropping-particle" : "", "parse-names" : false, "suffix" : "" }, { "dropping-particle" : "", "family" : "Tijsterman", "given" : "Marcel", "non-dropping-particle" : "", "parse-names" : false, "suffix" : "" } ], "container-title" : "Genome Research", "id" : "ITEM-1", "issue" : "6", "issued" : { "date-parts" : [ [ "2014" ] ] }, "page" : "954-962", "title" : "Polymerase theta-mediated end joining of replication-associated DNA breaks in C. elegans", "type" : "article-journal", "volume" : "24" }, "uris" : [ "http://www.mendeley.com/documents/?uuid=3b01ca43-b77f-4d3c-8639-29aa628f2948" ] } ], "mendeley" : { "formattedCitation" : "(Roerink et al. 2014)", "plainTextFormattedCitation" : "(Roerink et al. 2014)", "previouslyFormattedCitation" : "(Roerink et al. 2014)" }, "properties" : { "noteIndex" : 0 }, "schema" : "https://github.com/citation-style-language/schema/raw/master/csl-citation.json" }</w:instrText>
      </w:r>
      <w:r>
        <w:fldChar w:fldCharType="separate"/>
      </w:r>
      <w:r w:rsidR="00E7592E" w:rsidRPr="00E7592E">
        <w:rPr>
          <w:noProof/>
        </w:rPr>
        <w:t>(Roerink et al. 2014)</w:t>
      </w:r>
      <w:r>
        <w:fldChar w:fldCharType="end"/>
      </w:r>
      <w:r>
        <w:t>.</w:t>
      </w:r>
    </w:p>
    <w:p w14:paraId="358329A5" w14:textId="77777777" w:rsidR="004142E7" w:rsidRPr="00AA0BCB" w:rsidRDefault="004142E7" w:rsidP="004142E7">
      <w:pPr>
        <w:rPr>
          <w:i/>
        </w:rPr>
      </w:pPr>
      <w:r>
        <w:t xml:space="preserve">Summary counts of mechanisms can be found in </w:t>
      </w:r>
      <w:r>
        <w:rPr>
          <w:b/>
        </w:rPr>
        <w:t>Table 1</w:t>
      </w:r>
      <w:r w:rsidRPr="00AA0BCB">
        <w:t>.</w:t>
      </w:r>
    </w:p>
    <w:p w14:paraId="03E16980" w14:textId="77777777" w:rsidR="004142E7" w:rsidRPr="00D1400A" w:rsidRDefault="004142E7" w:rsidP="00C76657">
      <w:pPr>
        <w:pStyle w:val="Heading2"/>
      </w:pPr>
      <w:bookmarkStart w:id="61" w:name="_Toc268963875"/>
      <w:bookmarkStart w:id="62" w:name="_Toc289421731"/>
      <w:r>
        <w:t>Frequency of indel categories</w:t>
      </w:r>
      <w:bookmarkEnd w:id="61"/>
      <w:bookmarkEnd w:id="62"/>
    </w:p>
    <w:p w14:paraId="7998FCB5" w14:textId="320727CD" w:rsidR="004142E7" w:rsidRDefault="004142E7" w:rsidP="004142E7">
      <w:r>
        <w:t xml:space="preserve">Using the definitions of homopolymer runs (HR) and tandem repeats (TR) </w:t>
      </w:r>
      <w:r w:rsidR="0063371B">
        <w:t>as described above</w:t>
      </w:r>
      <w:r>
        <w:t xml:space="preserve">, we computed the total number of reference bases spanned by such runs in the GoNL accessible genome </w:t>
      </w:r>
      <w:r>
        <w:fldChar w:fldCharType="begin" w:fldLock="1"/>
      </w:r>
      <w:r w:rsidR="00A92323">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fldChar w:fldCharType="separate"/>
      </w:r>
      <w:r w:rsidR="008B18A5" w:rsidRPr="008B18A5">
        <w:rPr>
          <w:noProof/>
        </w:rPr>
        <w:t>(Francioli et al. 2014)</w:t>
      </w:r>
      <w:r>
        <w:fldChar w:fldCharType="end"/>
      </w:r>
      <w:r>
        <w:t xml:space="preserve"> in order to estimate the genomic background. We used a proportion test to assess whether the proportion of </w:t>
      </w:r>
      <w:r>
        <w:rPr>
          <w:i/>
        </w:rPr>
        <w:t xml:space="preserve">de novo </w:t>
      </w:r>
      <w:r>
        <w:t xml:space="preserve">indels in TR and HR were compatible with their relative proportion in the reference genome. </w:t>
      </w:r>
    </w:p>
    <w:p w14:paraId="7D23A835" w14:textId="7DB468E4" w:rsidR="004142E7" w:rsidRDefault="004142E7" w:rsidP="004142E7">
      <w:r>
        <w:t xml:space="preserve">While our results show very clear indel enrichment in these regions, it is likely that these numbers are conservative since the discovery and genotyping of indels in such repetitive regions of the genome in short-read sequencing data is more challenging than in non-repetitive regions. In our data, this is partly </w:t>
      </w:r>
      <w:r w:rsidRPr="00BE7F93">
        <w:t xml:space="preserve">reflected by elevated proportions of inconclusive validation assays (27.9% vs 18.8%, </w:t>
      </w:r>
      <w:r>
        <w:t xml:space="preserve">chisq </w:t>
      </w:r>
      <w:r w:rsidRPr="00BE7F93">
        <w:t xml:space="preserve">p = 0.0016) and of false positives (82.4% vs 63.1%, </w:t>
      </w:r>
      <w:r>
        <w:t xml:space="preserve">chisq </w:t>
      </w:r>
      <w:r w:rsidRPr="00BE7F93">
        <w:t>p = 8.0x10</w:t>
      </w:r>
      <w:r w:rsidRPr="002C29A8">
        <w:rPr>
          <w:vertAlign w:val="superscript"/>
        </w:rPr>
        <w:t>-7</w:t>
      </w:r>
      <w:r w:rsidRPr="00BE7F93">
        <w:t>)</w:t>
      </w:r>
      <w:r w:rsidR="00EB0470">
        <w:t xml:space="preserve"> in repetitive vs non-repetitive regions, respectively</w:t>
      </w:r>
      <w:r w:rsidRPr="00BE7F93">
        <w:t>.</w:t>
      </w:r>
    </w:p>
    <w:p w14:paraId="5BF8EE37" w14:textId="0F3F2A43" w:rsidR="004142E7" w:rsidRDefault="004142E7" w:rsidP="004142E7">
      <w:r>
        <w:t xml:space="preserve">When looking at complex indels, we noticed that a </w:t>
      </w:r>
      <w:r w:rsidR="00712B77">
        <w:t>5/14</w:t>
      </w:r>
      <w:r>
        <w:t xml:space="preserve"> of the derived alleles formed palindromic repeats with neighboring sequence whereas this was observed for only 1 of the 70 insertions in our set. We used a chi square test to assess whether this difference was significant.</w:t>
      </w:r>
    </w:p>
    <w:p w14:paraId="5BC6EC5F" w14:textId="330E6033" w:rsidR="00CD51BF" w:rsidRDefault="00CD51BF" w:rsidP="00031A36">
      <w:pPr>
        <w:pStyle w:val="Heading2"/>
      </w:pPr>
      <w:bookmarkStart w:id="63" w:name="_Toc289421732"/>
      <w:r>
        <w:t xml:space="preserve">Comparison against </w:t>
      </w:r>
      <w:r w:rsidR="00031A36">
        <w:t xml:space="preserve">inherited </w:t>
      </w:r>
      <w:r>
        <w:t>indels</w:t>
      </w:r>
      <w:bookmarkEnd w:id="63"/>
    </w:p>
    <w:p w14:paraId="49508119" w14:textId="4C4222E3" w:rsidR="00B60DE6" w:rsidRDefault="00CD51BF" w:rsidP="00CD51BF">
      <w:pPr>
        <w:rPr>
          <w:rFonts w:eastAsia="Times New Roman" w:cs="Times New Roman"/>
        </w:rPr>
      </w:pPr>
      <w:r>
        <w:t xml:space="preserve">To study the difference between </w:t>
      </w:r>
      <w:r>
        <w:rPr>
          <w:i/>
        </w:rPr>
        <w:t>de novo</w:t>
      </w:r>
      <w:r>
        <w:t xml:space="preserve"> and </w:t>
      </w:r>
      <w:r w:rsidR="00031A36">
        <w:t>inherited</w:t>
      </w:r>
      <w:r>
        <w:t xml:space="preserve"> indels, we compared the </w:t>
      </w:r>
      <w:r>
        <w:rPr>
          <w:i/>
        </w:rPr>
        <w:t>de novo</w:t>
      </w:r>
      <w:r>
        <w:t xml:space="preserve"> indels observed against the polymorphic indels discovered in the GoNL</w:t>
      </w:r>
      <w:r w:rsidR="001B7603">
        <w:t xml:space="preserve"> dataset </w:t>
      </w:r>
      <w:r>
        <w:fldChar w:fldCharType="begin" w:fldLock="1"/>
      </w:r>
      <w:r w:rsidR="00A92323">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fldChar w:fldCharType="separate"/>
      </w:r>
      <w:r w:rsidR="008B18A5" w:rsidRPr="008B18A5">
        <w:rPr>
          <w:noProof/>
        </w:rPr>
        <w:t>(Francioli et al. 2014)</w:t>
      </w:r>
      <w:r>
        <w:fldChar w:fldCharType="end"/>
      </w:r>
      <w:r>
        <w:t xml:space="preserve">. Because </w:t>
      </w:r>
      <w:r w:rsidR="00747DF6">
        <w:t xml:space="preserve">the </w:t>
      </w:r>
      <w:r>
        <w:t xml:space="preserve">algorithms used to find GoNL indels could not identify complex indels, we ran the GATK HaplotypeCaller using the </w:t>
      </w:r>
      <w:r w:rsidRPr="00031A36">
        <w:rPr>
          <w:rFonts w:ascii="Helvetica Neue" w:eastAsia="Times New Roman" w:hAnsi="Helvetica Neue" w:cs="Times New Roman"/>
          <w:sz w:val="19"/>
          <w:szCs w:val="19"/>
        </w:rPr>
        <w:t>--mergeVariantsViaLD</w:t>
      </w:r>
      <w:r>
        <w:rPr>
          <w:rFonts w:eastAsia="Times New Roman" w:cs="Times New Roman"/>
        </w:rPr>
        <w:t xml:space="preserve"> option on the GoNL data. The resulting set of indels (union of previously identif</w:t>
      </w:r>
      <w:r w:rsidR="001B7603">
        <w:rPr>
          <w:rFonts w:eastAsia="Times New Roman" w:cs="Times New Roman"/>
        </w:rPr>
        <w:t>ied</w:t>
      </w:r>
      <w:r>
        <w:rPr>
          <w:rFonts w:eastAsia="Times New Roman" w:cs="Times New Roman"/>
        </w:rPr>
        <w:t xml:space="preserve"> indels and complex indels) were used as comparison.</w:t>
      </w:r>
      <w:r w:rsidR="00E24F82">
        <w:rPr>
          <w:rFonts w:eastAsia="Times New Roman" w:cs="Times New Roman"/>
        </w:rPr>
        <w:t xml:space="preserve"> We note that using this strategy on the complex </w:t>
      </w:r>
      <w:r w:rsidR="00E24F82">
        <w:rPr>
          <w:rFonts w:eastAsia="Times New Roman" w:cs="Times New Roman"/>
          <w:i/>
        </w:rPr>
        <w:t>de</w:t>
      </w:r>
      <w:r w:rsidR="00E24F82" w:rsidRPr="00E24F82">
        <w:rPr>
          <w:rFonts w:eastAsia="Times New Roman" w:cs="Times New Roman"/>
          <w:i/>
        </w:rPr>
        <w:t xml:space="preserve"> novo</w:t>
      </w:r>
      <w:r w:rsidR="00E24F82">
        <w:rPr>
          <w:rFonts w:eastAsia="Times New Roman" w:cs="Times New Roman"/>
        </w:rPr>
        <w:t xml:space="preserve"> </w:t>
      </w:r>
      <w:r w:rsidR="00E24F82" w:rsidRPr="00E24F82">
        <w:rPr>
          <w:rFonts w:eastAsia="Times New Roman" w:cs="Times New Roman"/>
        </w:rPr>
        <w:t>indels</w:t>
      </w:r>
      <w:r w:rsidR="00E24F82">
        <w:rPr>
          <w:rFonts w:eastAsia="Times New Roman" w:cs="Times New Roman"/>
        </w:rPr>
        <w:t xml:space="preserve">, the HaplotypeCaller </w:t>
      </w:r>
      <w:r w:rsidR="00563F89">
        <w:rPr>
          <w:rFonts w:eastAsia="Times New Roman" w:cs="Times New Roman"/>
        </w:rPr>
        <w:t xml:space="preserve">correctly </w:t>
      </w:r>
      <w:r w:rsidR="00E24F82">
        <w:rPr>
          <w:rFonts w:eastAsia="Times New Roman" w:cs="Times New Roman"/>
        </w:rPr>
        <w:t xml:space="preserve">identified 12/14 </w:t>
      </w:r>
      <w:r w:rsidR="00563F89">
        <w:rPr>
          <w:rFonts w:eastAsia="Times New Roman" w:cs="Times New Roman"/>
        </w:rPr>
        <w:t>(86%) of these as complex events.</w:t>
      </w:r>
      <w:r w:rsidR="004B43A2">
        <w:rPr>
          <w:rFonts w:eastAsia="Times New Roman" w:cs="Times New Roman"/>
        </w:rPr>
        <w:t xml:space="preserve"> The </w:t>
      </w:r>
      <w:r w:rsidR="00031A36">
        <w:t xml:space="preserve">inherited </w:t>
      </w:r>
      <w:r w:rsidR="004B43A2">
        <w:rPr>
          <w:rFonts w:eastAsia="Times New Roman" w:cs="Times New Roman"/>
        </w:rPr>
        <w:t xml:space="preserve">indels in the GoNL data were annotated with respect to their class and mechanisms using the same pipeline as for the </w:t>
      </w:r>
      <w:r w:rsidR="004B43A2">
        <w:rPr>
          <w:rFonts w:eastAsia="Times New Roman" w:cs="Times New Roman"/>
          <w:i/>
        </w:rPr>
        <w:t>de novo</w:t>
      </w:r>
      <w:r w:rsidR="004B43A2">
        <w:rPr>
          <w:rFonts w:eastAsia="Times New Roman" w:cs="Times New Roman"/>
        </w:rPr>
        <w:t xml:space="preserve"> ones.</w:t>
      </w:r>
    </w:p>
    <w:p w14:paraId="07CB4C8D" w14:textId="1D446E14" w:rsidR="00B60DE6" w:rsidRDefault="00B60DE6" w:rsidP="00B10CEB">
      <w:pPr>
        <w:pStyle w:val="Heading1"/>
      </w:pPr>
      <w:bookmarkStart w:id="64" w:name="_Toc289421733"/>
      <w:r w:rsidRPr="00B10CEB">
        <w:rPr>
          <w:i/>
        </w:rPr>
        <w:t>De novo</w:t>
      </w:r>
      <w:r>
        <w:t xml:space="preserve"> SV formation mechanisms</w:t>
      </w:r>
      <w:bookmarkEnd w:id="64"/>
    </w:p>
    <w:p w14:paraId="307577B8" w14:textId="085B544D" w:rsidR="00B60DE6" w:rsidRPr="004A1B5C" w:rsidRDefault="006E5F29" w:rsidP="00CD51BF">
      <w:pPr>
        <w:rPr>
          <w:b/>
        </w:rPr>
      </w:pPr>
      <w:r w:rsidRPr="00936B32">
        <w:t>Analysis of mutation formation mechanisms</w:t>
      </w:r>
      <w:r>
        <w:t xml:space="preserve"> of SVs</w:t>
      </w:r>
      <w:r w:rsidRPr="00936B32">
        <w:t xml:space="preserve"> was pe</w:t>
      </w:r>
      <w:r>
        <w:t xml:space="preserve">rformed using BreakSeq </w:t>
      </w:r>
      <w:r w:rsidRPr="00F46247">
        <w:t>software v. 1.3</w:t>
      </w:r>
      <w:r>
        <w:t xml:space="preserve"> </w:t>
      </w:r>
      <w:r>
        <w:fldChar w:fldCharType="begin" w:fldLock="1"/>
      </w:r>
      <w:r w:rsidR="008B18A5">
        <w:instrText>ADDIN CSL_CITATION { "citationItems" : [ { "id" : "ITEM-1", "itemData" : { "DOI" : "10.1038/nbt.1600", "ISSN" : "1546-1696", "PMID" : "20037582", "abstract" : "Structural variants (SVs) are a major source of human genomic variation; however, characterizing them at nucleotide resolution remains challenging. Here we assemble a library of breakpoints at nucleotide resolution from collating and standardizing ~2,000 published SVs. For each breakpoint, we infer its ancestral state (through comparison to primate genomes) and its mechanism of formation (e.g., nonallelic homologous recombination, NAHR). We characterize breakpoint sequences with respect to genomic landmarks, chromosomal location, sequence motifs and physical properties, finding that the occurrence of insertions and deletions is more balanced than previously reported and that NAHR-formed breakpoints are associated with relatively rigid, stable DNA helices. Finally, we demonstrate an approach, BreakSeq, for scanning the reads from short-read sequenced genomes against our breakpoint library to accurately identify previously overlooked SVs, which we then validate by PCR. As new data become available, we expect our BreakSeq approach will become more sensitive and facilitate rapid SV genotyping of personal genomes.", "author" : [ { "dropping-particle" : "", "family" : "Lam", "given" : "Hugo Y K", "non-dropping-particle" : "", "parse-names" : false, "suffix" : "" }, { "dropping-particle" : "", "family" : "Mu", "given" : "Xinmeng Jasmine", "non-dropping-particle" : "", "parse-names" : false, "suffix" : "" }, { "dropping-particle" : "", "family" : "St\u00fctz", "given" : "Adrian M", "non-dropping-particle" : "", "parse-names" : false, "suffix" : "" }, { "dropping-particle" : "", "family" : "Tanzer", "given" : "Andrea", "non-dropping-particle" : "", "parse-names" : false, "suffix" : "" }, { "dropping-particle" : "", "family" : "Cayting", "given" : "Philip D", "non-dropping-particle" : "", "parse-names" : false, "suffix" : "" }, { "dropping-particle" : "", "family" : "Snyder", "given" : "Michael", "non-dropping-particle" : "", "parse-names" : false, "suffix" : "" }, { "dropping-particle" : "", "family" : "Kim", "given" : "Philip M", "non-dropping-particle" : "", "parse-names" : false, "suffix" : "" }, { "dropping-particle" : "", "family" : "Korbel", "given" : "Jan O", "non-dropping-particle" : "", "parse-names" : false, "suffix" : "" }, { "dropping-particle" : "", "family" : "Gerstein", "given" : "Mark B", "non-dropping-particle" : "", "parse-names" : false, "suffix" : "" } ], "container-title" : "Nature biotechnology", "id" : "ITEM-1", "issue" : "1", "issued" : { "date-parts" : [ [ "2010", "1" ] ] }, "page" : "47-55", "publisher" : "Nature Publishing Group", "title" : "Nucleotide-resolution analysis of structural variants using BreakSeq and a breakpoint library.", "type" : "article-journal", "volume" : "28" }, "uris" : [ "http://www.mendeley.com/documents/?uuid=67837e6b-1990-4a23-ae2e-886955a3df6e" ] } ], "mendeley" : { "formattedCitation" : "(Lam et al. 2010)", "plainTextFormattedCitation" : "(Lam et al. 2010)", "previouslyFormattedCitation" : "(Lam et al. 2010)" }, "properties" : { "noteIndex" : 0 }, "schema" : "https://github.com/citation-style-language/schema/raw/master/csl-citation.json" }</w:instrText>
      </w:r>
      <w:r>
        <w:fldChar w:fldCharType="separate"/>
      </w:r>
      <w:r w:rsidRPr="00E47098">
        <w:rPr>
          <w:noProof/>
        </w:rPr>
        <w:t>(Lam et al. 2010)</w:t>
      </w:r>
      <w:r>
        <w:fldChar w:fldCharType="end"/>
      </w:r>
      <w:r w:rsidRPr="00936B32">
        <w:t>.</w:t>
      </w:r>
      <w:r>
        <w:t xml:space="preserve"> </w:t>
      </w:r>
      <w:r w:rsidR="00B60DE6" w:rsidRPr="00936B32">
        <w:t>Genome references (GRCh37/hg19, panTro4, rheMac3, ponAbe2), repeat-masked reference, B</w:t>
      </w:r>
      <w:r w:rsidR="00B60DE6">
        <w:t>LAT</w:t>
      </w:r>
      <w:r w:rsidR="00B60DE6" w:rsidRPr="00936B32">
        <w:t xml:space="preserve"> program and annotation databases were downloaded from the UCSC website (http://genome.ucsc.edu). We used default settings for annotation of variants longer than 50 base pairs (annotation of shorter variants is not supported by BreakSeq).</w:t>
      </w:r>
      <w:r w:rsidR="00B60DE6">
        <w:t xml:space="preserve"> Because BreakSeq does not support mechanism prediction for tandem duplications, we used BLAST to determine the similarity between 200bp genomic segments at the beginning and end of the tandemly duplicated segment (duplication start +/- 100bp and duplication end +/- 100bp). Tandem duplications showing homologous sequences at the breakpoints with a similarity &gt; 90%, at least 50bp in length and in the correct orientation (+/+ alignment) were assigned to the NAHR mechanism, while the remaining tandem duplications were classified as NHR.</w:t>
      </w:r>
    </w:p>
    <w:p w14:paraId="158C0C31" w14:textId="77777777" w:rsidR="009B4B96" w:rsidRPr="00F35D3F" w:rsidRDefault="009B4B96" w:rsidP="004517B0">
      <w:pPr>
        <w:pStyle w:val="Heading1"/>
      </w:pPr>
      <w:bookmarkStart w:id="65" w:name="_Toc289421734"/>
      <w:r w:rsidRPr="001B7967">
        <w:t>Genome context and functional effects</w:t>
      </w:r>
      <w:bookmarkEnd w:id="65"/>
    </w:p>
    <w:p w14:paraId="3071B726" w14:textId="5D370462" w:rsidR="009B4B96" w:rsidRPr="004A1B5C" w:rsidRDefault="009B4B96" w:rsidP="00CD51BF">
      <w:r>
        <w:t xml:space="preserve">To determine the number of affected genomic bases by indels, we calculated one base per insertion, the variant length for each deletion and the number of replaced genomic bases for complex indels. For SVs, we took the SV length for duplications and deletions, while for MEIs the lengths of the target site duplications were used. </w:t>
      </w:r>
      <w:r w:rsidRPr="004F2BBA">
        <w:t xml:space="preserve">To determine the number of affected coding bases, we intersected </w:t>
      </w:r>
      <w:r w:rsidRPr="004F2BBA">
        <w:rPr>
          <w:i/>
        </w:rPr>
        <w:t>de novo</w:t>
      </w:r>
      <w:r w:rsidRPr="004F2BBA">
        <w:t xml:space="preserve"> substitutions, indels and SVs with protein coding exons retrieved from the Ensembl database</w:t>
      </w:r>
      <w:r>
        <w:t xml:space="preserve"> (version 74</w:t>
      </w:r>
      <w:r w:rsidR="00215801">
        <w:t>, http://www.ensembl.org</w:t>
      </w:r>
      <w:r>
        <w:t xml:space="preserve">) </w:t>
      </w:r>
      <w:r>
        <w:fldChar w:fldCharType="begin" w:fldLock="1"/>
      </w:r>
      <w:r w:rsidR="008B18A5">
        <w:instrText>ADDIN CSL_CITATION { "citationItems" : [ { "id" : "ITEM-1", "itemData" : { "DOI" : "10.1093/nar/gkt1196", "ISBN" : "1362-4962 (Electronic)", "ISSN" : "03051048", "PMID" : "24316576", "abstract" : "Ensembl (http://www.ensembl.org) creates tools and data resources to facilitate genomic analysis in chordate species with an emphasis on human, major vertebrate model organisms and farm animals. Over the past year we have increased the number of species that we support to 77 and expanded our genome browser with a new scrollable overview and improved variation and phenotype views. We also report updates to our core datasets and improvements to our gene homology relationships from the addition of new species. Our REST service has been extended with additional support for comparative genomics and ontology information. Finally, we provide updated information about our methods for data access and resources for user training.", "author" : [ { "dropping-particle" : "", "family" : "Flicek", "given" : "Paul", "non-dropping-particle" : "", "parse-names" : false, "suffix" : "" }, { "dropping-particle" : "", "family" : "Amode", "given" : "M. Ridwan", "non-dropping-particle" : "", "parse-names" : false, "suffix" : "" }, { "dropping-particle" : "", "family" : "Barrell", "given" : "Daniel", "non-dropping-particle" : "", "parse-names" : false, "suffix" : "" }, { "dropping-particle" : "", "family" : "Beal", "given" : "Kathryn", "non-dropping-particle" : "", "parse-names" : false, "suffix" : "" }, { "dropping-particle" : "", "family" : "Billis", "given" : "Konstantinos", "non-dropping-particle" : "", "parse-names" : false, "suffix" : "" }, { "dropping-particle" : "", "family" : "Brent", "given" : "Simon", "non-dropping-particle" : "", "parse-names" : false, "suffix" : "" }, { "dropping-particle" : "", "family" : "Carvalho-Silva", "given" : "Denise", "non-dropping-particle" : "", "parse-names" : false, "suffix" : "" }, { "dropping-particle" : "", "family" : "Clapham", "given" : "Peter", "non-dropping-particle" : "", "parse-names" : false, "suffix" : "" }, { "dropping-particle" : "", "family" : "Coates", "given" : "Guy", "non-dropping-particle" : "", "parse-names" : false, "suffix" : "" }, { "dropping-particle" : "", "family" : "Fitzgerald", "given" : "Stephen", "non-dropping-particle" : "", "parse-names" : false, "suffix" : "" }, { "dropping-particle" : "", "family" : "Gil", "given" : "Laurent", "non-dropping-particle" : "", "parse-names" : false, "suffix" : "" }, { "dropping-particle" : "", "family" : "Gir\u00f3n", "given" : "Carlos Garc\u00eda", "non-dropping-particle" : "", "parse-names" : false, "suffix" : "" }, { "dropping-particle" : "", "family" : "Gordon", "given" : "Leo", "non-dropping-particle" : "", "parse-names" : false, "suffix" : "" }, { "dropping-particle" : "", "family" : "Hourlier", "given" : "Thibaut", "non-dropping-particle" : "", "parse-names" : false, "suffix" : "" }, { "dropping-particle" : "", "family" : "Hunt", "given" : "Sarah", "non-dropping-particle" : "", "parse-names" : false, "suffix" : "" }, { "dropping-particle" : "", "family" : "Johnson", "given" : "Nathan", "non-dropping-particle" : "", "parse-names" : false, "suffix" : "" }, { "dropping-particle" : "", "family" : "Juettemann", "given" : "Thomas", "non-dropping-particle" : "", "parse-names" : false, "suffix" : "" }, { "dropping-particle" : "", "family" : "K\u00e4h\u00e4ri", "given" : "Andreas K.", "non-dropping-particle" : "", "parse-names" : false, "suffix" : "" }, { "dropping-particle" : "", "family" : "Keenan", "given" : "Stephen", "non-dropping-particle" : "", "parse-names" : false, "suffix" : "" }, { "dropping-particle" : "", "family" : "Kulesha", "given" : "Eugene", "non-dropping-particle" : "", "parse-names" : false, "suffix" : "" }, { "dropping-particle" : "", "family" : "Martin", "given" : "Fergal J.", "non-dropping-particle" : "", "parse-names" : false, "suffix" : "" }, { "dropping-particle" : "", "family" : "Maurel", "given" : "Thomas", "non-dropping-particle" : "", "parse-names" : false, "suffix" : "" }, { "dropping-particle" : "", "family" : "McLaren", "given" : "William M.", "non-dropping-particle" : "", "parse-names" : false, "suffix" : "" }, { "dropping-particle" : "", "family" : "Murphy", "given" : "Daniel N.", "non-dropping-particle" : "", "parse-names" : false, "suffix" : "" }, { "dropping-particle" : "", "family" : "Nag", "given" : "Rishi", "non-dropping-particle" : "", "parse-names" : false, "suffix" : "" }, { "dropping-particle" : "", "family" : "Overduin", "given" : "Bert", "non-dropping-particle" : "", "parse-names" : false, "suffix" : "" }, { "dropping-particle" : "", "family" : "Pignatelli", "given" : "Miguel", "non-dropping-particle" : "", "parse-names" : false, "suffix" : "" }, { "dropping-particle" : "", "family" : "Pritchard", "given" : "Bethan", "non-dropping-particle" : "", "parse-names" : false, "suffix" : "" }, { "dropping-particle" : "", "family" : "Pritchard", "given" : "Emily", "non-dropping-particle" : "", "parse-names" : false, "suffix" : "" }, { "dropping-particle" : "", "family" : "Riat", "given" : "Harpreet S.", "non-dropping-particle" : "", "parse-names" : false, "suffix" : "" }, { "dropping-particle" : "", "family" : "Ruffier", "given" : "Magali", "non-dropping-particle" : "", "parse-names" : false, "suffix" : "" }, { "dropping-particle" : "", "family" : "Sheppard", "given" : "Daniel", "non-dropping-particle" : "", "parse-names" : false, "suffix" : "" }, { "dropping-particle" : "", "family" : "Taylor", "given" : "Kieron", "non-dropping-particle" : "", "parse-names" : false, "suffix" : "" }, { "dropping-particle" : "", "family" : "Thormann", "given" : "Anja", "non-dropping-particle" : "", "parse-names" : false, "suffix" : "" }, { "dropping-particle" : "", "family" : "Trevanion", "given" : "Stephen J.", "non-dropping-particle" : "", "parse-names" : false, "suffix" : "" }, { "dropping-particle" : "", "family" : "Vullo", "given" : "Alessandro", "non-dropping-particle" : "", "parse-names" : false, "suffix" : "" }, { "dropping-particle" : "", "family" : "Wilder", "given" : "Steven P.", "non-dropping-particle" : "", "parse-names" : false, "suffix" : "" }, { "dropping-particle" : "", "family" : "Wilson", "given" : "Mark", "non-dropping-particle" : "", "parse-names" : false, "suffix" : "" }, { "dropping-particle" : "", "family" : "Zadissa", "given" : "Amonida", "non-dropping-particle" : "", "parse-names" : false, "suffix" : "" }, { "dropping-particle" : "", "family" : "Aken", "given" : "Bronwen L.", "non-dropping-particle" : "", "parse-names" : false, "suffix" : "" }, { "dropping-particle" : "", "family" : "Birney", "given" : "Ewan", "non-dropping-particle" : "", "parse-names" : false, "suffix" : "" }, { "dropping-particle" : "", "family" : "Cunningham", "given" : "Fiona", "non-dropping-particle" : "", "parse-names" : false, "suffix" : "" }, { "dropping-particle" : "", "family" : "Harrow", "given" : "Jennifer", "non-dropping-particle" : "", "parse-names" : false, "suffix" : "" }, { "dropping-particle" : "", "family" : "Herrero", "given" : "Javier", "non-dropping-particle" : "", "parse-names" : false, "suffix" : "" }, { "dropping-particle" : "", "family" : "Hubbard", "given" : "Tim J P", "non-dropping-particle" : "", "parse-names" : false, "suffix" : "" }, { "dropping-particle" : "", "family" : "Kinsella", "given" : "Rhoda", "non-dropping-particle" : "", "parse-names" : false, "suffix" : "" }, { "dropping-particle" : "", "family" : "Muffato", "given" : "Matthieu", "non-dropping-particle" : "", "parse-names" : false, "suffix" : "" }, { "dropping-particle" : "", "family" : "Parker", "given" : "Anne", "non-dropping-particle" : "", "parse-names" : false, "suffix" : "" }, { "dropping-particle" : "", "family" : "Spudich", "given" : "Giulietta", "non-dropping-particle" : "", "parse-names" : false, "suffix" : "" }, { "dropping-particle" : "", "family" : "Yates", "given" : "Andy", "non-dropping-particle" : "", "parse-names" : false, "suffix" : "" }, { "dropping-particle" : "", "family" : "Zerbino", "given" : "Daniel R.", "non-dropping-particle" : "", "parse-names" : false, "suffix" : "" }, { "dropping-particle" : "", "family" : "Searle", "given" : "Stephen M J", "non-dropping-particle" : "", "parse-names" : false, "suffix" : "" } ], "container-title" : "Nucleic Acids Research", "id" : "ITEM-1", "issued" : { "date-parts" : [ [ "2014" ] ] }, "title" : "Ensembl 2014", "type" : "article-journal", "volume" : "42" }, "uris" : [ "http://www.mendeley.com/documents/?uuid=e181ff85-cb17-49c6-8a8d-f0c81a6331ea", "http://www.mendeley.com/documents/?uuid=f01dda33-3174-405a-b9ad-23e5ca7d2878" ] } ], "mendeley" : { "formattedCitation" : "(Flicek et al. 2014)", "plainTextFormattedCitation" : "(Flicek et al. 2014)", "previouslyFormattedCitation" : "(Flicek et al. 2014)" }, "properties" : { "noteIndex" : 0 }, "schema" : "https://github.com/citation-style-language/schema/raw/master/csl-citation.json" }</w:instrText>
      </w:r>
      <w:r>
        <w:fldChar w:fldCharType="separate"/>
      </w:r>
      <w:r w:rsidRPr="00AF382F">
        <w:rPr>
          <w:noProof/>
        </w:rPr>
        <w:t>(Flicek et al. 2014)</w:t>
      </w:r>
      <w:r>
        <w:fldChar w:fldCharType="end"/>
      </w:r>
      <w:r w:rsidRPr="004F2BBA">
        <w:t>. Both 3’</w:t>
      </w:r>
      <w:r>
        <w:t>-</w:t>
      </w:r>
      <w:r w:rsidRPr="004F2BBA">
        <w:t>UTR</w:t>
      </w:r>
      <w:r>
        <w:t xml:space="preserve">, </w:t>
      </w:r>
      <w:r w:rsidRPr="004F2BBA">
        <w:t>5’</w:t>
      </w:r>
      <w:r>
        <w:t>-</w:t>
      </w:r>
      <w:r w:rsidRPr="004F2BBA">
        <w:t xml:space="preserve">UTR </w:t>
      </w:r>
      <w:r>
        <w:t xml:space="preserve">sequences and non-coding exons </w:t>
      </w:r>
      <w:r w:rsidRPr="004F2BBA">
        <w:t>were excluded from the intersection.</w:t>
      </w:r>
      <w:r>
        <w:t xml:space="preserve"> </w:t>
      </w:r>
      <w:r w:rsidRPr="004F2BBA">
        <w:rPr>
          <w:i/>
        </w:rPr>
        <w:t>De novo</w:t>
      </w:r>
      <w:r w:rsidRPr="004F2BBA">
        <w:t xml:space="preserve"> variants were </w:t>
      </w:r>
      <w:r>
        <w:t>overlapped</w:t>
      </w:r>
      <w:r w:rsidRPr="004F2BBA">
        <w:t xml:space="preserve"> with three types of ENCODE histone modification datasets (H3K4Me1, H3K4Me3 and H3K27</w:t>
      </w:r>
      <w:r>
        <w:t>a</w:t>
      </w:r>
      <w:r w:rsidRPr="004F2BBA">
        <w:t>c) derived from 16 different cell line</w:t>
      </w:r>
      <w:r>
        <w:t>s</w:t>
      </w:r>
      <w:r w:rsidRPr="004F2BBA">
        <w:t xml:space="preserve"> (http://genome.ucsc.edu/cgi-bin/hgFileSearch?db=hg19, </w:t>
      </w:r>
      <w:r w:rsidRPr="00960A9B">
        <w:rPr>
          <w:b/>
        </w:rPr>
        <w:t xml:space="preserve">Supplemental </w:t>
      </w:r>
      <w:r w:rsidRPr="007709A4">
        <w:rPr>
          <w:b/>
        </w:rPr>
        <w:t xml:space="preserve">Table </w:t>
      </w:r>
      <w:r>
        <w:rPr>
          <w:b/>
        </w:rPr>
        <w:t>5</w:t>
      </w:r>
      <w:r w:rsidRPr="004F2BBA">
        <w:t>)</w:t>
      </w:r>
      <w:r>
        <w:t xml:space="preserve"> </w:t>
      </w:r>
      <w:r>
        <w:fldChar w:fldCharType="begin" w:fldLock="1"/>
      </w:r>
      <w:r w:rsidR="008B18A5">
        <w:instrText>ADDIN CSL_CITATION { "citationItems" : [ { "id" : "ITEM-1", "itemData" : { "DOI" : "10.1038/nature05874", "ISBN" : "1476-4687 (Electronic)", "ISSN" : "1476-4687", "PMID" : "17571346", "abstract" : "We report the generation and analysis of functional data frommultiple, diverse experiments performed on a targeted 1% of the human genomeas part of the pilot phase of the ENCODE Project. These data have been further integrated and augmented by a number of evolutionary and computational analyses. Together, our results advance the collective knowledge about human genome function in several major areas. First, our studies provide convincing evidence that the genome is pervasively transcribed, such that the majority of its bases can be found in primary transcripts, including non-protein-coding transcripts, and those that extensively overlap one another. Second, systematic examination of transcriptional regulation has yielded new understanding about transcription start sites, including their relationship to specific regulatory sequences and features of chromatin accessibility and histone modification. Third, a more sophisticated view of chromatin structure has emerged, including its inter-relationship with DNAreplication and transcriptional regulation. Finally, integration of these new sources of information, in particular with respect to mammalian evolution based on inter- and intra-species sequence comparisons, has yielded new mechanistic and evolutionary insights concerning the functional landscape of thehuman genome. Together, these studies are defining a path for pursuit of a more comprehensive characterization of human genome function.", "author" : [ { "dropping-particle" : "", "family" : "Consortium", "given" : "The ENCODE Project", "non-dropping-particle" : "", "parse-names" : false, "suffix" : "" } ], "container-title" : "Nature", "id" : "ITEM-1", "issued" : { "date-parts" : [ [ "2007" ] ] }, "page" : "799-816", "title" : "Identification and analysis of functional elements in 1\\% of the human genome by the ENCODE pilot project", "type" : "article-journal", "volume" : "447" }, "uris" : [ "http://www.mendeley.com/documents/?uuid=5ec6bc65-30c5-49cf-b5e3-50841f08521c", "http://www.mendeley.com/documents/?uuid=cb8b3e09-a9de-449c-8120-cf8dc55d3164" ] } ], "mendeley" : { "formattedCitation" : "(Consortium 2007)", "manualFormatting" : "(The ENCODE Project Consortium)", "plainTextFormattedCitation" : "(Consortium 2007)", "previouslyFormattedCitation" : "(Consortium 2007)" }, "properties" : { "noteIndex" : 0 }, "schema" : "https://github.com/citation-style-language/schema/raw/master/csl-citation.json" }</w:instrText>
      </w:r>
      <w:r>
        <w:fldChar w:fldCharType="separate"/>
      </w:r>
      <w:r w:rsidRPr="00E47098">
        <w:rPr>
          <w:noProof/>
        </w:rPr>
        <w:t>(</w:t>
      </w:r>
      <w:r>
        <w:rPr>
          <w:noProof/>
        </w:rPr>
        <w:t xml:space="preserve">The ENCODE Project </w:t>
      </w:r>
      <w:r w:rsidRPr="00E47098">
        <w:rPr>
          <w:noProof/>
        </w:rPr>
        <w:t>Consortium)</w:t>
      </w:r>
      <w:r>
        <w:fldChar w:fldCharType="end"/>
      </w:r>
      <w:r w:rsidRPr="004F2BBA">
        <w:t xml:space="preserve">. For each of these histone modification data we determined the number of bases that were </w:t>
      </w:r>
      <w:r>
        <w:t>affected</w:t>
      </w:r>
      <w:r w:rsidRPr="004F2BBA">
        <w:t xml:space="preserve"> by </w:t>
      </w:r>
      <w:r w:rsidRPr="007709A4">
        <w:rPr>
          <w:i/>
        </w:rPr>
        <w:t>de novo</w:t>
      </w:r>
      <w:r w:rsidRPr="004F2BBA">
        <w:t xml:space="preserve"> substitutions (n=11,618), indels (n=</w:t>
      </w:r>
      <w:r>
        <w:t>291</w:t>
      </w:r>
      <w:r w:rsidRPr="004F2BBA">
        <w:t xml:space="preserve">) and SVs (n=41), respectively. Subsequently, the average number of </w:t>
      </w:r>
      <w:r>
        <w:t>affected</w:t>
      </w:r>
      <w:r w:rsidRPr="004F2BBA">
        <w:t xml:space="preserve"> bases per individual was calculated (n=258 for substitutions and SVs; n=99 for indels). We repeated the procedure for inherited vari</w:t>
      </w:r>
      <w:r>
        <w:t xml:space="preserve">ation (indels, inversions, deletions, duplication, MEIs) found in the GoNL project </w:t>
      </w:r>
      <w:r w:rsidR="008B18A5">
        <w:fldChar w:fldCharType="begin" w:fldLock="1"/>
      </w:r>
      <w:r w:rsidR="00A92323">
        <w:instrText>ADDIN CSL_CITATION { "citationItems" : [ { "id" : "ITEM-1", "itemData" : { "ISSN" : "1061-4036", "abstract" : "Whole-genome sequencing enables complete characterization of genetic variation, but geographic clustering of rare alleles demands many diverse populations be studied. Here we describe the Genome of the Netherlands (GoNL) Project, in which we sequenced the whole genomes of 250 Dutch parent-offspring families and constructed a haplotype map of 20.4 million single-nucleotide variants and 1.2 million insertions and deletions. The intermediate coverage ([sim]13[times]) and trio design enabled extensive characterization of structural variation, including midsize events (30-500 bp) previously poorly catalogued and de novo mutations. We demonstrate that the quality of the haplotypes boosts imputation accuracy in independent samples, especially for lower frequency alleles. Population genetic analyses demonstrate fine-scale structure across the country and support multiple ancient migrations, consistent with historical changes in sea level and flooding. The GoNL Project illustrates how single-population whole-genome sequencing can provide detailed characterization of genetic variation and may guide the design of future population studies.", "author" : [ { "dropping-particle" : "", "family" : "Francioli", "given" : "Laurent C", "non-dropping-particle" : "", "parse-names" : false, "suffix" : "" }, { "dropping-particle" : "", "family" : "Menelaou", "given" : "Androniki", "non-dropping-particle" : "", "parse-names" : false, "suffix" : "" }, { "dropping-particle" : "", "family" : "Pulit", "given" : "Sara L", "non-dropping-particle" : "", "parse-names" : false, "suffix" : "" }, { "dropping-particle" : "", "family" : "Dijk", "given" : "Freerk", "non-dropping-particle" : "van", "parse-names" : false, "suffix" : "" }, { "dropping-particle" : "", "family" : "Palamara", "given" : "Pier Francesco", "non-dropping-particle" : "", "parse-names" : false, "suffix" : "" }, { "dropping-particle" : "", "family" : "Elbers", "given" : "Clara C", "non-dropping-particle" : "", "parse-names" : false, "suffix" : "" }, { "dropping-particle" : "", "family" : "Neerincx", "given" : "Pieter B T", "non-dropping-particle" : "", "parse-names" : false, "suffix" : "" }, { "dropping-particle" : "", "family" : "Ye", "given" : "Kai", "non-dropping-particle" : "", "parse-names" : false, "suffix" : "" }, { "dropping-particle" : "", "family" : "Kloosterman", "given" : "Wigard P", "non-dropping-particle" : "", "parse-names" : false, "suffix" : "" }, { "dropping-particle" : "", "family" : "Deelen", "given" : "Patrick", "non-dropping-particle" : "", "parse-names" : false, "suffix" : "" }, { "dropping-particle" : "", "family" : "Abdellaoui", "given" : "Abdel", "non-dropping-particle" : "", "parse-names" : false, "suffix" : "" }, { "dropping-particle" : "", "family" : "Leeuwen", "given" : "Elisabeth M", "non-dropping-particle" : "van", "parse-names" : false, "suffix" : "" }, { "dropping-particle" : "", "family" : "Oven", "given" : "Mannis", "non-dropping-particle" : "van", "parse-names" : false, "suffix" : "" } ], "container-title" : "Nat Genet", "id" : "ITEM-1", "issue" : "8", "issued" : { "date-parts" : [ [ "2014", "8" ] ] }, "page" : "818-825", "publisher" : "Nature Publishing Group, a division of Macmillan Publishers Limited. All Rights Reserved.", "title" : "Whole-genome sequence variation, population structure and demographic history of the Dutch population", "type" : "article-journal", "volume" : "46" }, "uris" : [ "http://www.mendeley.com/documents/?uuid=82702b85-816f-4462-a846-23847257f9d1" ] } ], "mendeley" : { "formattedCitation" : "(Francioli et al. 2014)", "plainTextFormattedCitation" : "(Francioli et al. 2014)", "previouslyFormattedCitation" : "(Francioli et al. 2014)" }, "properties" : { "noteIndex" : 0 }, "schema" : "https://github.com/citation-style-language/schema/raw/master/csl-citation.json" }</w:instrText>
      </w:r>
      <w:r w:rsidR="008B18A5">
        <w:fldChar w:fldCharType="separate"/>
      </w:r>
      <w:r w:rsidR="008B18A5" w:rsidRPr="008B18A5">
        <w:rPr>
          <w:noProof/>
        </w:rPr>
        <w:t>(Francioli et al. 2014)</w:t>
      </w:r>
      <w:r w:rsidR="008B18A5">
        <w:fldChar w:fldCharType="end"/>
      </w:r>
      <w:r w:rsidR="008B18A5">
        <w:t xml:space="preserve"> </w:t>
      </w:r>
      <w:r w:rsidRPr="004F2BBA">
        <w:t xml:space="preserve">in order to compare the footprint of inherited and </w:t>
      </w:r>
      <w:r w:rsidRPr="004F2BBA">
        <w:rPr>
          <w:i/>
        </w:rPr>
        <w:t>de novo</w:t>
      </w:r>
      <w:r w:rsidRPr="004F2BBA">
        <w:t xml:space="preserve"> variation.</w:t>
      </w:r>
    </w:p>
    <w:p w14:paraId="77D7A2A5" w14:textId="77777777" w:rsidR="004142E7" w:rsidRPr="005A0A9C" w:rsidRDefault="004142E7" w:rsidP="00CB3AF7">
      <w:pPr>
        <w:pStyle w:val="SectionTitle"/>
      </w:pPr>
      <w:bookmarkStart w:id="66" w:name="_Toc268963876"/>
      <w:bookmarkStart w:id="67" w:name="_Toc289421735"/>
      <w:r>
        <w:t>The Genome of the Netherlands consortium</w:t>
      </w:r>
      <w:bookmarkEnd w:id="66"/>
      <w:bookmarkEnd w:id="67"/>
    </w:p>
    <w:p w14:paraId="26879F03" w14:textId="77777777" w:rsidR="004142E7" w:rsidRDefault="004142E7" w:rsidP="004142E7"/>
    <w:p w14:paraId="3BEBEE5D" w14:textId="77777777" w:rsidR="004142E7" w:rsidRPr="005E3352" w:rsidRDefault="004142E7" w:rsidP="004142E7">
      <w:pPr>
        <w:outlineLvl w:val="0"/>
        <w:rPr>
          <w:rFonts w:cs="Arial"/>
          <w:b/>
          <w:szCs w:val="20"/>
        </w:rPr>
      </w:pPr>
      <w:r w:rsidRPr="005E3352">
        <w:rPr>
          <w:rFonts w:cs="Arial"/>
          <w:b/>
          <w:szCs w:val="20"/>
        </w:rPr>
        <w:t>Steering committee</w:t>
      </w:r>
    </w:p>
    <w:p w14:paraId="65242912" w14:textId="77777777" w:rsidR="004142E7" w:rsidRPr="00014694" w:rsidRDefault="004142E7" w:rsidP="004142E7">
      <w:pPr>
        <w:outlineLvl w:val="0"/>
        <w:rPr>
          <w:rFonts w:cs="Arial"/>
          <w:szCs w:val="20"/>
        </w:rPr>
      </w:pPr>
      <w:r w:rsidRPr="00014694">
        <w:rPr>
          <w:rFonts w:cs="Arial"/>
          <w:szCs w:val="20"/>
        </w:rPr>
        <w:t>Cisca Wijmenga</w:t>
      </w:r>
      <w:r>
        <w:rPr>
          <w:rFonts w:cs="Arial"/>
          <w:szCs w:val="20"/>
          <w:vertAlign w:val="superscript"/>
        </w:rPr>
        <w:t>1,2</w:t>
      </w:r>
      <w:r>
        <w:rPr>
          <w:rFonts w:cs="Arial"/>
          <w:szCs w:val="20"/>
        </w:rPr>
        <w:t xml:space="preserve"> (Principal I</w:t>
      </w:r>
      <w:r w:rsidRPr="00014694">
        <w:rPr>
          <w:rFonts w:cs="Arial"/>
          <w:szCs w:val="20"/>
        </w:rPr>
        <w:t>nvestigator), Morris A. Swertz</w:t>
      </w:r>
      <w:r>
        <w:rPr>
          <w:rFonts w:cs="Arial"/>
          <w:szCs w:val="20"/>
          <w:vertAlign w:val="superscript"/>
        </w:rPr>
        <w:t>1,2</w:t>
      </w:r>
      <w:r w:rsidRPr="00014694">
        <w:rPr>
          <w:rFonts w:cs="Arial"/>
          <w:szCs w:val="20"/>
        </w:rPr>
        <w:t>, Cornelia M. van Duijn</w:t>
      </w:r>
      <w:r>
        <w:rPr>
          <w:rFonts w:cs="Arial"/>
          <w:szCs w:val="20"/>
          <w:vertAlign w:val="superscript"/>
        </w:rPr>
        <w:t>3</w:t>
      </w:r>
      <w:r w:rsidRPr="00014694">
        <w:rPr>
          <w:rFonts w:cs="Arial"/>
          <w:szCs w:val="20"/>
        </w:rPr>
        <w:t>, Dorret I. Boomsma</w:t>
      </w:r>
      <w:r>
        <w:rPr>
          <w:rFonts w:cs="Arial"/>
          <w:szCs w:val="20"/>
          <w:vertAlign w:val="superscript"/>
        </w:rPr>
        <w:t>4</w:t>
      </w:r>
      <w:r w:rsidRPr="00014694">
        <w:rPr>
          <w:rFonts w:cs="Arial"/>
          <w:szCs w:val="20"/>
        </w:rPr>
        <w:t>, P. Eline Slagboom</w:t>
      </w:r>
      <w:r>
        <w:rPr>
          <w:rFonts w:cs="Arial"/>
          <w:szCs w:val="20"/>
          <w:vertAlign w:val="superscript"/>
        </w:rPr>
        <w:t>5</w:t>
      </w:r>
      <w:r w:rsidRPr="00014694">
        <w:rPr>
          <w:rFonts w:cs="Arial"/>
          <w:szCs w:val="20"/>
        </w:rPr>
        <w:t>, Gertjan B. van Ommen</w:t>
      </w:r>
      <w:r>
        <w:rPr>
          <w:rFonts w:cs="Arial"/>
          <w:szCs w:val="20"/>
          <w:vertAlign w:val="superscript"/>
        </w:rPr>
        <w:t>6</w:t>
      </w:r>
      <w:r w:rsidRPr="00014694">
        <w:rPr>
          <w:rFonts w:cs="Arial"/>
          <w:szCs w:val="20"/>
        </w:rPr>
        <w:t>, Paul I.W. de Bakker</w:t>
      </w:r>
      <w:r>
        <w:rPr>
          <w:rFonts w:cs="Arial"/>
          <w:szCs w:val="20"/>
          <w:vertAlign w:val="superscript"/>
        </w:rPr>
        <w:t>7</w:t>
      </w:r>
      <w:r w:rsidRPr="00014694">
        <w:rPr>
          <w:rFonts w:cs="Arial"/>
          <w:szCs w:val="20"/>
          <w:vertAlign w:val="superscript"/>
        </w:rPr>
        <w:t>,</w:t>
      </w:r>
      <w:r>
        <w:rPr>
          <w:rFonts w:cs="Arial"/>
          <w:szCs w:val="20"/>
          <w:vertAlign w:val="superscript"/>
        </w:rPr>
        <w:t>8</w:t>
      </w:r>
      <w:r w:rsidRPr="00014694">
        <w:rPr>
          <w:rFonts w:cs="Arial"/>
          <w:szCs w:val="20"/>
          <w:vertAlign w:val="superscript"/>
        </w:rPr>
        <w:t>-</w:t>
      </w:r>
      <w:r>
        <w:rPr>
          <w:rFonts w:cs="Arial"/>
          <w:szCs w:val="20"/>
          <w:vertAlign w:val="superscript"/>
        </w:rPr>
        <w:t>10</w:t>
      </w:r>
    </w:p>
    <w:p w14:paraId="374875BA" w14:textId="77777777" w:rsidR="004142E7" w:rsidRDefault="004142E7" w:rsidP="004142E7">
      <w:pPr>
        <w:widowControl w:val="0"/>
        <w:autoSpaceDE w:val="0"/>
        <w:autoSpaceDN w:val="0"/>
        <w:adjustRightInd w:val="0"/>
        <w:rPr>
          <w:rFonts w:cs="Arial"/>
          <w:b/>
          <w:szCs w:val="20"/>
        </w:rPr>
      </w:pPr>
    </w:p>
    <w:p w14:paraId="71D92068" w14:textId="77777777" w:rsidR="004142E7" w:rsidRPr="00AA0BCB" w:rsidRDefault="004142E7" w:rsidP="004142E7">
      <w:pPr>
        <w:widowControl w:val="0"/>
        <w:autoSpaceDE w:val="0"/>
        <w:autoSpaceDN w:val="0"/>
        <w:adjustRightInd w:val="0"/>
        <w:rPr>
          <w:rFonts w:cs="Arial"/>
          <w:b/>
          <w:szCs w:val="20"/>
        </w:rPr>
      </w:pPr>
      <w:r w:rsidRPr="00AA0BCB">
        <w:rPr>
          <w:rFonts w:cs="Arial"/>
          <w:b/>
          <w:szCs w:val="20"/>
        </w:rPr>
        <w:t xml:space="preserve">Analysis group </w:t>
      </w:r>
    </w:p>
    <w:p w14:paraId="31BD2CB2" w14:textId="77777777" w:rsidR="004142E7" w:rsidRPr="00AA0BCB" w:rsidRDefault="004142E7" w:rsidP="004142E7">
      <w:pPr>
        <w:widowControl w:val="0"/>
        <w:autoSpaceDE w:val="0"/>
        <w:autoSpaceDN w:val="0"/>
        <w:adjustRightInd w:val="0"/>
        <w:rPr>
          <w:rFonts w:cs="Arial"/>
          <w:szCs w:val="20"/>
        </w:rPr>
      </w:pPr>
      <w:r w:rsidRPr="00014694">
        <w:rPr>
          <w:rFonts w:cs="Arial"/>
          <w:szCs w:val="20"/>
        </w:rPr>
        <w:t xml:space="preserve">Morris </w:t>
      </w:r>
      <w:r>
        <w:rPr>
          <w:rFonts w:cs="Arial"/>
          <w:szCs w:val="20"/>
        </w:rPr>
        <w:t xml:space="preserve">A. </w:t>
      </w:r>
      <w:r w:rsidRPr="00014694">
        <w:rPr>
          <w:rFonts w:cs="Arial"/>
          <w:szCs w:val="20"/>
        </w:rPr>
        <w:t>Swertz</w:t>
      </w:r>
      <w:r>
        <w:rPr>
          <w:rFonts w:cs="Arial"/>
          <w:szCs w:val="20"/>
          <w:vertAlign w:val="superscript"/>
        </w:rPr>
        <w:t>1,2</w:t>
      </w:r>
      <w:r w:rsidRPr="00014694">
        <w:rPr>
          <w:rFonts w:cs="Arial"/>
          <w:szCs w:val="20"/>
        </w:rPr>
        <w:t xml:space="preserve"> (Co-Chair), Laurent C. Francioli</w:t>
      </w:r>
      <w:r>
        <w:rPr>
          <w:rFonts w:cs="Arial"/>
          <w:szCs w:val="20"/>
          <w:vertAlign w:val="superscript"/>
        </w:rPr>
        <w:t>7</w:t>
      </w:r>
      <w:r w:rsidRPr="00014694">
        <w:rPr>
          <w:rFonts w:cs="Arial"/>
          <w:szCs w:val="20"/>
        </w:rPr>
        <w:t>, Freerk van Dijk</w:t>
      </w:r>
      <w:r>
        <w:rPr>
          <w:rFonts w:cs="Arial"/>
          <w:szCs w:val="20"/>
          <w:vertAlign w:val="superscript"/>
        </w:rPr>
        <w:t>1,2</w:t>
      </w:r>
      <w:r w:rsidRPr="00014694">
        <w:rPr>
          <w:rFonts w:cs="Arial"/>
          <w:szCs w:val="20"/>
        </w:rPr>
        <w:t>, Androniki Menelaou</w:t>
      </w:r>
      <w:r>
        <w:rPr>
          <w:rFonts w:cs="Arial"/>
          <w:szCs w:val="20"/>
          <w:vertAlign w:val="superscript"/>
        </w:rPr>
        <w:t>7</w:t>
      </w:r>
      <w:r w:rsidRPr="00014694">
        <w:rPr>
          <w:rFonts w:cs="Arial"/>
          <w:szCs w:val="20"/>
        </w:rPr>
        <w:t>, Pieter B.T. Neerincx</w:t>
      </w:r>
      <w:r>
        <w:rPr>
          <w:rFonts w:cs="Arial"/>
          <w:szCs w:val="20"/>
          <w:vertAlign w:val="superscript"/>
        </w:rPr>
        <w:t>1,2</w:t>
      </w:r>
      <w:r w:rsidRPr="00014694">
        <w:rPr>
          <w:rFonts w:cs="Arial"/>
          <w:szCs w:val="20"/>
        </w:rPr>
        <w:t>, Sara L. Pulit</w:t>
      </w:r>
      <w:r>
        <w:rPr>
          <w:rFonts w:cs="Arial"/>
          <w:szCs w:val="20"/>
          <w:vertAlign w:val="superscript"/>
        </w:rPr>
        <w:t>7</w:t>
      </w:r>
      <w:r w:rsidRPr="00014694">
        <w:rPr>
          <w:rFonts w:cs="Arial"/>
          <w:szCs w:val="20"/>
        </w:rPr>
        <w:t>, Patrick Deelen</w:t>
      </w:r>
      <w:r>
        <w:rPr>
          <w:rFonts w:cs="Arial"/>
          <w:szCs w:val="20"/>
          <w:vertAlign w:val="superscript"/>
        </w:rPr>
        <w:t>1,2</w:t>
      </w:r>
      <w:r w:rsidRPr="00014694">
        <w:rPr>
          <w:rFonts w:cs="Arial"/>
          <w:szCs w:val="20"/>
        </w:rPr>
        <w:t>, Clara C. Elbers</w:t>
      </w:r>
      <w:r>
        <w:rPr>
          <w:rFonts w:cs="Arial"/>
          <w:szCs w:val="20"/>
          <w:vertAlign w:val="superscript"/>
        </w:rPr>
        <w:t>7</w:t>
      </w:r>
      <w:r w:rsidRPr="00014694">
        <w:rPr>
          <w:rFonts w:cs="Arial"/>
          <w:szCs w:val="20"/>
        </w:rPr>
        <w:t>, Pier Francesco Palamara</w:t>
      </w:r>
      <w:r>
        <w:rPr>
          <w:rFonts w:cs="Arial"/>
          <w:szCs w:val="20"/>
          <w:vertAlign w:val="superscript"/>
        </w:rPr>
        <w:t>11</w:t>
      </w:r>
      <w:r w:rsidRPr="00014694">
        <w:rPr>
          <w:rFonts w:cs="Arial"/>
          <w:szCs w:val="20"/>
        </w:rPr>
        <w:t>, Itsik Pe’er</w:t>
      </w:r>
      <w:r>
        <w:rPr>
          <w:rFonts w:cs="Arial"/>
          <w:szCs w:val="20"/>
          <w:vertAlign w:val="superscript"/>
        </w:rPr>
        <w:t>11</w:t>
      </w:r>
      <w:r w:rsidRPr="00014694">
        <w:rPr>
          <w:rFonts w:cs="Arial"/>
          <w:szCs w:val="20"/>
          <w:vertAlign w:val="superscript"/>
        </w:rPr>
        <w:t>,</w:t>
      </w:r>
      <w:r>
        <w:rPr>
          <w:rFonts w:cs="Arial"/>
          <w:szCs w:val="20"/>
          <w:vertAlign w:val="superscript"/>
        </w:rPr>
        <w:t>12</w:t>
      </w:r>
      <w:r w:rsidRPr="00014694">
        <w:rPr>
          <w:rFonts w:cs="Arial"/>
          <w:szCs w:val="20"/>
        </w:rPr>
        <w:t>, Abdel Abdellaoui</w:t>
      </w:r>
      <w:r>
        <w:rPr>
          <w:rFonts w:cs="Arial"/>
          <w:szCs w:val="20"/>
          <w:vertAlign w:val="superscript"/>
        </w:rPr>
        <w:t>4</w:t>
      </w:r>
      <w:r w:rsidRPr="00014694">
        <w:rPr>
          <w:rFonts w:cs="Arial"/>
          <w:szCs w:val="20"/>
        </w:rPr>
        <w:t>, Wigard P. Kloosterman</w:t>
      </w:r>
      <w:r>
        <w:rPr>
          <w:rFonts w:cs="Arial"/>
          <w:szCs w:val="20"/>
          <w:vertAlign w:val="superscript"/>
        </w:rPr>
        <w:t>7</w:t>
      </w:r>
      <w:r w:rsidRPr="00014694">
        <w:rPr>
          <w:rFonts w:cs="Arial"/>
          <w:szCs w:val="20"/>
        </w:rPr>
        <w:t>, Mannis van Oven</w:t>
      </w:r>
      <w:r>
        <w:rPr>
          <w:rFonts w:cs="Arial"/>
          <w:szCs w:val="20"/>
          <w:vertAlign w:val="superscript"/>
        </w:rPr>
        <w:t>13</w:t>
      </w:r>
      <w:r w:rsidRPr="00014694">
        <w:rPr>
          <w:rFonts w:cs="Arial"/>
          <w:szCs w:val="20"/>
        </w:rPr>
        <w:t>, Martijn Vermaat</w:t>
      </w:r>
      <w:r>
        <w:rPr>
          <w:rFonts w:cs="Arial"/>
          <w:szCs w:val="20"/>
          <w:vertAlign w:val="superscript"/>
        </w:rPr>
        <w:t>14</w:t>
      </w:r>
      <w:r w:rsidRPr="00014694">
        <w:rPr>
          <w:rFonts w:cs="Arial"/>
          <w:szCs w:val="20"/>
        </w:rPr>
        <w:t>, Mingkun Li</w:t>
      </w:r>
      <w:r>
        <w:rPr>
          <w:rFonts w:cs="Arial"/>
          <w:szCs w:val="20"/>
          <w:vertAlign w:val="superscript"/>
        </w:rPr>
        <w:t>15</w:t>
      </w:r>
      <w:r w:rsidRPr="00014694">
        <w:rPr>
          <w:rFonts w:cs="Arial"/>
          <w:szCs w:val="20"/>
        </w:rPr>
        <w:t>, Jeroen F.J. Laros</w:t>
      </w:r>
      <w:r>
        <w:rPr>
          <w:rFonts w:cs="Arial"/>
          <w:szCs w:val="20"/>
          <w:vertAlign w:val="superscript"/>
        </w:rPr>
        <w:t>14</w:t>
      </w:r>
      <w:r w:rsidRPr="00014694">
        <w:rPr>
          <w:rFonts w:cs="Arial"/>
          <w:szCs w:val="20"/>
        </w:rPr>
        <w:t>, Mark Stoneking</w:t>
      </w:r>
      <w:r>
        <w:rPr>
          <w:rFonts w:cs="Arial"/>
          <w:szCs w:val="20"/>
          <w:vertAlign w:val="superscript"/>
        </w:rPr>
        <w:t>15</w:t>
      </w:r>
      <w:r w:rsidRPr="00014694">
        <w:rPr>
          <w:rFonts w:cs="Arial"/>
          <w:szCs w:val="20"/>
        </w:rPr>
        <w:t>, Peter de Knijff</w:t>
      </w:r>
      <w:r>
        <w:rPr>
          <w:rFonts w:cs="Arial"/>
          <w:szCs w:val="20"/>
          <w:vertAlign w:val="superscript"/>
        </w:rPr>
        <w:t>16</w:t>
      </w:r>
      <w:r w:rsidRPr="00014694">
        <w:rPr>
          <w:rFonts w:cs="Arial"/>
          <w:szCs w:val="20"/>
        </w:rPr>
        <w:t>, Manfred Kayser</w:t>
      </w:r>
      <w:r>
        <w:rPr>
          <w:rFonts w:cs="Arial"/>
          <w:szCs w:val="20"/>
          <w:vertAlign w:val="superscript"/>
        </w:rPr>
        <w:t>14</w:t>
      </w:r>
      <w:r w:rsidRPr="00014694">
        <w:rPr>
          <w:rFonts w:cs="Arial"/>
          <w:szCs w:val="20"/>
        </w:rPr>
        <w:t>, Jan H. Veldink</w:t>
      </w:r>
      <w:r>
        <w:rPr>
          <w:rFonts w:cs="Arial"/>
          <w:szCs w:val="20"/>
          <w:vertAlign w:val="superscript"/>
        </w:rPr>
        <w:t>17</w:t>
      </w:r>
      <w:r w:rsidRPr="00014694">
        <w:rPr>
          <w:rFonts w:cs="Arial"/>
          <w:szCs w:val="20"/>
        </w:rPr>
        <w:t>, Leonard H. van den Berg</w:t>
      </w:r>
      <w:r>
        <w:rPr>
          <w:rFonts w:cs="Arial"/>
          <w:szCs w:val="20"/>
          <w:vertAlign w:val="superscript"/>
        </w:rPr>
        <w:t>17</w:t>
      </w:r>
      <w:r w:rsidRPr="00014694">
        <w:rPr>
          <w:rFonts w:cs="Arial"/>
          <w:szCs w:val="20"/>
        </w:rPr>
        <w:t>, Heorhiy Byelas</w:t>
      </w:r>
      <w:r>
        <w:rPr>
          <w:rFonts w:cs="Arial"/>
          <w:szCs w:val="20"/>
          <w:vertAlign w:val="superscript"/>
        </w:rPr>
        <w:t>1,2</w:t>
      </w:r>
      <w:r w:rsidRPr="00014694">
        <w:rPr>
          <w:rFonts w:cs="Arial"/>
          <w:szCs w:val="20"/>
        </w:rPr>
        <w:t>, Johan T. den Dunnen</w:t>
      </w:r>
      <w:r>
        <w:rPr>
          <w:rFonts w:cs="Arial"/>
          <w:szCs w:val="20"/>
          <w:vertAlign w:val="superscript"/>
        </w:rPr>
        <w:t>14</w:t>
      </w:r>
      <w:r w:rsidRPr="00014694">
        <w:rPr>
          <w:rFonts w:cs="Arial"/>
          <w:szCs w:val="20"/>
        </w:rPr>
        <w:t>, Martijn Dijkstra</w:t>
      </w:r>
      <w:r>
        <w:rPr>
          <w:rFonts w:cs="Arial"/>
          <w:szCs w:val="20"/>
          <w:vertAlign w:val="superscript"/>
        </w:rPr>
        <w:t>1,2</w:t>
      </w:r>
      <w:r w:rsidRPr="00014694">
        <w:rPr>
          <w:rFonts w:cs="Arial"/>
          <w:szCs w:val="20"/>
        </w:rPr>
        <w:t>, Najaf Amin</w:t>
      </w:r>
      <w:r>
        <w:rPr>
          <w:rFonts w:cs="Arial"/>
          <w:szCs w:val="20"/>
          <w:vertAlign w:val="superscript"/>
        </w:rPr>
        <w:t>3</w:t>
      </w:r>
      <w:r w:rsidRPr="00014694">
        <w:rPr>
          <w:rFonts w:cs="Arial"/>
          <w:szCs w:val="20"/>
        </w:rPr>
        <w:t>, K. Joeri van der Velde</w:t>
      </w:r>
      <w:r>
        <w:rPr>
          <w:rFonts w:cs="Arial"/>
          <w:szCs w:val="20"/>
          <w:vertAlign w:val="superscript"/>
        </w:rPr>
        <w:t>1,2</w:t>
      </w:r>
      <w:r w:rsidRPr="00014694">
        <w:rPr>
          <w:rFonts w:cs="Arial"/>
          <w:szCs w:val="20"/>
        </w:rPr>
        <w:t>, Jouke Jan Hottenga</w:t>
      </w:r>
      <w:r>
        <w:rPr>
          <w:rFonts w:cs="Arial"/>
          <w:szCs w:val="20"/>
          <w:vertAlign w:val="superscript"/>
        </w:rPr>
        <w:t>4</w:t>
      </w:r>
      <w:r>
        <w:rPr>
          <w:rFonts w:cs="Arial"/>
          <w:szCs w:val="20"/>
        </w:rPr>
        <w:t>, Jessica van Setten</w:t>
      </w:r>
      <w:r>
        <w:rPr>
          <w:rFonts w:cs="Arial"/>
          <w:szCs w:val="20"/>
          <w:vertAlign w:val="superscript"/>
        </w:rPr>
        <w:t>7</w:t>
      </w:r>
      <w:r>
        <w:rPr>
          <w:rFonts w:cs="Arial"/>
          <w:szCs w:val="20"/>
        </w:rPr>
        <w:t xml:space="preserve">, </w:t>
      </w:r>
      <w:r w:rsidRPr="00014694">
        <w:rPr>
          <w:rFonts w:cs="Arial"/>
          <w:szCs w:val="20"/>
        </w:rPr>
        <w:t>Elisabeth M. van Leeuwen</w:t>
      </w:r>
      <w:r>
        <w:rPr>
          <w:rFonts w:cs="Arial"/>
          <w:szCs w:val="20"/>
          <w:vertAlign w:val="superscript"/>
        </w:rPr>
        <w:t>3</w:t>
      </w:r>
      <w:r w:rsidRPr="00014694">
        <w:rPr>
          <w:rFonts w:cs="Arial"/>
          <w:szCs w:val="20"/>
        </w:rPr>
        <w:t>, Alexandros Kanterakis</w:t>
      </w:r>
      <w:r>
        <w:rPr>
          <w:rFonts w:cs="Arial"/>
          <w:szCs w:val="20"/>
          <w:vertAlign w:val="superscript"/>
        </w:rPr>
        <w:t>1,2</w:t>
      </w:r>
      <w:r w:rsidRPr="00014694">
        <w:rPr>
          <w:rFonts w:cs="Arial"/>
          <w:szCs w:val="20"/>
        </w:rPr>
        <w:t>, Mathijs Kattenberg</w:t>
      </w:r>
      <w:r>
        <w:rPr>
          <w:rFonts w:cs="Arial"/>
          <w:szCs w:val="20"/>
          <w:vertAlign w:val="superscript"/>
        </w:rPr>
        <w:t>4</w:t>
      </w:r>
      <w:r w:rsidRPr="00014694">
        <w:rPr>
          <w:rFonts w:cs="Arial"/>
          <w:szCs w:val="20"/>
        </w:rPr>
        <w:t>, Lennart C. Karssen</w:t>
      </w:r>
      <w:r>
        <w:rPr>
          <w:rFonts w:cs="Arial"/>
          <w:szCs w:val="20"/>
          <w:vertAlign w:val="superscript"/>
        </w:rPr>
        <w:t>3</w:t>
      </w:r>
      <w:r w:rsidRPr="00014694">
        <w:rPr>
          <w:rFonts w:cs="Arial"/>
          <w:szCs w:val="20"/>
        </w:rPr>
        <w:t>, Barbera D.C. van Schaik</w:t>
      </w:r>
      <w:r>
        <w:rPr>
          <w:rFonts w:cs="Arial"/>
          <w:szCs w:val="20"/>
          <w:vertAlign w:val="superscript"/>
        </w:rPr>
        <w:t>18</w:t>
      </w:r>
      <w:r w:rsidRPr="00014694">
        <w:rPr>
          <w:rFonts w:cs="Arial"/>
          <w:szCs w:val="20"/>
        </w:rPr>
        <w:t>, Jan Bot</w:t>
      </w:r>
      <w:r>
        <w:rPr>
          <w:rFonts w:cs="Arial"/>
          <w:szCs w:val="20"/>
          <w:vertAlign w:val="superscript"/>
        </w:rPr>
        <w:t>19</w:t>
      </w:r>
      <w:r w:rsidRPr="00014694">
        <w:rPr>
          <w:rFonts w:cs="Arial"/>
          <w:szCs w:val="20"/>
        </w:rPr>
        <w:t>, Isaäc J. Nijman</w:t>
      </w:r>
      <w:r>
        <w:rPr>
          <w:rFonts w:cs="Arial"/>
          <w:szCs w:val="20"/>
          <w:vertAlign w:val="superscript"/>
        </w:rPr>
        <w:t>7</w:t>
      </w:r>
      <w:r w:rsidRPr="00014694">
        <w:rPr>
          <w:rFonts w:cs="Arial"/>
          <w:szCs w:val="20"/>
        </w:rPr>
        <w:t xml:space="preserve">, </w:t>
      </w:r>
      <w:r>
        <w:rPr>
          <w:rFonts w:cs="Arial"/>
          <w:szCs w:val="20"/>
        </w:rPr>
        <w:t>Ivo Renkens</w:t>
      </w:r>
      <w:r>
        <w:rPr>
          <w:rFonts w:cs="Arial"/>
          <w:szCs w:val="20"/>
          <w:vertAlign w:val="superscript"/>
        </w:rPr>
        <w:t>7</w:t>
      </w:r>
      <w:r>
        <w:rPr>
          <w:rFonts w:cs="Arial"/>
          <w:szCs w:val="20"/>
        </w:rPr>
        <w:t xml:space="preserve">, </w:t>
      </w:r>
      <w:r w:rsidRPr="00014694">
        <w:rPr>
          <w:rFonts w:cs="Arial"/>
          <w:szCs w:val="20"/>
        </w:rPr>
        <w:t>David van Enckevort</w:t>
      </w:r>
      <w:r>
        <w:rPr>
          <w:rFonts w:cs="Arial"/>
          <w:szCs w:val="20"/>
          <w:vertAlign w:val="superscript"/>
        </w:rPr>
        <w:t>20</w:t>
      </w:r>
      <w:r w:rsidRPr="00014694">
        <w:rPr>
          <w:rFonts w:cs="Arial"/>
          <w:szCs w:val="20"/>
        </w:rPr>
        <w:t>, Hailiang Mei</w:t>
      </w:r>
      <w:r>
        <w:rPr>
          <w:rFonts w:cs="Arial"/>
          <w:szCs w:val="20"/>
          <w:vertAlign w:val="superscript"/>
        </w:rPr>
        <w:t>20</w:t>
      </w:r>
      <w:r w:rsidRPr="00014694">
        <w:rPr>
          <w:rFonts w:cs="Arial"/>
          <w:szCs w:val="20"/>
        </w:rPr>
        <w:t>, Vyacheslav Koval</w:t>
      </w:r>
      <w:r>
        <w:rPr>
          <w:rFonts w:cs="Arial"/>
          <w:szCs w:val="20"/>
          <w:vertAlign w:val="superscript"/>
        </w:rPr>
        <w:t>21</w:t>
      </w:r>
      <w:r w:rsidRPr="00014694">
        <w:rPr>
          <w:rFonts w:cs="Arial"/>
          <w:szCs w:val="20"/>
        </w:rPr>
        <w:t xml:space="preserve">, </w:t>
      </w:r>
      <w:r>
        <w:rPr>
          <w:rFonts w:cs="Arial"/>
          <w:szCs w:val="20"/>
        </w:rPr>
        <w:t>Karol Estrada</w:t>
      </w:r>
      <w:r>
        <w:rPr>
          <w:rFonts w:cs="Arial"/>
          <w:szCs w:val="20"/>
          <w:vertAlign w:val="superscript"/>
        </w:rPr>
        <w:t>21</w:t>
      </w:r>
      <w:r>
        <w:rPr>
          <w:rFonts w:cs="Arial"/>
          <w:szCs w:val="20"/>
        </w:rPr>
        <w:t>, Carolina Medina-Gomez</w:t>
      </w:r>
      <w:r>
        <w:rPr>
          <w:rFonts w:cs="Arial"/>
          <w:szCs w:val="20"/>
          <w:vertAlign w:val="superscript"/>
        </w:rPr>
        <w:t>21</w:t>
      </w:r>
      <w:r>
        <w:rPr>
          <w:rFonts w:cs="Arial"/>
          <w:szCs w:val="20"/>
        </w:rPr>
        <w:t xml:space="preserve">, </w:t>
      </w:r>
      <w:r w:rsidRPr="00014694">
        <w:rPr>
          <w:rFonts w:cs="Arial"/>
          <w:szCs w:val="20"/>
        </w:rPr>
        <w:t>Kai Ye</w:t>
      </w:r>
      <w:r>
        <w:rPr>
          <w:rFonts w:cs="Arial"/>
          <w:szCs w:val="20"/>
          <w:vertAlign w:val="superscript"/>
        </w:rPr>
        <w:t>22</w:t>
      </w:r>
      <w:r w:rsidRPr="00014694">
        <w:rPr>
          <w:rFonts w:cs="Arial"/>
          <w:szCs w:val="20"/>
          <w:vertAlign w:val="superscript"/>
        </w:rPr>
        <w:t>,</w:t>
      </w:r>
      <w:r>
        <w:rPr>
          <w:rFonts w:cs="Arial"/>
          <w:szCs w:val="20"/>
          <w:vertAlign w:val="superscript"/>
        </w:rPr>
        <w:t>5</w:t>
      </w:r>
      <w:r w:rsidRPr="00014694">
        <w:rPr>
          <w:rFonts w:cs="Arial"/>
          <w:szCs w:val="20"/>
        </w:rPr>
        <w:t>, Eric-Wubbo Lameijer</w:t>
      </w:r>
      <w:r>
        <w:rPr>
          <w:rFonts w:cs="Arial"/>
          <w:szCs w:val="20"/>
          <w:vertAlign w:val="superscript"/>
        </w:rPr>
        <w:t>5</w:t>
      </w:r>
      <w:r w:rsidRPr="00014694">
        <w:rPr>
          <w:rFonts w:cs="Arial"/>
          <w:szCs w:val="20"/>
        </w:rPr>
        <w:t>, Matthijs H. Moed</w:t>
      </w:r>
      <w:r>
        <w:rPr>
          <w:rFonts w:cs="Arial"/>
          <w:szCs w:val="20"/>
          <w:vertAlign w:val="superscript"/>
        </w:rPr>
        <w:t>5</w:t>
      </w:r>
      <w:r w:rsidRPr="00014694">
        <w:rPr>
          <w:rFonts w:cs="Arial"/>
          <w:szCs w:val="20"/>
        </w:rPr>
        <w:t>, Jayne Y. Hehir-Kwa</w:t>
      </w:r>
      <w:r w:rsidRPr="00014694">
        <w:rPr>
          <w:rFonts w:cs="Arial"/>
          <w:szCs w:val="20"/>
          <w:vertAlign w:val="superscript"/>
        </w:rPr>
        <w:t>2</w:t>
      </w:r>
      <w:r>
        <w:rPr>
          <w:rFonts w:cs="Arial"/>
          <w:szCs w:val="20"/>
          <w:vertAlign w:val="superscript"/>
        </w:rPr>
        <w:t>3</w:t>
      </w:r>
      <w:r w:rsidRPr="00014694">
        <w:rPr>
          <w:rFonts w:cs="Arial"/>
          <w:szCs w:val="20"/>
        </w:rPr>
        <w:t>, Robert E. Handsaker</w:t>
      </w:r>
      <w:r>
        <w:rPr>
          <w:rFonts w:cs="Arial"/>
          <w:szCs w:val="20"/>
          <w:vertAlign w:val="superscript"/>
        </w:rPr>
        <w:t>10,24</w:t>
      </w:r>
      <w:r w:rsidRPr="00014694">
        <w:rPr>
          <w:rFonts w:cs="Arial"/>
          <w:szCs w:val="20"/>
        </w:rPr>
        <w:t xml:space="preserve">, </w:t>
      </w:r>
      <w:r>
        <w:t>Steven A. McCarroll</w:t>
      </w:r>
      <w:r>
        <w:rPr>
          <w:vertAlign w:val="superscript"/>
        </w:rPr>
        <w:t>10,24</w:t>
      </w:r>
      <w:r>
        <w:rPr>
          <w:rFonts w:cs="Arial"/>
          <w:szCs w:val="20"/>
        </w:rPr>
        <w:t xml:space="preserve">, </w:t>
      </w:r>
      <w:r w:rsidRPr="00014694">
        <w:rPr>
          <w:rFonts w:cs="Arial"/>
          <w:szCs w:val="20"/>
        </w:rPr>
        <w:t>Shamil R. Sunyaev</w:t>
      </w:r>
      <w:r>
        <w:rPr>
          <w:rFonts w:cs="Arial"/>
          <w:szCs w:val="20"/>
          <w:vertAlign w:val="superscript"/>
        </w:rPr>
        <w:t>9</w:t>
      </w:r>
      <w:r w:rsidRPr="00014694">
        <w:rPr>
          <w:rFonts w:cs="Arial"/>
          <w:szCs w:val="20"/>
          <w:vertAlign w:val="superscript"/>
        </w:rPr>
        <w:t>,</w:t>
      </w:r>
      <w:r>
        <w:rPr>
          <w:rFonts w:cs="Arial"/>
          <w:szCs w:val="20"/>
          <w:vertAlign w:val="superscript"/>
        </w:rPr>
        <w:t>10</w:t>
      </w:r>
      <w:r w:rsidRPr="00014694">
        <w:rPr>
          <w:rFonts w:cs="Arial"/>
          <w:szCs w:val="20"/>
        </w:rPr>
        <w:t xml:space="preserve">, </w:t>
      </w:r>
      <w:r>
        <w:rPr>
          <w:rFonts w:cs="Arial"/>
          <w:szCs w:val="20"/>
        </w:rPr>
        <w:t>Paz Polak</w:t>
      </w:r>
      <w:r>
        <w:rPr>
          <w:rFonts w:cs="Arial"/>
          <w:szCs w:val="20"/>
          <w:vertAlign w:val="superscript"/>
        </w:rPr>
        <w:t>9</w:t>
      </w:r>
      <w:r>
        <w:rPr>
          <w:rFonts w:cs="Arial"/>
          <w:szCs w:val="20"/>
        </w:rPr>
        <w:t xml:space="preserve">, </w:t>
      </w:r>
      <w:r w:rsidRPr="00745859">
        <w:rPr>
          <w:rFonts w:cs="Arial"/>
          <w:szCs w:val="20"/>
        </w:rPr>
        <w:t>Dana Vuzman</w:t>
      </w:r>
      <w:r>
        <w:rPr>
          <w:rFonts w:cs="Arial"/>
          <w:szCs w:val="20"/>
          <w:vertAlign w:val="superscript"/>
        </w:rPr>
        <w:t>9</w:t>
      </w:r>
      <w:r>
        <w:rPr>
          <w:rFonts w:cs="Arial"/>
          <w:szCs w:val="20"/>
        </w:rPr>
        <w:t>, Mashaal Sohail</w:t>
      </w:r>
      <w:r>
        <w:rPr>
          <w:rFonts w:cs="Arial"/>
          <w:szCs w:val="20"/>
          <w:vertAlign w:val="superscript"/>
        </w:rPr>
        <w:t>9</w:t>
      </w:r>
      <w:r>
        <w:rPr>
          <w:rFonts w:cs="Arial"/>
          <w:szCs w:val="20"/>
        </w:rPr>
        <w:t xml:space="preserve">, </w:t>
      </w:r>
      <w:r w:rsidRPr="00014694">
        <w:rPr>
          <w:rFonts w:cs="Arial"/>
          <w:szCs w:val="20"/>
        </w:rPr>
        <w:t>Fereydoun Hormozdiari</w:t>
      </w:r>
      <w:r w:rsidRPr="00014694">
        <w:rPr>
          <w:rFonts w:cs="Arial"/>
          <w:szCs w:val="20"/>
          <w:vertAlign w:val="superscript"/>
        </w:rPr>
        <w:t>2</w:t>
      </w:r>
      <w:r>
        <w:rPr>
          <w:rFonts w:cs="Arial"/>
          <w:szCs w:val="20"/>
          <w:vertAlign w:val="superscript"/>
        </w:rPr>
        <w:t>5</w:t>
      </w:r>
      <w:r w:rsidRPr="00014694">
        <w:rPr>
          <w:rFonts w:cs="Arial"/>
          <w:szCs w:val="20"/>
        </w:rPr>
        <w:t>, Tobias Marschall</w:t>
      </w:r>
      <w:r w:rsidRPr="00014694">
        <w:rPr>
          <w:rFonts w:cs="Arial"/>
          <w:szCs w:val="20"/>
          <w:vertAlign w:val="superscript"/>
        </w:rPr>
        <w:t>2</w:t>
      </w:r>
      <w:r>
        <w:rPr>
          <w:rFonts w:cs="Arial"/>
          <w:szCs w:val="20"/>
          <w:vertAlign w:val="superscript"/>
        </w:rPr>
        <w:t>6</w:t>
      </w:r>
      <w:r w:rsidRPr="00014694">
        <w:rPr>
          <w:rFonts w:cs="Arial"/>
          <w:szCs w:val="20"/>
        </w:rPr>
        <w:t>, Alexander Schönhuth</w:t>
      </w:r>
      <w:r w:rsidRPr="00014694">
        <w:rPr>
          <w:rFonts w:cs="Arial"/>
          <w:szCs w:val="20"/>
          <w:vertAlign w:val="superscript"/>
        </w:rPr>
        <w:t>2</w:t>
      </w:r>
      <w:r>
        <w:rPr>
          <w:rFonts w:cs="Arial"/>
          <w:szCs w:val="20"/>
          <w:vertAlign w:val="superscript"/>
        </w:rPr>
        <w:t>6</w:t>
      </w:r>
      <w:r w:rsidRPr="00014694">
        <w:rPr>
          <w:rFonts w:cs="Arial"/>
          <w:szCs w:val="20"/>
        </w:rPr>
        <w:t>, Victor Guryev</w:t>
      </w:r>
      <w:r w:rsidRPr="00014694">
        <w:rPr>
          <w:rFonts w:cs="Arial"/>
          <w:szCs w:val="20"/>
          <w:vertAlign w:val="superscript"/>
        </w:rPr>
        <w:t>2</w:t>
      </w:r>
      <w:r>
        <w:rPr>
          <w:rFonts w:cs="Arial"/>
          <w:szCs w:val="20"/>
          <w:vertAlign w:val="superscript"/>
        </w:rPr>
        <w:t>7</w:t>
      </w:r>
      <w:r w:rsidRPr="00014694">
        <w:rPr>
          <w:rFonts w:cs="Arial"/>
          <w:szCs w:val="20"/>
        </w:rPr>
        <w:t>, Paul I.W. de Bakker</w:t>
      </w:r>
      <w:r>
        <w:rPr>
          <w:rFonts w:cs="Arial"/>
          <w:szCs w:val="20"/>
          <w:vertAlign w:val="superscript"/>
        </w:rPr>
        <w:t>7</w:t>
      </w:r>
      <w:r w:rsidRPr="00014694">
        <w:rPr>
          <w:rFonts w:cs="Arial"/>
          <w:szCs w:val="20"/>
          <w:vertAlign w:val="superscript"/>
        </w:rPr>
        <w:t>,</w:t>
      </w:r>
      <w:r>
        <w:rPr>
          <w:rFonts w:cs="Arial"/>
          <w:szCs w:val="20"/>
          <w:vertAlign w:val="superscript"/>
        </w:rPr>
        <w:t>8</w:t>
      </w:r>
      <w:r w:rsidRPr="00014694">
        <w:rPr>
          <w:rFonts w:cs="Arial"/>
          <w:szCs w:val="20"/>
          <w:vertAlign w:val="superscript"/>
        </w:rPr>
        <w:t>-</w:t>
      </w:r>
      <w:r>
        <w:rPr>
          <w:rFonts w:cs="Arial"/>
          <w:szCs w:val="20"/>
          <w:vertAlign w:val="superscript"/>
        </w:rPr>
        <w:t>10</w:t>
      </w:r>
      <w:r w:rsidRPr="00014694">
        <w:rPr>
          <w:rFonts w:cs="Arial"/>
          <w:szCs w:val="20"/>
        </w:rPr>
        <w:t xml:space="preserve"> (Co-Chair);</w:t>
      </w:r>
    </w:p>
    <w:p w14:paraId="41686655" w14:textId="77777777" w:rsidR="004142E7" w:rsidRDefault="004142E7" w:rsidP="004142E7">
      <w:pPr>
        <w:outlineLvl w:val="0"/>
        <w:rPr>
          <w:rFonts w:cs="Arial"/>
          <w:b/>
          <w:szCs w:val="20"/>
        </w:rPr>
      </w:pPr>
    </w:p>
    <w:p w14:paraId="5D2A9129" w14:textId="77777777" w:rsidR="004142E7" w:rsidRPr="00AA0BCB" w:rsidRDefault="004142E7" w:rsidP="004142E7">
      <w:pPr>
        <w:outlineLvl w:val="0"/>
        <w:rPr>
          <w:rFonts w:cs="Arial"/>
          <w:b/>
          <w:szCs w:val="20"/>
        </w:rPr>
      </w:pPr>
      <w:r w:rsidRPr="00AA0BCB">
        <w:rPr>
          <w:rFonts w:cs="Arial"/>
          <w:b/>
          <w:szCs w:val="20"/>
        </w:rPr>
        <w:t>Cohort collection and sample management group</w:t>
      </w:r>
    </w:p>
    <w:p w14:paraId="450FBA45" w14:textId="77777777" w:rsidR="004142E7" w:rsidRDefault="004142E7" w:rsidP="004142E7">
      <w:pPr>
        <w:outlineLvl w:val="0"/>
        <w:rPr>
          <w:rFonts w:cs="Arial"/>
          <w:szCs w:val="20"/>
        </w:rPr>
      </w:pPr>
      <w:r w:rsidRPr="00014694">
        <w:rPr>
          <w:rFonts w:cs="Arial"/>
          <w:szCs w:val="20"/>
        </w:rPr>
        <w:t xml:space="preserve"> P. Eline Slagboom</w:t>
      </w:r>
      <w:r>
        <w:rPr>
          <w:rFonts w:cs="Arial"/>
          <w:szCs w:val="20"/>
          <w:vertAlign w:val="superscript"/>
        </w:rPr>
        <w:t>5</w:t>
      </w:r>
      <w:r w:rsidRPr="00014694">
        <w:rPr>
          <w:rFonts w:cs="Arial"/>
          <w:szCs w:val="20"/>
        </w:rPr>
        <w:t>, Marian B. Beekman</w:t>
      </w:r>
      <w:r>
        <w:rPr>
          <w:rFonts w:cs="Arial"/>
          <w:szCs w:val="20"/>
          <w:vertAlign w:val="superscript"/>
        </w:rPr>
        <w:t>5</w:t>
      </w:r>
      <w:r w:rsidRPr="00014694">
        <w:rPr>
          <w:rFonts w:cs="Arial"/>
          <w:szCs w:val="20"/>
        </w:rPr>
        <w:t>, Anton J.M. de Craen</w:t>
      </w:r>
      <w:r>
        <w:rPr>
          <w:rFonts w:cs="Arial"/>
          <w:szCs w:val="20"/>
          <w:vertAlign w:val="superscript"/>
        </w:rPr>
        <w:t>5</w:t>
      </w:r>
      <w:r w:rsidRPr="00014694">
        <w:rPr>
          <w:rFonts w:cs="Arial"/>
          <w:szCs w:val="20"/>
        </w:rPr>
        <w:t>, H. Eka D. Suchiman</w:t>
      </w:r>
      <w:r>
        <w:rPr>
          <w:rFonts w:cs="Arial"/>
          <w:szCs w:val="20"/>
          <w:vertAlign w:val="superscript"/>
        </w:rPr>
        <w:t>5</w:t>
      </w:r>
      <w:r w:rsidRPr="00014694">
        <w:rPr>
          <w:rFonts w:cs="Arial"/>
          <w:szCs w:val="20"/>
        </w:rPr>
        <w:t>, Albert Hofman</w:t>
      </w:r>
      <w:r>
        <w:rPr>
          <w:rFonts w:cs="Arial"/>
          <w:szCs w:val="20"/>
          <w:vertAlign w:val="superscript"/>
        </w:rPr>
        <w:t>3</w:t>
      </w:r>
      <w:r w:rsidRPr="00014694">
        <w:rPr>
          <w:rFonts w:cs="Arial"/>
          <w:szCs w:val="20"/>
        </w:rPr>
        <w:t xml:space="preserve">, Cornelia </w:t>
      </w:r>
      <w:r>
        <w:rPr>
          <w:rFonts w:cs="Arial"/>
          <w:szCs w:val="20"/>
        </w:rPr>
        <w:t xml:space="preserve">M. </w:t>
      </w:r>
      <w:r w:rsidRPr="00014694">
        <w:rPr>
          <w:rFonts w:cs="Arial"/>
          <w:szCs w:val="20"/>
        </w:rPr>
        <w:t>van Duijn</w:t>
      </w:r>
      <w:r>
        <w:rPr>
          <w:rFonts w:cs="Arial"/>
          <w:szCs w:val="20"/>
          <w:vertAlign w:val="superscript"/>
        </w:rPr>
        <w:t>3</w:t>
      </w:r>
      <w:r w:rsidRPr="00014694">
        <w:rPr>
          <w:rFonts w:cs="Arial"/>
          <w:szCs w:val="20"/>
        </w:rPr>
        <w:t xml:space="preserve">, </w:t>
      </w:r>
      <w:r>
        <w:rPr>
          <w:rFonts w:cs="Arial"/>
          <w:szCs w:val="20"/>
        </w:rPr>
        <w:t>Ben Oostra</w:t>
      </w:r>
      <w:r>
        <w:rPr>
          <w:rFonts w:cs="Arial"/>
          <w:szCs w:val="20"/>
          <w:vertAlign w:val="superscript"/>
        </w:rPr>
        <w:t>28</w:t>
      </w:r>
      <w:r>
        <w:rPr>
          <w:rFonts w:cs="Arial"/>
          <w:szCs w:val="20"/>
        </w:rPr>
        <w:t>, Aaron Isaacs</w:t>
      </w:r>
      <w:r>
        <w:rPr>
          <w:rFonts w:cs="Arial"/>
          <w:szCs w:val="20"/>
          <w:vertAlign w:val="superscript"/>
        </w:rPr>
        <w:t>3</w:t>
      </w:r>
      <w:r>
        <w:rPr>
          <w:rFonts w:cs="Arial"/>
          <w:szCs w:val="20"/>
        </w:rPr>
        <w:t>, Najaf Amin</w:t>
      </w:r>
      <w:r>
        <w:rPr>
          <w:rFonts w:cs="Arial"/>
          <w:szCs w:val="20"/>
          <w:vertAlign w:val="superscript"/>
        </w:rPr>
        <w:t>3</w:t>
      </w:r>
      <w:r>
        <w:rPr>
          <w:rFonts w:cs="Arial"/>
          <w:szCs w:val="20"/>
        </w:rPr>
        <w:t>, Fernando Rivadeneira</w:t>
      </w:r>
      <w:r>
        <w:rPr>
          <w:rFonts w:cs="Arial"/>
          <w:szCs w:val="20"/>
          <w:vertAlign w:val="superscript"/>
        </w:rPr>
        <w:t>21</w:t>
      </w:r>
      <w:r>
        <w:rPr>
          <w:rFonts w:cs="Arial"/>
          <w:szCs w:val="20"/>
        </w:rPr>
        <w:t>, André G. Uitterlinden</w:t>
      </w:r>
      <w:r>
        <w:rPr>
          <w:rFonts w:cs="Arial"/>
          <w:szCs w:val="20"/>
          <w:vertAlign w:val="superscript"/>
        </w:rPr>
        <w:t>21</w:t>
      </w:r>
      <w:r>
        <w:rPr>
          <w:rFonts w:cs="Arial"/>
          <w:szCs w:val="20"/>
        </w:rPr>
        <w:t xml:space="preserve">, </w:t>
      </w:r>
      <w:r w:rsidRPr="00014694">
        <w:rPr>
          <w:rFonts w:cs="Arial"/>
          <w:szCs w:val="20"/>
        </w:rPr>
        <w:t>Dorret I. Boomsma</w:t>
      </w:r>
      <w:r>
        <w:rPr>
          <w:rFonts w:cs="Arial"/>
          <w:szCs w:val="20"/>
          <w:vertAlign w:val="superscript"/>
        </w:rPr>
        <w:t>9</w:t>
      </w:r>
      <w:r w:rsidRPr="00014694">
        <w:rPr>
          <w:rFonts w:cs="Arial"/>
          <w:szCs w:val="20"/>
        </w:rPr>
        <w:t>, Gonneke Willemsen</w:t>
      </w:r>
      <w:r>
        <w:rPr>
          <w:rFonts w:cs="Arial"/>
          <w:szCs w:val="20"/>
          <w:vertAlign w:val="superscript"/>
        </w:rPr>
        <w:t>9</w:t>
      </w:r>
      <w:r w:rsidRPr="00014694">
        <w:rPr>
          <w:rFonts w:cs="Arial"/>
          <w:szCs w:val="20"/>
        </w:rPr>
        <w:t xml:space="preserve">, </w:t>
      </w:r>
      <w:r>
        <w:rPr>
          <w:rFonts w:cs="Arial"/>
          <w:szCs w:val="20"/>
        </w:rPr>
        <w:t>LifeLines Cohort Study</w:t>
      </w:r>
      <w:r w:rsidRPr="00AA0BCB">
        <w:rPr>
          <w:rFonts w:cs="Arial"/>
          <w:szCs w:val="20"/>
          <w:vertAlign w:val="superscript"/>
        </w:rPr>
        <w:t>29</w:t>
      </w:r>
      <w:r>
        <w:rPr>
          <w:rFonts w:cs="Arial"/>
          <w:szCs w:val="20"/>
        </w:rPr>
        <w:t xml:space="preserve">, </w:t>
      </w:r>
      <w:r w:rsidRPr="00014694">
        <w:rPr>
          <w:rFonts w:cs="Arial"/>
          <w:szCs w:val="20"/>
        </w:rPr>
        <w:t>Mathieu Platteel</w:t>
      </w:r>
      <w:r>
        <w:rPr>
          <w:rFonts w:cs="Arial"/>
          <w:szCs w:val="20"/>
          <w:vertAlign w:val="superscript"/>
        </w:rPr>
        <w:t>1</w:t>
      </w:r>
      <w:r w:rsidRPr="00014694">
        <w:rPr>
          <w:rFonts w:cs="Arial"/>
          <w:szCs w:val="20"/>
        </w:rPr>
        <w:t>, Steven J. Pitts</w:t>
      </w:r>
      <w:r>
        <w:rPr>
          <w:rFonts w:cs="Arial"/>
          <w:szCs w:val="20"/>
          <w:vertAlign w:val="superscript"/>
        </w:rPr>
        <w:t>30</w:t>
      </w:r>
      <w:r w:rsidRPr="00014694">
        <w:rPr>
          <w:rFonts w:cs="Arial"/>
          <w:szCs w:val="20"/>
        </w:rPr>
        <w:t>, Shobha Potluri</w:t>
      </w:r>
      <w:r>
        <w:rPr>
          <w:rFonts w:cs="Arial"/>
          <w:szCs w:val="20"/>
          <w:vertAlign w:val="superscript"/>
        </w:rPr>
        <w:t>30</w:t>
      </w:r>
      <w:r w:rsidRPr="00014694">
        <w:rPr>
          <w:rFonts w:cs="Arial"/>
          <w:szCs w:val="20"/>
        </w:rPr>
        <w:t xml:space="preserve">, </w:t>
      </w:r>
      <w:r>
        <w:rPr>
          <w:rFonts w:cs="Arial"/>
          <w:szCs w:val="20"/>
        </w:rPr>
        <w:t>Purnima Sundar</w:t>
      </w:r>
      <w:r>
        <w:rPr>
          <w:rFonts w:cs="Arial"/>
          <w:szCs w:val="20"/>
          <w:vertAlign w:val="superscript"/>
        </w:rPr>
        <w:t>30</w:t>
      </w:r>
      <w:r>
        <w:rPr>
          <w:rFonts w:cs="Arial"/>
          <w:szCs w:val="20"/>
        </w:rPr>
        <w:t xml:space="preserve">, </w:t>
      </w:r>
      <w:r w:rsidRPr="00014694">
        <w:rPr>
          <w:rFonts w:cs="Arial"/>
          <w:szCs w:val="20"/>
        </w:rPr>
        <w:t>David R. Cox</w:t>
      </w:r>
      <w:r>
        <w:rPr>
          <w:rFonts w:cs="Arial"/>
          <w:szCs w:val="20"/>
          <w:vertAlign w:val="superscript"/>
        </w:rPr>
        <w:t>30</w:t>
      </w:r>
      <w:r w:rsidRPr="00014694">
        <w:rPr>
          <w:rFonts w:cs="Arial"/>
          <w:szCs w:val="20"/>
          <w:vertAlign w:val="superscript"/>
        </w:rPr>
        <w:t>,</w:t>
      </w:r>
      <w:r>
        <w:rPr>
          <w:rFonts w:cs="Arial"/>
          <w:szCs w:val="20"/>
          <w:vertAlign w:val="superscript"/>
        </w:rPr>
        <w:t>36</w:t>
      </w:r>
      <w:r w:rsidRPr="00014694">
        <w:rPr>
          <w:rFonts w:cs="Arial"/>
          <w:szCs w:val="20"/>
        </w:rPr>
        <w:t>;</w:t>
      </w:r>
    </w:p>
    <w:p w14:paraId="0769C3E2" w14:textId="77777777" w:rsidR="004142E7" w:rsidRPr="00AA0BCB" w:rsidRDefault="004142E7" w:rsidP="004142E7">
      <w:pPr>
        <w:outlineLvl w:val="0"/>
        <w:rPr>
          <w:rFonts w:cs="Arial"/>
          <w:szCs w:val="20"/>
        </w:rPr>
      </w:pPr>
    </w:p>
    <w:p w14:paraId="7F8C6E45" w14:textId="77777777" w:rsidR="004142E7" w:rsidRPr="00AA0BCB" w:rsidRDefault="004142E7" w:rsidP="004142E7">
      <w:pPr>
        <w:outlineLvl w:val="0"/>
        <w:rPr>
          <w:rFonts w:cs="Arial"/>
          <w:b/>
          <w:szCs w:val="20"/>
        </w:rPr>
      </w:pPr>
      <w:r w:rsidRPr="00AA0BCB">
        <w:rPr>
          <w:rFonts w:cs="Arial"/>
          <w:b/>
          <w:szCs w:val="20"/>
        </w:rPr>
        <w:t>Whole-genome sequencing</w:t>
      </w:r>
    </w:p>
    <w:p w14:paraId="496F3D9C" w14:textId="77777777" w:rsidR="004142E7" w:rsidRDefault="004142E7" w:rsidP="004142E7">
      <w:pPr>
        <w:outlineLvl w:val="0"/>
        <w:rPr>
          <w:rFonts w:cs="Arial"/>
          <w:szCs w:val="20"/>
          <w:lang w:val="fi-FI"/>
        </w:rPr>
      </w:pPr>
      <w:r w:rsidRPr="00014694">
        <w:rPr>
          <w:rFonts w:cs="Arial"/>
          <w:szCs w:val="20"/>
        </w:rPr>
        <w:t xml:space="preserve"> </w:t>
      </w:r>
      <w:r>
        <w:rPr>
          <w:rFonts w:cs="Arial"/>
          <w:szCs w:val="20"/>
        </w:rPr>
        <w:t>Qibin Li</w:t>
      </w:r>
      <w:r>
        <w:rPr>
          <w:rFonts w:cs="Arial"/>
          <w:szCs w:val="20"/>
          <w:vertAlign w:val="superscript"/>
        </w:rPr>
        <w:t>31</w:t>
      </w:r>
      <w:r>
        <w:rPr>
          <w:rFonts w:cs="Arial"/>
          <w:szCs w:val="20"/>
        </w:rPr>
        <w:t>, Yingrui Li</w:t>
      </w:r>
      <w:r>
        <w:rPr>
          <w:rFonts w:cs="Arial"/>
          <w:szCs w:val="20"/>
          <w:vertAlign w:val="superscript"/>
        </w:rPr>
        <w:t>31</w:t>
      </w:r>
      <w:r>
        <w:rPr>
          <w:rFonts w:cs="Arial"/>
          <w:szCs w:val="20"/>
        </w:rPr>
        <w:t xml:space="preserve">, </w:t>
      </w:r>
      <w:r w:rsidRPr="00014694">
        <w:rPr>
          <w:rFonts w:cs="Arial"/>
          <w:szCs w:val="20"/>
          <w:lang w:val="fi-FI"/>
        </w:rPr>
        <w:t>Yuanping Du</w:t>
      </w:r>
      <w:r>
        <w:rPr>
          <w:rFonts w:cs="Arial"/>
          <w:szCs w:val="20"/>
          <w:vertAlign w:val="superscript"/>
          <w:lang w:val="fi-FI"/>
        </w:rPr>
        <w:t>31</w:t>
      </w:r>
      <w:r w:rsidRPr="00014694">
        <w:rPr>
          <w:rFonts w:cs="Arial"/>
          <w:szCs w:val="20"/>
          <w:lang w:val="fi-FI"/>
        </w:rPr>
        <w:t>, Ruoyan Chen</w:t>
      </w:r>
      <w:r>
        <w:rPr>
          <w:rFonts w:cs="Arial"/>
          <w:szCs w:val="20"/>
          <w:vertAlign w:val="superscript"/>
          <w:lang w:val="fi-FI"/>
        </w:rPr>
        <w:t>31</w:t>
      </w:r>
      <w:r w:rsidRPr="00014694">
        <w:rPr>
          <w:rFonts w:cs="Arial"/>
          <w:szCs w:val="20"/>
          <w:lang w:val="fi-FI"/>
        </w:rPr>
        <w:t>, Hongzhi Cao</w:t>
      </w:r>
      <w:r>
        <w:rPr>
          <w:rFonts w:cs="Arial"/>
          <w:szCs w:val="20"/>
          <w:vertAlign w:val="superscript"/>
          <w:lang w:val="fi-FI"/>
        </w:rPr>
        <w:t>31</w:t>
      </w:r>
      <w:r w:rsidRPr="00014694">
        <w:rPr>
          <w:rFonts w:cs="Arial"/>
          <w:szCs w:val="20"/>
          <w:lang w:val="fi-FI"/>
        </w:rPr>
        <w:t xml:space="preserve">, </w:t>
      </w:r>
      <w:r>
        <w:rPr>
          <w:rFonts w:cs="Arial"/>
          <w:szCs w:val="20"/>
          <w:lang w:val="fi-FI"/>
        </w:rPr>
        <w:t>Ning Li</w:t>
      </w:r>
      <w:r>
        <w:rPr>
          <w:rFonts w:cs="Arial"/>
          <w:szCs w:val="20"/>
          <w:vertAlign w:val="superscript"/>
          <w:lang w:val="fi-FI"/>
        </w:rPr>
        <w:t>32</w:t>
      </w:r>
      <w:r>
        <w:rPr>
          <w:rFonts w:cs="Arial"/>
          <w:szCs w:val="20"/>
          <w:lang w:val="fi-FI"/>
        </w:rPr>
        <w:t xml:space="preserve">, </w:t>
      </w:r>
      <w:r w:rsidRPr="00014694">
        <w:rPr>
          <w:rFonts w:cs="Arial"/>
          <w:szCs w:val="20"/>
          <w:lang w:val="fi-FI"/>
        </w:rPr>
        <w:t>Sujie Cao</w:t>
      </w:r>
      <w:r>
        <w:rPr>
          <w:rFonts w:cs="Arial"/>
          <w:szCs w:val="20"/>
          <w:vertAlign w:val="superscript"/>
          <w:lang w:val="fi-FI"/>
        </w:rPr>
        <w:t>32</w:t>
      </w:r>
      <w:r w:rsidRPr="003A7A7F">
        <w:rPr>
          <w:rFonts w:cs="Arial"/>
          <w:szCs w:val="20"/>
          <w:lang w:val="fi-FI"/>
        </w:rPr>
        <w:t>, Jun Wang</w:t>
      </w:r>
      <w:r>
        <w:rPr>
          <w:rFonts w:cs="Arial"/>
          <w:szCs w:val="20"/>
          <w:vertAlign w:val="superscript"/>
          <w:lang w:val="fi-FI"/>
        </w:rPr>
        <w:t>31</w:t>
      </w:r>
      <w:r w:rsidRPr="003A7A7F">
        <w:rPr>
          <w:rFonts w:cs="Arial"/>
          <w:szCs w:val="20"/>
          <w:vertAlign w:val="superscript"/>
          <w:lang w:val="fi-FI"/>
        </w:rPr>
        <w:t>,</w:t>
      </w:r>
      <w:r>
        <w:rPr>
          <w:rFonts w:cs="Arial"/>
          <w:szCs w:val="20"/>
          <w:vertAlign w:val="superscript"/>
          <w:lang w:val="fi-FI"/>
        </w:rPr>
        <w:t>33</w:t>
      </w:r>
      <w:r w:rsidRPr="003A7A7F">
        <w:rPr>
          <w:rFonts w:cs="Arial"/>
          <w:szCs w:val="20"/>
          <w:vertAlign w:val="superscript"/>
          <w:lang w:val="fi-FI"/>
        </w:rPr>
        <w:t>,</w:t>
      </w:r>
      <w:r>
        <w:rPr>
          <w:rFonts w:cs="Arial"/>
          <w:szCs w:val="20"/>
          <w:vertAlign w:val="superscript"/>
          <w:lang w:val="fi-FI"/>
        </w:rPr>
        <w:t>34</w:t>
      </w:r>
      <w:r w:rsidRPr="00014694">
        <w:rPr>
          <w:rFonts w:cs="Arial"/>
          <w:szCs w:val="20"/>
          <w:lang w:val="fi-FI"/>
        </w:rPr>
        <w:t>;</w:t>
      </w:r>
    </w:p>
    <w:p w14:paraId="4B9B5CEB" w14:textId="77777777" w:rsidR="004142E7" w:rsidRPr="00AA0BCB" w:rsidRDefault="004142E7" w:rsidP="004142E7">
      <w:pPr>
        <w:outlineLvl w:val="0"/>
        <w:rPr>
          <w:rFonts w:cs="Arial"/>
          <w:szCs w:val="20"/>
          <w:lang w:val="fi-FI"/>
        </w:rPr>
      </w:pPr>
    </w:p>
    <w:p w14:paraId="224875A5" w14:textId="77777777" w:rsidR="004142E7" w:rsidRPr="00AA0BCB" w:rsidRDefault="004142E7" w:rsidP="004142E7">
      <w:pPr>
        <w:outlineLvl w:val="0"/>
        <w:rPr>
          <w:rFonts w:cs="Arial"/>
          <w:b/>
          <w:szCs w:val="20"/>
        </w:rPr>
      </w:pPr>
      <w:r w:rsidRPr="00AA0BCB">
        <w:rPr>
          <w:rFonts w:cs="Arial"/>
          <w:b/>
          <w:szCs w:val="20"/>
        </w:rPr>
        <w:t>Ethical, Legal, and Social Issues</w:t>
      </w:r>
    </w:p>
    <w:p w14:paraId="50D5FF5A" w14:textId="77777777" w:rsidR="004142E7" w:rsidRPr="00014694" w:rsidRDefault="004142E7" w:rsidP="004142E7">
      <w:pPr>
        <w:outlineLvl w:val="0"/>
        <w:rPr>
          <w:rFonts w:cs="Arial"/>
          <w:szCs w:val="20"/>
          <w:u w:val="single"/>
        </w:rPr>
      </w:pPr>
      <w:r w:rsidRPr="00014694">
        <w:rPr>
          <w:rFonts w:cs="Arial"/>
          <w:szCs w:val="20"/>
        </w:rPr>
        <w:t xml:space="preserve"> Jasper A. Bovenberg</w:t>
      </w:r>
      <w:r>
        <w:rPr>
          <w:rFonts w:cs="Arial"/>
          <w:szCs w:val="20"/>
          <w:vertAlign w:val="superscript"/>
        </w:rPr>
        <w:t>35</w:t>
      </w:r>
      <w:r>
        <w:rPr>
          <w:rFonts w:cs="Arial"/>
          <w:szCs w:val="20"/>
        </w:rPr>
        <w:t>, Margreet Brandsma</w:t>
      </w:r>
      <w:r>
        <w:rPr>
          <w:rFonts w:cs="Arial"/>
          <w:szCs w:val="20"/>
          <w:vertAlign w:val="superscript"/>
        </w:rPr>
        <w:t>6</w:t>
      </w:r>
      <w:r>
        <w:rPr>
          <w:rFonts w:cs="Arial"/>
          <w:szCs w:val="20"/>
        </w:rPr>
        <w:t>;</w:t>
      </w:r>
    </w:p>
    <w:p w14:paraId="3CB1F351" w14:textId="77777777" w:rsidR="004142E7" w:rsidRPr="00014694" w:rsidRDefault="004142E7" w:rsidP="004142E7">
      <w:pPr>
        <w:rPr>
          <w:rFonts w:cs="Arial"/>
          <w:szCs w:val="20"/>
          <w:u w:val="single"/>
        </w:rPr>
      </w:pPr>
    </w:p>
    <w:p w14:paraId="11D0392E" w14:textId="77777777" w:rsidR="004142E7" w:rsidRDefault="004142E7" w:rsidP="004142E7">
      <w:pPr>
        <w:rPr>
          <w:rFonts w:cs="Arial"/>
          <w:b/>
          <w:szCs w:val="20"/>
        </w:rPr>
      </w:pPr>
      <w:r w:rsidRPr="003A6B99">
        <w:rPr>
          <w:rFonts w:cs="Arial"/>
          <w:b/>
          <w:szCs w:val="20"/>
        </w:rPr>
        <w:t>Affiliations</w:t>
      </w:r>
    </w:p>
    <w:p w14:paraId="7C2E4983" w14:textId="77777777" w:rsidR="004142E7" w:rsidRPr="00014694" w:rsidRDefault="004142E7" w:rsidP="004142E7">
      <w:pPr>
        <w:widowControl w:val="0"/>
        <w:autoSpaceDE w:val="0"/>
        <w:autoSpaceDN w:val="0"/>
        <w:adjustRightInd w:val="0"/>
        <w:rPr>
          <w:rFonts w:cs="Arial"/>
          <w:szCs w:val="20"/>
        </w:rPr>
      </w:pPr>
      <w:r>
        <w:rPr>
          <w:rFonts w:cs="Arial"/>
          <w:szCs w:val="20"/>
          <w:vertAlign w:val="superscript"/>
        </w:rPr>
        <w:t>1</w:t>
      </w:r>
      <w:r w:rsidRPr="00014694">
        <w:rPr>
          <w:rFonts w:cs="Arial"/>
          <w:szCs w:val="20"/>
        </w:rPr>
        <w:t xml:space="preserve"> Department of Genetics, University Medical Center Groningen, University of Groningen, Groningen, The Netherlands</w:t>
      </w:r>
    </w:p>
    <w:p w14:paraId="16C72273" w14:textId="77777777" w:rsidR="004142E7" w:rsidRDefault="004142E7" w:rsidP="004142E7">
      <w:pPr>
        <w:widowControl w:val="0"/>
        <w:autoSpaceDE w:val="0"/>
        <w:autoSpaceDN w:val="0"/>
        <w:adjustRightInd w:val="0"/>
        <w:rPr>
          <w:rFonts w:cs="Arial"/>
          <w:szCs w:val="20"/>
        </w:rPr>
      </w:pPr>
      <w:r>
        <w:rPr>
          <w:rFonts w:cs="Arial"/>
          <w:szCs w:val="20"/>
          <w:vertAlign w:val="superscript"/>
        </w:rPr>
        <w:t>2</w:t>
      </w:r>
      <w:r w:rsidRPr="00014694">
        <w:rPr>
          <w:rFonts w:cs="Arial"/>
          <w:szCs w:val="20"/>
        </w:rPr>
        <w:t xml:space="preserve"> Genomics Coordination Center, University Medical Center Groningen, University of</w:t>
      </w:r>
      <w:r>
        <w:rPr>
          <w:rFonts w:cs="Arial"/>
          <w:szCs w:val="20"/>
        </w:rPr>
        <w:t xml:space="preserve"> </w:t>
      </w:r>
      <w:r w:rsidRPr="00014694">
        <w:rPr>
          <w:rFonts w:cs="Arial"/>
          <w:szCs w:val="20"/>
        </w:rPr>
        <w:t>Gronin</w:t>
      </w:r>
      <w:r>
        <w:rPr>
          <w:rFonts w:cs="Arial"/>
          <w:szCs w:val="20"/>
        </w:rPr>
        <w:t>gen, Groningen, The Netherlands</w:t>
      </w:r>
    </w:p>
    <w:p w14:paraId="708152FE" w14:textId="77777777" w:rsidR="004142E7" w:rsidRPr="00014694" w:rsidRDefault="004142E7" w:rsidP="004142E7">
      <w:pPr>
        <w:rPr>
          <w:rFonts w:cs="Arial"/>
          <w:szCs w:val="20"/>
        </w:rPr>
      </w:pPr>
      <w:r>
        <w:rPr>
          <w:rFonts w:cs="Arial"/>
          <w:szCs w:val="20"/>
          <w:vertAlign w:val="superscript"/>
        </w:rPr>
        <w:t>3</w:t>
      </w:r>
      <w:r w:rsidRPr="00014694">
        <w:rPr>
          <w:rFonts w:cs="Arial"/>
          <w:szCs w:val="20"/>
        </w:rPr>
        <w:t xml:space="preserve"> Department of Epidemiology, Erasmus Medical Center, Rotterdam, The Netherlands</w:t>
      </w:r>
    </w:p>
    <w:p w14:paraId="2C59C379" w14:textId="77777777" w:rsidR="004142E7" w:rsidRPr="00014694" w:rsidRDefault="004142E7" w:rsidP="004142E7">
      <w:pPr>
        <w:rPr>
          <w:rFonts w:cs="Arial"/>
          <w:szCs w:val="20"/>
        </w:rPr>
      </w:pPr>
      <w:r>
        <w:rPr>
          <w:rFonts w:cs="Arial"/>
          <w:szCs w:val="20"/>
          <w:vertAlign w:val="superscript"/>
        </w:rPr>
        <w:t>4</w:t>
      </w:r>
      <w:r w:rsidRPr="00014694">
        <w:rPr>
          <w:rFonts w:cs="Arial"/>
          <w:szCs w:val="20"/>
        </w:rPr>
        <w:t xml:space="preserve"> Department of Biological Psychology, VU University Amsterdam, Amsterdam, The Netherlands</w:t>
      </w:r>
    </w:p>
    <w:p w14:paraId="0AACD3B3" w14:textId="77777777" w:rsidR="004142E7" w:rsidRDefault="004142E7" w:rsidP="004142E7">
      <w:pPr>
        <w:rPr>
          <w:rFonts w:cs="Arial"/>
          <w:szCs w:val="20"/>
        </w:rPr>
      </w:pPr>
      <w:r>
        <w:rPr>
          <w:rFonts w:cs="Arial"/>
          <w:szCs w:val="20"/>
          <w:vertAlign w:val="superscript"/>
        </w:rPr>
        <w:t>5</w:t>
      </w:r>
      <w:r w:rsidRPr="00014694">
        <w:rPr>
          <w:rFonts w:cs="Arial"/>
          <w:szCs w:val="20"/>
        </w:rPr>
        <w:t xml:space="preserve"> Section of Molecular Epidemiology, Department of Medical Statistics and Bioinformatics, Leiden University Medical Center, Leiden, The Netherlands</w:t>
      </w:r>
    </w:p>
    <w:p w14:paraId="23422C3B" w14:textId="77777777" w:rsidR="004142E7" w:rsidRPr="00014694" w:rsidRDefault="004142E7" w:rsidP="004142E7">
      <w:pPr>
        <w:rPr>
          <w:rFonts w:cs="Arial"/>
          <w:szCs w:val="20"/>
        </w:rPr>
      </w:pPr>
      <w:r>
        <w:rPr>
          <w:rFonts w:cs="Arial"/>
          <w:szCs w:val="20"/>
          <w:vertAlign w:val="superscript"/>
        </w:rPr>
        <w:t>6</w:t>
      </w:r>
      <w:r w:rsidRPr="00014694">
        <w:rPr>
          <w:rFonts w:cs="Arial"/>
          <w:szCs w:val="20"/>
        </w:rPr>
        <w:t xml:space="preserve"> Department of Human Genetics, Leiden University Medical Center, Leiden, The Netherlands</w:t>
      </w:r>
    </w:p>
    <w:p w14:paraId="3CA7A1BC" w14:textId="77777777" w:rsidR="004142E7" w:rsidRDefault="004142E7" w:rsidP="004142E7">
      <w:pPr>
        <w:rPr>
          <w:rFonts w:cs="Arial"/>
          <w:szCs w:val="20"/>
        </w:rPr>
      </w:pPr>
      <w:r>
        <w:rPr>
          <w:rFonts w:cs="Arial"/>
          <w:szCs w:val="20"/>
          <w:vertAlign w:val="superscript"/>
        </w:rPr>
        <w:t>7</w:t>
      </w:r>
      <w:r w:rsidRPr="00014694">
        <w:rPr>
          <w:rFonts w:cs="Arial"/>
          <w:szCs w:val="20"/>
        </w:rPr>
        <w:t xml:space="preserve"> Department of Medical Genetics, University Medical Center Utrecht, Utrecht, The Netherlands </w:t>
      </w:r>
    </w:p>
    <w:p w14:paraId="05F47C06" w14:textId="77777777" w:rsidR="004142E7" w:rsidRPr="00014694" w:rsidRDefault="004142E7" w:rsidP="004142E7">
      <w:pPr>
        <w:rPr>
          <w:rFonts w:cs="Arial"/>
          <w:szCs w:val="20"/>
        </w:rPr>
      </w:pPr>
      <w:r>
        <w:rPr>
          <w:rFonts w:cs="Arial"/>
          <w:szCs w:val="20"/>
          <w:vertAlign w:val="superscript"/>
        </w:rPr>
        <w:t>8</w:t>
      </w:r>
      <w:r w:rsidRPr="00014694">
        <w:rPr>
          <w:rFonts w:cs="Arial"/>
          <w:szCs w:val="20"/>
        </w:rPr>
        <w:t xml:space="preserve"> Department of Epidemiology, University Medical Center Utrecht, Utrecht, The Netherlands</w:t>
      </w:r>
    </w:p>
    <w:p w14:paraId="0F4693AD" w14:textId="77777777" w:rsidR="004142E7" w:rsidRPr="00014694" w:rsidRDefault="004142E7" w:rsidP="004142E7">
      <w:pPr>
        <w:rPr>
          <w:rFonts w:cs="Arial"/>
          <w:szCs w:val="20"/>
        </w:rPr>
      </w:pPr>
      <w:r>
        <w:rPr>
          <w:rFonts w:cs="Arial"/>
          <w:szCs w:val="20"/>
          <w:vertAlign w:val="superscript"/>
        </w:rPr>
        <w:t>9</w:t>
      </w:r>
      <w:r w:rsidRPr="00014694">
        <w:rPr>
          <w:rFonts w:cs="Arial"/>
          <w:szCs w:val="20"/>
        </w:rPr>
        <w:t xml:space="preserve"> Division of Genetics, Brigham and Women's Hospital, Harvard Medical School, Boston, MA, USA</w:t>
      </w:r>
    </w:p>
    <w:p w14:paraId="219C0EBE" w14:textId="77777777" w:rsidR="004142E7" w:rsidRDefault="004142E7" w:rsidP="004142E7">
      <w:pPr>
        <w:rPr>
          <w:rFonts w:cs="Arial"/>
          <w:szCs w:val="20"/>
        </w:rPr>
      </w:pPr>
      <w:r>
        <w:rPr>
          <w:rFonts w:cs="Arial"/>
          <w:szCs w:val="20"/>
          <w:vertAlign w:val="superscript"/>
        </w:rPr>
        <w:t>10</w:t>
      </w:r>
      <w:r w:rsidRPr="00014694">
        <w:rPr>
          <w:rFonts w:cs="Arial"/>
          <w:szCs w:val="20"/>
        </w:rPr>
        <w:t xml:space="preserve"> </w:t>
      </w:r>
      <w:r w:rsidRPr="00531E5E">
        <w:rPr>
          <w:rFonts w:cs="Arial"/>
          <w:szCs w:val="20"/>
        </w:rPr>
        <w:t>Program in Medical and Population Genetics, Broad Institute of Harvard and MIT, Cambridge, MA, USA</w:t>
      </w:r>
    </w:p>
    <w:p w14:paraId="7AEE6005" w14:textId="77777777" w:rsidR="004142E7" w:rsidRPr="00014694" w:rsidRDefault="004142E7" w:rsidP="004142E7">
      <w:pPr>
        <w:widowControl w:val="0"/>
        <w:autoSpaceDE w:val="0"/>
        <w:autoSpaceDN w:val="0"/>
        <w:adjustRightInd w:val="0"/>
        <w:rPr>
          <w:rFonts w:cs="Arial"/>
          <w:szCs w:val="20"/>
        </w:rPr>
      </w:pPr>
      <w:r>
        <w:rPr>
          <w:rFonts w:cs="Arial"/>
          <w:szCs w:val="20"/>
          <w:vertAlign w:val="superscript"/>
        </w:rPr>
        <w:t>11</w:t>
      </w:r>
      <w:r w:rsidRPr="00014694">
        <w:rPr>
          <w:rFonts w:cs="Arial"/>
          <w:szCs w:val="20"/>
        </w:rPr>
        <w:t xml:space="preserve"> Department of Computer Science, Columbia University, New York, NY, USA</w:t>
      </w:r>
    </w:p>
    <w:p w14:paraId="25E68738" w14:textId="77777777" w:rsidR="004142E7" w:rsidRPr="00014694" w:rsidRDefault="004142E7" w:rsidP="004142E7">
      <w:pPr>
        <w:widowControl w:val="0"/>
        <w:autoSpaceDE w:val="0"/>
        <w:autoSpaceDN w:val="0"/>
        <w:adjustRightInd w:val="0"/>
        <w:rPr>
          <w:rFonts w:cs="Arial"/>
          <w:szCs w:val="20"/>
        </w:rPr>
      </w:pPr>
      <w:r>
        <w:rPr>
          <w:rFonts w:cs="Arial"/>
          <w:szCs w:val="20"/>
          <w:vertAlign w:val="superscript"/>
        </w:rPr>
        <w:t>12</w:t>
      </w:r>
      <w:r w:rsidRPr="00014694">
        <w:rPr>
          <w:rFonts w:cs="Arial"/>
          <w:szCs w:val="20"/>
        </w:rPr>
        <w:t xml:space="preserve"> Department of Systems Biology, Columbia University, New York, NY, USA</w:t>
      </w:r>
    </w:p>
    <w:p w14:paraId="17DE3C4C" w14:textId="77777777" w:rsidR="004142E7" w:rsidRDefault="004142E7" w:rsidP="004142E7">
      <w:pPr>
        <w:rPr>
          <w:rFonts w:cs="Arial"/>
          <w:szCs w:val="20"/>
        </w:rPr>
      </w:pPr>
      <w:r>
        <w:rPr>
          <w:rFonts w:cs="Arial"/>
          <w:szCs w:val="20"/>
          <w:vertAlign w:val="superscript"/>
        </w:rPr>
        <w:t>13</w:t>
      </w:r>
      <w:r w:rsidRPr="00014694">
        <w:rPr>
          <w:rFonts w:cs="Arial"/>
          <w:szCs w:val="20"/>
        </w:rPr>
        <w:t xml:space="preserve"> Department of Forensic Molecular Biology, Erasmus Medical Center, Rotterdam, The Netherlands</w:t>
      </w:r>
    </w:p>
    <w:p w14:paraId="43BBF7FD" w14:textId="77777777" w:rsidR="004142E7" w:rsidRPr="005E3352" w:rsidRDefault="004142E7" w:rsidP="004142E7">
      <w:pPr>
        <w:rPr>
          <w:rFonts w:cs="Arial"/>
          <w:szCs w:val="20"/>
        </w:rPr>
      </w:pPr>
      <w:r>
        <w:rPr>
          <w:rFonts w:cs="Arial"/>
          <w:szCs w:val="20"/>
          <w:vertAlign w:val="superscript"/>
        </w:rPr>
        <w:t>14</w:t>
      </w:r>
      <w:r w:rsidRPr="00014694">
        <w:rPr>
          <w:rFonts w:cs="Arial"/>
          <w:szCs w:val="20"/>
        </w:rPr>
        <w:t xml:space="preserve"> Leiden Genome Technology Center, Department of Human Genetics, Leiden University Medical Center, Leiden, The Netherlands</w:t>
      </w:r>
    </w:p>
    <w:p w14:paraId="1D259096" w14:textId="77777777" w:rsidR="004142E7" w:rsidRPr="00014694" w:rsidRDefault="004142E7" w:rsidP="004142E7">
      <w:pPr>
        <w:rPr>
          <w:rFonts w:cs="Arial"/>
          <w:szCs w:val="20"/>
        </w:rPr>
      </w:pPr>
    </w:p>
    <w:p w14:paraId="45287EA4" w14:textId="77777777" w:rsidR="004142E7" w:rsidRPr="00014694" w:rsidRDefault="004142E7" w:rsidP="004142E7">
      <w:pPr>
        <w:rPr>
          <w:rFonts w:cs="Arial"/>
          <w:szCs w:val="20"/>
        </w:rPr>
      </w:pPr>
      <w:r>
        <w:rPr>
          <w:rFonts w:cs="Arial"/>
          <w:szCs w:val="20"/>
          <w:vertAlign w:val="superscript"/>
        </w:rPr>
        <w:t>15</w:t>
      </w:r>
      <w:r w:rsidRPr="00014694">
        <w:rPr>
          <w:rFonts w:cs="Arial"/>
          <w:szCs w:val="20"/>
        </w:rPr>
        <w:t xml:space="preserve"> Department of Evolutionary Genetics, Max Planck Institute for Evolutionary Anthropology, Leipzig, Germany</w:t>
      </w:r>
    </w:p>
    <w:p w14:paraId="3D8F439A" w14:textId="77777777" w:rsidR="004142E7" w:rsidRPr="00014694" w:rsidRDefault="004142E7" w:rsidP="004142E7">
      <w:pPr>
        <w:rPr>
          <w:rFonts w:cs="Arial"/>
          <w:szCs w:val="20"/>
        </w:rPr>
      </w:pPr>
      <w:r>
        <w:rPr>
          <w:rFonts w:cs="Arial"/>
          <w:szCs w:val="20"/>
          <w:vertAlign w:val="superscript"/>
        </w:rPr>
        <w:t>16</w:t>
      </w:r>
      <w:r w:rsidRPr="00014694">
        <w:rPr>
          <w:rFonts w:cs="Arial"/>
          <w:szCs w:val="20"/>
        </w:rPr>
        <w:t xml:space="preserve"> Forensic Laboratory for DNA Research, Department of Human Genetics, Leiden University Medical Center, Leiden, The Netherlands</w:t>
      </w:r>
    </w:p>
    <w:p w14:paraId="3C21459C" w14:textId="77777777" w:rsidR="004142E7" w:rsidRPr="00014694" w:rsidRDefault="004142E7" w:rsidP="004142E7">
      <w:pPr>
        <w:rPr>
          <w:rFonts w:cs="Arial"/>
          <w:szCs w:val="20"/>
        </w:rPr>
      </w:pPr>
      <w:r>
        <w:rPr>
          <w:rFonts w:cs="Arial"/>
          <w:szCs w:val="20"/>
          <w:vertAlign w:val="superscript"/>
        </w:rPr>
        <w:t>17</w:t>
      </w:r>
      <w:r w:rsidRPr="00014694">
        <w:rPr>
          <w:rFonts w:cs="Arial"/>
          <w:szCs w:val="20"/>
        </w:rPr>
        <w:t xml:space="preserve"> Department of Neurology, University Medical Center Utrecht, Utrecht, The Netherlands</w:t>
      </w:r>
    </w:p>
    <w:p w14:paraId="63784344" w14:textId="77777777" w:rsidR="004142E7" w:rsidRPr="00014694" w:rsidRDefault="004142E7" w:rsidP="004142E7">
      <w:pPr>
        <w:rPr>
          <w:rFonts w:cs="Arial"/>
          <w:szCs w:val="20"/>
        </w:rPr>
      </w:pPr>
      <w:r>
        <w:rPr>
          <w:rFonts w:cs="Arial"/>
          <w:szCs w:val="20"/>
          <w:vertAlign w:val="superscript"/>
        </w:rPr>
        <w:t>18</w:t>
      </w:r>
      <w:r w:rsidRPr="00014694">
        <w:rPr>
          <w:rFonts w:cs="Arial"/>
          <w:szCs w:val="20"/>
        </w:rPr>
        <w:t xml:space="preserve"> Bioinformatics Laboratory, Department of Clinical Epidemiology, Biostatistics and Bioinformatics, Amsterdam Medical Center, Amsterdam, The Netherlands</w:t>
      </w:r>
    </w:p>
    <w:p w14:paraId="17B9807E" w14:textId="77777777" w:rsidR="004142E7" w:rsidRPr="00014694" w:rsidRDefault="004142E7" w:rsidP="004142E7">
      <w:pPr>
        <w:widowControl w:val="0"/>
        <w:autoSpaceDE w:val="0"/>
        <w:autoSpaceDN w:val="0"/>
        <w:adjustRightInd w:val="0"/>
        <w:rPr>
          <w:rFonts w:cs="Arial"/>
          <w:szCs w:val="20"/>
        </w:rPr>
      </w:pPr>
      <w:r>
        <w:rPr>
          <w:rFonts w:cs="Arial"/>
          <w:szCs w:val="20"/>
          <w:vertAlign w:val="superscript"/>
        </w:rPr>
        <w:t>19</w:t>
      </w:r>
      <w:r>
        <w:rPr>
          <w:rFonts w:cs="Arial"/>
          <w:szCs w:val="20"/>
        </w:rPr>
        <w:t xml:space="preserve"> SURFsara, Science Park, Amsterdam</w:t>
      </w:r>
      <w:r w:rsidRPr="00014694">
        <w:rPr>
          <w:rFonts w:cs="Arial"/>
          <w:szCs w:val="20"/>
        </w:rPr>
        <w:t>, The Netherlands</w:t>
      </w:r>
    </w:p>
    <w:p w14:paraId="42830DC2" w14:textId="77777777" w:rsidR="004142E7" w:rsidRPr="00014694" w:rsidRDefault="004142E7" w:rsidP="004142E7">
      <w:pPr>
        <w:rPr>
          <w:rFonts w:cs="Arial"/>
          <w:szCs w:val="20"/>
        </w:rPr>
      </w:pPr>
      <w:r>
        <w:rPr>
          <w:rFonts w:cs="Arial"/>
          <w:szCs w:val="20"/>
          <w:vertAlign w:val="superscript"/>
        </w:rPr>
        <w:t>20</w:t>
      </w:r>
      <w:r w:rsidRPr="00014694">
        <w:rPr>
          <w:rFonts w:cs="Arial"/>
          <w:szCs w:val="20"/>
        </w:rPr>
        <w:t xml:space="preserve"> Netherlands Bioinformatics Centre, Nijmegen, The Netherlands</w:t>
      </w:r>
    </w:p>
    <w:p w14:paraId="38B396DB" w14:textId="77777777" w:rsidR="004142E7" w:rsidRPr="00014694" w:rsidRDefault="004142E7" w:rsidP="004142E7">
      <w:pPr>
        <w:rPr>
          <w:rFonts w:cs="Arial"/>
          <w:szCs w:val="20"/>
        </w:rPr>
      </w:pPr>
      <w:r>
        <w:rPr>
          <w:rFonts w:cs="Arial"/>
          <w:szCs w:val="20"/>
          <w:vertAlign w:val="superscript"/>
        </w:rPr>
        <w:t>21</w:t>
      </w:r>
      <w:r w:rsidRPr="00014694">
        <w:rPr>
          <w:rFonts w:cs="Arial"/>
          <w:szCs w:val="20"/>
        </w:rPr>
        <w:t xml:space="preserve"> Department of Internal Medicine, Erasmus Medical Center, Rotterdam, The Netherlands</w:t>
      </w:r>
    </w:p>
    <w:p w14:paraId="5CAF1F0E" w14:textId="77777777" w:rsidR="004142E7" w:rsidRPr="00014694" w:rsidRDefault="004142E7" w:rsidP="004142E7">
      <w:pPr>
        <w:rPr>
          <w:rFonts w:cs="Arial"/>
          <w:szCs w:val="20"/>
        </w:rPr>
      </w:pPr>
      <w:r w:rsidRPr="00014694">
        <w:rPr>
          <w:rFonts w:cs="Arial"/>
          <w:szCs w:val="20"/>
          <w:vertAlign w:val="superscript"/>
        </w:rPr>
        <w:t>2</w:t>
      </w:r>
      <w:r>
        <w:rPr>
          <w:rFonts w:cs="Arial"/>
          <w:szCs w:val="20"/>
          <w:vertAlign w:val="superscript"/>
        </w:rPr>
        <w:t>2</w:t>
      </w:r>
      <w:r w:rsidRPr="00014694">
        <w:rPr>
          <w:rFonts w:cs="Arial"/>
          <w:szCs w:val="20"/>
        </w:rPr>
        <w:t xml:space="preserve"> The Genome Institute, Washington University, St. Louis, MO, USA</w:t>
      </w:r>
    </w:p>
    <w:p w14:paraId="45475193" w14:textId="77777777" w:rsidR="004142E7" w:rsidRPr="00014694" w:rsidRDefault="004142E7" w:rsidP="004142E7">
      <w:pPr>
        <w:rPr>
          <w:rFonts w:cs="Arial"/>
          <w:szCs w:val="20"/>
        </w:rPr>
      </w:pPr>
      <w:r w:rsidRPr="00014694">
        <w:rPr>
          <w:rFonts w:cs="Arial"/>
          <w:szCs w:val="20"/>
          <w:vertAlign w:val="superscript"/>
        </w:rPr>
        <w:t>2</w:t>
      </w:r>
      <w:r>
        <w:rPr>
          <w:rFonts w:cs="Arial"/>
          <w:szCs w:val="20"/>
          <w:vertAlign w:val="superscript"/>
        </w:rPr>
        <w:t>3</w:t>
      </w:r>
      <w:r w:rsidRPr="00014694">
        <w:rPr>
          <w:rFonts w:cs="Arial"/>
          <w:szCs w:val="20"/>
        </w:rPr>
        <w:t xml:space="preserve"> Department of Human Genetics, Radboud University Nijmegen Medical Centre, Nijmegen, The Netherlands</w:t>
      </w:r>
    </w:p>
    <w:p w14:paraId="5C11470C" w14:textId="77777777" w:rsidR="004142E7" w:rsidRPr="00014694" w:rsidRDefault="004142E7" w:rsidP="004142E7">
      <w:pPr>
        <w:rPr>
          <w:rFonts w:cs="Arial"/>
          <w:szCs w:val="20"/>
        </w:rPr>
      </w:pPr>
      <w:r w:rsidRPr="00014694">
        <w:rPr>
          <w:rFonts w:cs="Arial"/>
          <w:szCs w:val="20"/>
          <w:vertAlign w:val="superscript"/>
        </w:rPr>
        <w:t>2</w:t>
      </w:r>
      <w:r>
        <w:rPr>
          <w:rFonts w:cs="Arial"/>
          <w:szCs w:val="20"/>
          <w:vertAlign w:val="superscript"/>
        </w:rPr>
        <w:t>4</w:t>
      </w:r>
      <w:r w:rsidRPr="00014694">
        <w:rPr>
          <w:rFonts w:cs="Arial"/>
          <w:szCs w:val="20"/>
        </w:rPr>
        <w:t xml:space="preserve"> Department of Genetics, Harvard Medical School, Boston, MA, USA</w:t>
      </w:r>
    </w:p>
    <w:p w14:paraId="1DDF7E9D" w14:textId="77777777" w:rsidR="004142E7" w:rsidRPr="00014694" w:rsidRDefault="004142E7" w:rsidP="004142E7">
      <w:pPr>
        <w:rPr>
          <w:rFonts w:cs="Arial"/>
          <w:szCs w:val="20"/>
        </w:rPr>
      </w:pPr>
      <w:r w:rsidRPr="00014694">
        <w:rPr>
          <w:rFonts w:cs="Arial"/>
          <w:szCs w:val="20"/>
          <w:vertAlign w:val="superscript"/>
        </w:rPr>
        <w:t>2</w:t>
      </w:r>
      <w:r>
        <w:rPr>
          <w:rFonts w:cs="Arial"/>
          <w:szCs w:val="20"/>
          <w:vertAlign w:val="superscript"/>
        </w:rPr>
        <w:t>5</w:t>
      </w:r>
      <w:r w:rsidRPr="00014694">
        <w:rPr>
          <w:rFonts w:cs="Arial"/>
          <w:szCs w:val="20"/>
        </w:rPr>
        <w:t xml:space="preserve"> Department of Genome Sciences, University of Washington, Seattle, WA, USA </w:t>
      </w:r>
    </w:p>
    <w:p w14:paraId="22090C0D" w14:textId="77777777" w:rsidR="004142E7" w:rsidRPr="00014694" w:rsidRDefault="004142E7" w:rsidP="004142E7">
      <w:pPr>
        <w:rPr>
          <w:rFonts w:cs="Arial"/>
          <w:szCs w:val="20"/>
        </w:rPr>
      </w:pPr>
      <w:r w:rsidRPr="00014694">
        <w:rPr>
          <w:rFonts w:cs="Arial"/>
          <w:szCs w:val="20"/>
          <w:vertAlign w:val="superscript"/>
        </w:rPr>
        <w:t>2</w:t>
      </w:r>
      <w:r>
        <w:rPr>
          <w:rFonts w:cs="Arial"/>
          <w:szCs w:val="20"/>
          <w:vertAlign w:val="superscript"/>
        </w:rPr>
        <w:t>6</w:t>
      </w:r>
      <w:r w:rsidRPr="00014694">
        <w:rPr>
          <w:rFonts w:cs="Arial"/>
          <w:szCs w:val="20"/>
        </w:rPr>
        <w:t xml:space="preserve"> Centrum voor Wiskunde en Informatica, Life Sciences Group, Amsterdam, The Netherlands</w:t>
      </w:r>
    </w:p>
    <w:p w14:paraId="50201F58" w14:textId="77777777" w:rsidR="004142E7" w:rsidRDefault="004142E7" w:rsidP="004142E7">
      <w:pPr>
        <w:rPr>
          <w:rFonts w:cs="Arial"/>
          <w:szCs w:val="20"/>
        </w:rPr>
      </w:pPr>
      <w:r w:rsidRPr="00014694">
        <w:rPr>
          <w:rFonts w:cs="Arial"/>
          <w:szCs w:val="20"/>
          <w:vertAlign w:val="superscript"/>
        </w:rPr>
        <w:t>2</w:t>
      </w:r>
      <w:r>
        <w:rPr>
          <w:rFonts w:cs="Arial"/>
          <w:szCs w:val="20"/>
          <w:vertAlign w:val="superscript"/>
        </w:rPr>
        <w:t>7</w:t>
      </w:r>
      <w:r w:rsidRPr="00014694">
        <w:rPr>
          <w:rFonts w:cs="Arial"/>
          <w:szCs w:val="20"/>
        </w:rPr>
        <w:t xml:space="preserve"> European Research Institute for the Biology of Ageing, University Medical Center Groningen, University of Groningen, Groningen, The Netherlands</w:t>
      </w:r>
    </w:p>
    <w:p w14:paraId="7B5F5DE3" w14:textId="77777777" w:rsidR="004142E7" w:rsidRDefault="004142E7" w:rsidP="004142E7">
      <w:pPr>
        <w:rPr>
          <w:rFonts w:cs="Arial"/>
          <w:szCs w:val="20"/>
        </w:rPr>
      </w:pPr>
      <w:r>
        <w:rPr>
          <w:rFonts w:cs="Arial"/>
          <w:szCs w:val="20"/>
          <w:vertAlign w:val="superscript"/>
        </w:rPr>
        <w:t>28</w:t>
      </w:r>
      <w:r w:rsidRPr="00014694">
        <w:rPr>
          <w:rFonts w:cs="Arial"/>
          <w:szCs w:val="20"/>
        </w:rPr>
        <w:t xml:space="preserve"> Department of </w:t>
      </w:r>
      <w:r>
        <w:rPr>
          <w:rFonts w:cs="Arial"/>
          <w:szCs w:val="20"/>
        </w:rPr>
        <w:t xml:space="preserve">Clinical Genetics, </w:t>
      </w:r>
      <w:r w:rsidRPr="00014694">
        <w:rPr>
          <w:rFonts w:cs="Arial"/>
          <w:szCs w:val="20"/>
        </w:rPr>
        <w:t>Erasmus Medical Center, Rotterdam, The Netherlands</w:t>
      </w:r>
    </w:p>
    <w:p w14:paraId="14A1D563" w14:textId="3BC753D7" w:rsidR="004142E7" w:rsidRPr="00014694" w:rsidRDefault="004142E7" w:rsidP="004142E7">
      <w:pPr>
        <w:rPr>
          <w:rFonts w:cs="Arial"/>
          <w:szCs w:val="20"/>
        </w:rPr>
      </w:pPr>
      <w:r w:rsidRPr="005E3352">
        <w:rPr>
          <w:rFonts w:cs="Arial"/>
          <w:szCs w:val="20"/>
          <w:vertAlign w:val="superscript"/>
        </w:rPr>
        <w:t>2</w:t>
      </w:r>
      <w:r>
        <w:rPr>
          <w:rFonts w:cs="Arial"/>
          <w:szCs w:val="20"/>
          <w:vertAlign w:val="superscript"/>
        </w:rPr>
        <w:t>9</w:t>
      </w:r>
      <w:r>
        <w:rPr>
          <w:rFonts w:cs="Arial"/>
          <w:szCs w:val="20"/>
        </w:rPr>
        <w:t xml:space="preserve"> </w:t>
      </w:r>
      <w:r w:rsidRPr="005E3352">
        <w:rPr>
          <w:rFonts w:cs="Arial"/>
        </w:rPr>
        <w:t xml:space="preserve">A full list of the </w:t>
      </w:r>
      <w:r w:rsidRPr="00AE463F">
        <w:rPr>
          <w:rFonts w:cs="Arial"/>
        </w:rPr>
        <w:t>LifeLines Cohort Study members</w:t>
      </w:r>
      <w:r w:rsidRPr="005E3352">
        <w:rPr>
          <w:rFonts w:cs="Arial"/>
        </w:rPr>
        <w:t xml:space="preserve"> can be found in the </w:t>
      </w:r>
      <w:r w:rsidR="00A00A88">
        <w:rPr>
          <w:rFonts w:cs="Arial"/>
        </w:rPr>
        <w:t xml:space="preserve">under </w:t>
      </w:r>
      <w:r w:rsidR="00A00A88" w:rsidRPr="0032005E">
        <w:rPr>
          <w:rFonts w:cs="Arial"/>
          <w:b/>
        </w:rPr>
        <w:t>IV</w:t>
      </w:r>
    </w:p>
    <w:p w14:paraId="1F83FDA0" w14:textId="77777777" w:rsidR="004142E7" w:rsidRPr="00014694" w:rsidRDefault="004142E7" w:rsidP="004142E7">
      <w:pPr>
        <w:rPr>
          <w:rFonts w:cs="Arial"/>
          <w:szCs w:val="20"/>
        </w:rPr>
      </w:pPr>
      <w:r>
        <w:rPr>
          <w:rFonts w:cs="Arial"/>
          <w:szCs w:val="20"/>
          <w:vertAlign w:val="superscript"/>
        </w:rPr>
        <w:t>30</w:t>
      </w:r>
      <w:r w:rsidRPr="00014694">
        <w:rPr>
          <w:rFonts w:cs="Arial"/>
          <w:szCs w:val="20"/>
        </w:rPr>
        <w:t xml:space="preserve"> Rinat-Pfizer Inc, South San Francisco, CA, USA</w:t>
      </w:r>
    </w:p>
    <w:p w14:paraId="25A5A19E" w14:textId="77777777" w:rsidR="004142E7" w:rsidRDefault="004142E7" w:rsidP="004142E7">
      <w:pPr>
        <w:rPr>
          <w:rFonts w:cs="Arial"/>
          <w:szCs w:val="20"/>
        </w:rPr>
      </w:pPr>
      <w:r>
        <w:rPr>
          <w:rFonts w:cs="Arial"/>
          <w:szCs w:val="20"/>
          <w:vertAlign w:val="superscript"/>
        </w:rPr>
        <w:t>31</w:t>
      </w:r>
      <w:r>
        <w:rPr>
          <w:rFonts w:cs="Arial"/>
          <w:szCs w:val="20"/>
        </w:rPr>
        <w:t xml:space="preserve"> BGI-</w:t>
      </w:r>
      <w:r w:rsidRPr="00014694">
        <w:rPr>
          <w:rFonts w:cs="Arial"/>
          <w:szCs w:val="20"/>
        </w:rPr>
        <w:t>Shenzhen</w:t>
      </w:r>
      <w:r>
        <w:rPr>
          <w:rFonts w:cs="Arial"/>
          <w:szCs w:val="20"/>
        </w:rPr>
        <w:t>, Shenzhen</w:t>
      </w:r>
      <w:r w:rsidRPr="00014694">
        <w:rPr>
          <w:rFonts w:cs="Arial"/>
          <w:szCs w:val="20"/>
        </w:rPr>
        <w:t>, China</w:t>
      </w:r>
    </w:p>
    <w:p w14:paraId="5E35F09B" w14:textId="77777777" w:rsidR="004142E7" w:rsidRDefault="004142E7" w:rsidP="004142E7">
      <w:pPr>
        <w:rPr>
          <w:rFonts w:cs="Arial"/>
          <w:szCs w:val="20"/>
        </w:rPr>
      </w:pPr>
      <w:r>
        <w:rPr>
          <w:rFonts w:cs="Arial"/>
          <w:szCs w:val="20"/>
          <w:vertAlign w:val="superscript"/>
        </w:rPr>
        <w:t>32</w:t>
      </w:r>
      <w:r w:rsidRPr="00014694">
        <w:rPr>
          <w:rFonts w:cs="Arial"/>
          <w:szCs w:val="20"/>
        </w:rPr>
        <w:t xml:space="preserve"> BGI</w:t>
      </w:r>
      <w:r>
        <w:rPr>
          <w:rFonts w:cs="Arial"/>
          <w:szCs w:val="20"/>
        </w:rPr>
        <w:t>-Europe</w:t>
      </w:r>
      <w:r w:rsidRPr="00014694">
        <w:rPr>
          <w:rFonts w:cs="Arial"/>
          <w:szCs w:val="20"/>
        </w:rPr>
        <w:t xml:space="preserve">, </w:t>
      </w:r>
      <w:r>
        <w:rPr>
          <w:rFonts w:cs="Arial"/>
          <w:szCs w:val="20"/>
        </w:rPr>
        <w:t>Copenhagen</w:t>
      </w:r>
      <w:r w:rsidRPr="00014694">
        <w:rPr>
          <w:rFonts w:cs="Arial"/>
          <w:szCs w:val="20"/>
        </w:rPr>
        <w:t xml:space="preserve">, </w:t>
      </w:r>
      <w:r>
        <w:rPr>
          <w:rFonts w:cs="Arial"/>
          <w:szCs w:val="20"/>
        </w:rPr>
        <w:t>Denmark</w:t>
      </w:r>
    </w:p>
    <w:p w14:paraId="565C4BB7" w14:textId="77777777" w:rsidR="004142E7" w:rsidRDefault="004142E7" w:rsidP="004142E7">
      <w:pPr>
        <w:rPr>
          <w:rFonts w:cs="Arial"/>
          <w:szCs w:val="20"/>
        </w:rPr>
      </w:pPr>
      <w:r>
        <w:rPr>
          <w:rFonts w:cs="Arial"/>
          <w:szCs w:val="20"/>
          <w:vertAlign w:val="superscript"/>
        </w:rPr>
        <w:t>33</w:t>
      </w:r>
      <w:r>
        <w:rPr>
          <w:rFonts w:cs="Arial"/>
          <w:szCs w:val="20"/>
        </w:rPr>
        <w:t xml:space="preserve"> Department of Biology, University of Copenhagen, Copenhagen, Denmark</w:t>
      </w:r>
    </w:p>
    <w:p w14:paraId="2DD18A6B" w14:textId="77777777" w:rsidR="004142E7" w:rsidRPr="00014694" w:rsidRDefault="004142E7" w:rsidP="004142E7">
      <w:pPr>
        <w:rPr>
          <w:rFonts w:cs="Arial"/>
          <w:szCs w:val="20"/>
        </w:rPr>
      </w:pPr>
      <w:r>
        <w:rPr>
          <w:rFonts w:cs="Arial"/>
          <w:szCs w:val="20"/>
          <w:vertAlign w:val="superscript"/>
        </w:rPr>
        <w:t>34</w:t>
      </w:r>
      <w:r>
        <w:rPr>
          <w:rFonts w:cs="Arial"/>
          <w:szCs w:val="20"/>
        </w:rPr>
        <w:t xml:space="preserve"> The Novo Nordisk Foundation Center for Basic Metabolic Research, University of Copenhagen, Copenhagen, Denmark</w:t>
      </w:r>
    </w:p>
    <w:p w14:paraId="5AB7E3AA" w14:textId="77777777" w:rsidR="004142E7" w:rsidRPr="00014694" w:rsidRDefault="004142E7" w:rsidP="004142E7">
      <w:pPr>
        <w:rPr>
          <w:rFonts w:cs="Arial"/>
          <w:szCs w:val="20"/>
        </w:rPr>
      </w:pPr>
      <w:r>
        <w:rPr>
          <w:rFonts w:cs="Arial"/>
          <w:szCs w:val="20"/>
          <w:vertAlign w:val="superscript"/>
        </w:rPr>
        <w:t>35</w:t>
      </w:r>
      <w:r w:rsidRPr="00014694">
        <w:rPr>
          <w:rFonts w:cs="Arial"/>
          <w:szCs w:val="20"/>
        </w:rPr>
        <w:t xml:space="preserve"> Legal Pathways Institute for Health and Bio Law, Aerdenhout, The Netherlands</w:t>
      </w:r>
    </w:p>
    <w:p w14:paraId="5BA5E4D2" w14:textId="77777777" w:rsidR="004142E7" w:rsidRPr="00014694" w:rsidRDefault="004142E7" w:rsidP="004142E7">
      <w:pPr>
        <w:rPr>
          <w:rFonts w:cs="Arial"/>
          <w:szCs w:val="20"/>
        </w:rPr>
      </w:pPr>
      <w:r>
        <w:rPr>
          <w:rFonts w:cs="Arial"/>
          <w:szCs w:val="20"/>
          <w:vertAlign w:val="superscript"/>
        </w:rPr>
        <w:t>36</w:t>
      </w:r>
      <w:r w:rsidRPr="00014694">
        <w:rPr>
          <w:rFonts w:cs="Arial"/>
          <w:szCs w:val="20"/>
        </w:rPr>
        <w:t xml:space="preserve"> Deceased</w:t>
      </w:r>
    </w:p>
    <w:p w14:paraId="064833FE" w14:textId="77777777" w:rsidR="004142E7" w:rsidRDefault="004142E7" w:rsidP="00CB3AF7">
      <w:pPr>
        <w:pStyle w:val="SectionTitle"/>
      </w:pPr>
      <w:bookmarkStart w:id="68" w:name="_Ref258750004"/>
      <w:bookmarkStart w:id="69" w:name="_Toc268963877"/>
      <w:bookmarkStart w:id="70" w:name="_Toc289421736"/>
      <w:r>
        <w:t>The LifeLines Cohort Study</w:t>
      </w:r>
      <w:bookmarkEnd w:id="68"/>
      <w:bookmarkEnd w:id="69"/>
      <w:bookmarkEnd w:id="70"/>
    </w:p>
    <w:p w14:paraId="1AFF59BD" w14:textId="77777777" w:rsidR="004142E7" w:rsidRPr="00AA0BCB" w:rsidRDefault="004142E7" w:rsidP="004142E7">
      <w:pPr>
        <w:rPr>
          <w:rFonts w:eastAsia="Times New Roman" w:cs="Arial"/>
          <w:szCs w:val="20"/>
          <w:vertAlign w:val="superscript"/>
          <w:lang w:eastAsia="nl-NL"/>
        </w:rPr>
      </w:pPr>
      <w:r w:rsidRPr="00AA0BCB">
        <w:rPr>
          <w:rFonts w:eastAsia="Times New Roman" w:cs="Arial"/>
          <w:szCs w:val="20"/>
          <w:lang w:eastAsia="nl-NL"/>
        </w:rPr>
        <w:t>Behrooz Z Alizadeh</w:t>
      </w:r>
      <w:r w:rsidRPr="00AA0BCB">
        <w:rPr>
          <w:rFonts w:eastAsia="Times New Roman" w:cs="Arial"/>
          <w:szCs w:val="20"/>
          <w:vertAlign w:val="superscript"/>
          <w:lang w:eastAsia="nl-NL"/>
        </w:rPr>
        <w:t>1</w:t>
      </w:r>
      <w:r w:rsidRPr="00AA0BCB">
        <w:rPr>
          <w:rFonts w:eastAsia="Times New Roman" w:cs="Arial"/>
          <w:szCs w:val="20"/>
          <w:lang w:eastAsia="nl-NL"/>
        </w:rPr>
        <w:t>, Paul de Bakker</w:t>
      </w:r>
      <w:r w:rsidRPr="00AA0BCB">
        <w:rPr>
          <w:rFonts w:eastAsia="Times New Roman" w:cs="Arial"/>
          <w:szCs w:val="20"/>
          <w:vertAlign w:val="superscript"/>
          <w:lang w:eastAsia="nl-NL"/>
        </w:rPr>
        <w:t>2</w:t>
      </w:r>
      <w:r w:rsidRPr="00AA0BCB">
        <w:rPr>
          <w:rFonts w:eastAsia="Times New Roman" w:cs="Arial"/>
          <w:szCs w:val="20"/>
          <w:lang w:eastAsia="nl-NL"/>
        </w:rPr>
        <w:t>, H Marike Boezen</w:t>
      </w:r>
      <w:r w:rsidRPr="00AA0BCB">
        <w:rPr>
          <w:rFonts w:eastAsia="Times New Roman" w:cs="Arial"/>
          <w:szCs w:val="20"/>
          <w:vertAlign w:val="superscript"/>
          <w:lang w:eastAsia="nl-NL"/>
        </w:rPr>
        <w:t>1</w:t>
      </w:r>
      <w:r w:rsidRPr="00AA0BCB">
        <w:rPr>
          <w:rFonts w:eastAsia="Times New Roman" w:cs="Arial"/>
          <w:szCs w:val="20"/>
          <w:lang w:eastAsia="nl-NL"/>
        </w:rPr>
        <w:t>, Pim van der Harst</w:t>
      </w:r>
      <w:r w:rsidRPr="00AA0BCB">
        <w:rPr>
          <w:rFonts w:eastAsia="Times New Roman" w:cs="Arial"/>
          <w:szCs w:val="20"/>
          <w:vertAlign w:val="superscript"/>
          <w:lang w:eastAsia="nl-NL"/>
        </w:rPr>
        <w:t>2</w:t>
      </w:r>
      <w:r w:rsidRPr="00AA0BCB">
        <w:rPr>
          <w:rFonts w:eastAsia="Times New Roman" w:cs="Arial"/>
          <w:szCs w:val="20"/>
          <w:lang w:eastAsia="nl-NL"/>
        </w:rPr>
        <w:t>, Gerjan Navis</w:t>
      </w:r>
      <w:r w:rsidRPr="00AA0BCB">
        <w:rPr>
          <w:rFonts w:eastAsia="Times New Roman" w:cs="Arial"/>
          <w:szCs w:val="20"/>
          <w:vertAlign w:val="superscript"/>
          <w:lang w:eastAsia="nl-NL"/>
        </w:rPr>
        <w:t>3</w:t>
      </w:r>
      <w:r w:rsidRPr="00AA0BCB">
        <w:rPr>
          <w:rFonts w:eastAsia="Times New Roman" w:cs="Arial"/>
          <w:szCs w:val="20"/>
          <w:lang w:eastAsia="nl-NL"/>
        </w:rPr>
        <w:t>, Marianne Rots</w:t>
      </w:r>
      <w:r w:rsidRPr="00AA0BCB">
        <w:rPr>
          <w:rFonts w:eastAsia="Times New Roman" w:cs="Arial"/>
          <w:szCs w:val="20"/>
          <w:vertAlign w:val="superscript"/>
          <w:lang w:eastAsia="nl-NL"/>
        </w:rPr>
        <w:t>4</w:t>
      </w:r>
      <w:r w:rsidRPr="00AA0BCB">
        <w:rPr>
          <w:rFonts w:eastAsia="Times New Roman" w:cs="Arial"/>
          <w:szCs w:val="20"/>
          <w:lang w:eastAsia="nl-NL"/>
        </w:rPr>
        <w:t>, Salome Scholtens</w:t>
      </w:r>
      <w:r w:rsidRPr="00AA0BCB">
        <w:rPr>
          <w:rFonts w:eastAsia="Times New Roman" w:cs="Arial"/>
          <w:szCs w:val="20"/>
          <w:vertAlign w:val="superscript"/>
          <w:lang w:eastAsia="nl-NL"/>
        </w:rPr>
        <w:t>5</w:t>
      </w:r>
      <w:r w:rsidRPr="00AA0BCB">
        <w:rPr>
          <w:rFonts w:eastAsia="Times New Roman" w:cs="Arial"/>
          <w:szCs w:val="20"/>
          <w:lang w:eastAsia="nl-NL"/>
        </w:rPr>
        <w:t>, Harold Snieder</w:t>
      </w:r>
      <w:r w:rsidRPr="00AA0BCB">
        <w:rPr>
          <w:rFonts w:eastAsia="Times New Roman" w:cs="Arial"/>
          <w:szCs w:val="20"/>
          <w:vertAlign w:val="superscript"/>
          <w:lang w:eastAsia="nl-NL"/>
        </w:rPr>
        <w:t>1</w:t>
      </w:r>
      <w:r w:rsidRPr="00AA0BCB">
        <w:rPr>
          <w:rFonts w:eastAsia="Times New Roman" w:cs="Arial"/>
          <w:szCs w:val="20"/>
          <w:lang w:eastAsia="nl-NL"/>
        </w:rPr>
        <w:t>, Ronald P Stolk</w:t>
      </w:r>
      <w:r w:rsidRPr="00AA0BCB">
        <w:rPr>
          <w:rFonts w:eastAsia="Times New Roman" w:cs="Arial"/>
          <w:szCs w:val="20"/>
          <w:vertAlign w:val="superscript"/>
          <w:lang w:eastAsia="nl-NL"/>
        </w:rPr>
        <w:t>1,5</w:t>
      </w:r>
      <w:r w:rsidRPr="00AA0BCB">
        <w:rPr>
          <w:rFonts w:eastAsia="Times New Roman" w:cs="Arial"/>
          <w:szCs w:val="20"/>
          <w:lang w:eastAsia="nl-NL"/>
        </w:rPr>
        <w:t>, Morris Swertz</w:t>
      </w:r>
      <w:r w:rsidRPr="00AA0BCB">
        <w:rPr>
          <w:rFonts w:eastAsia="Times New Roman" w:cs="Arial"/>
          <w:szCs w:val="20"/>
          <w:vertAlign w:val="superscript"/>
          <w:lang w:eastAsia="nl-NL"/>
        </w:rPr>
        <w:t>6</w:t>
      </w:r>
      <w:r w:rsidRPr="00AA0BCB">
        <w:rPr>
          <w:rFonts w:eastAsia="Times New Roman" w:cs="Arial"/>
          <w:szCs w:val="20"/>
          <w:lang w:eastAsia="nl-NL"/>
        </w:rPr>
        <w:t>, Bruce HR Wolffenbuttel</w:t>
      </w:r>
      <w:r w:rsidRPr="00AA0BCB">
        <w:rPr>
          <w:rFonts w:eastAsia="Times New Roman" w:cs="Arial"/>
          <w:szCs w:val="20"/>
          <w:vertAlign w:val="superscript"/>
          <w:lang w:eastAsia="nl-NL"/>
        </w:rPr>
        <w:t>7</w:t>
      </w:r>
      <w:r w:rsidRPr="00AA0BCB">
        <w:rPr>
          <w:rFonts w:eastAsia="Times New Roman" w:cs="Arial"/>
          <w:szCs w:val="20"/>
          <w:lang w:eastAsia="nl-NL"/>
        </w:rPr>
        <w:t>, Cisca Wijmenga</w:t>
      </w:r>
      <w:r w:rsidRPr="00AA0BCB">
        <w:rPr>
          <w:rFonts w:eastAsia="Times New Roman" w:cs="Arial"/>
          <w:szCs w:val="20"/>
          <w:vertAlign w:val="superscript"/>
          <w:lang w:eastAsia="nl-NL"/>
        </w:rPr>
        <w:t>6</w:t>
      </w:r>
    </w:p>
    <w:p w14:paraId="51225F8E" w14:textId="77777777" w:rsidR="004142E7" w:rsidRDefault="004142E7" w:rsidP="004142E7">
      <w:pPr>
        <w:rPr>
          <w:rFonts w:ascii="Calibri" w:eastAsia="Times New Roman" w:hAnsi="Calibri" w:cs="Times New Roman"/>
          <w:sz w:val="22"/>
          <w:vertAlign w:val="superscript"/>
          <w:lang w:eastAsia="nl-NL"/>
        </w:rPr>
      </w:pPr>
    </w:p>
    <w:p w14:paraId="2EB8B7C2" w14:textId="77777777" w:rsidR="004142E7" w:rsidRPr="00AA0BCB" w:rsidRDefault="004142E7" w:rsidP="004142E7">
      <w:pPr>
        <w:spacing w:line="480" w:lineRule="auto"/>
        <w:rPr>
          <w:rFonts w:cs="Arial"/>
          <w:b/>
          <w:szCs w:val="20"/>
        </w:rPr>
      </w:pPr>
      <w:r w:rsidRPr="003A6B99">
        <w:rPr>
          <w:rFonts w:cs="Arial"/>
          <w:b/>
          <w:szCs w:val="20"/>
        </w:rPr>
        <w:t>Affiliations</w:t>
      </w:r>
    </w:p>
    <w:p w14:paraId="7F6E59E6" w14:textId="77777777" w:rsidR="004142E7" w:rsidRPr="00AA0BCB" w:rsidRDefault="004142E7" w:rsidP="004142E7">
      <w:pPr>
        <w:ind w:left="142"/>
        <w:rPr>
          <w:rFonts w:eastAsia="Times New Roman" w:cs="Arial"/>
          <w:szCs w:val="20"/>
          <w:lang w:eastAsia="nl-NL"/>
        </w:rPr>
      </w:pPr>
      <w:r w:rsidRPr="00AA0BCB">
        <w:rPr>
          <w:rFonts w:eastAsia="Times New Roman" w:cs="Arial"/>
          <w:szCs w:val="20"/>
          <w:vertAlign w:val="superscript"/>
          <w:lang w:eastAsia="nl-NL"/>
        </w:rPr>
        <w:t>1</w:t>
      </w:r>
      <w:r w:rsidRPr="00AA0BCB">
        <w:rPr>
          <w:rFonts w:eastAsia="Times New Roman" w:cs="Arial"/>
          <w:szCs w:val="20"/>
          <w:lang w:eastAsia="nl-NL"/>
        </w:rPr>
        <w:t xml:space="preserve"> Department of Epidemiology, University Medical Center Groningen, University of Groningen, The Netherlands</w:t>
      </w:r>
    </w:p>
    <w:p w14:paraId="477BD73F" w14:textId="77777777" w:rsidR="004142E7" w:rsidRPr="00AA0BCB" w:rsidRDefault="004142E7" w:rsidP="004142E7">
      <w:pPr>
        <w:ind w:left="142"/>
        <w:rPr>
          <w:rFonts w:eastAsia="Times New Roman" w:cs="Arial"/>
          <w:szCs w:val="20"/>
          <w:lang w:eastAsia="nl-NL"/>
        </w:rPr>
      </w:pPr>
      <w:r w:rsidRPr="00AA0BCB">
        <w:rPr>
          <w:rFonts w:eastAsia="Times New Roman" w:cs="Arial"/>
          <w:szCs w:val="20"/>
          <w:vertAlign w:val="superscript"/>
          <w:lang w:eastAsia="nl-NL"/>
        </w:rPr>
        <w:t>2</w:t>
      </w:r>
      <w:r w:rsidRPr="00AA0BCB">
        <w:rPr>
          <w:rFonts w:eastAsia="Times New Roman" w:cs="Arial"/>
          <w:szCs w:val="20"/>
          <w:lang w:eastAsia="nl-NL"/>
        </w:rPr>
        <w:t xml:space="preserve"> Department of Cardiology, University Medical Center Groningen, University of Groningen, The Netherlands</w:t>
      </w:r>
    </w:p>
    <w:p w14:paraId="74FD6E1D" w14:textId="77777777" w:rsidR="004142E7" w:rsidRPr="00AA0BCB" w:rsidRDefault="004142E7" w:rsidP="004142E7">
      <w:pPr>
        <w:ind w:left="142"/>
        <w:rPr>
          <w:rFonts w:eastAsia="Times New Roman" w:cs="Arial"/>
          <w:szCs w:val="20"/>
          <w:lang w:eastAsia="nl-NL"/>
        </w:rPr>
      </w:pPr>
      <w:r w:rsidRPr="00AA0BCB">
        <w:rPr>
          <w:rFonts w:eastAsia="Times New Roman" w:cs="Arial"/>
          <w:szCs w:val="20"/>
          <w:vertAlign w:val="superscript"/>
          <w:lang w:eastAsia="nl-NL"/>
        </w:rPr>
        <w:t>3</w:t>
      </w:r>
      <w:r w:rsidRPr="00AA0BCB">
        <w:rPr>
          <w:rFonts w:eastAsia="Times New Roman" w:cs="Arial"/>
          <w:szCs w:val="20"/>
          <w:lang w:eastAsia="nl-NL"/>
        </w:rPr>
        <w:t xml:space="preserve"> Department of Nephrology, University Medical Center Groningen, University of Groningen, The Netherlands</w:t>
      </w:r>
    </w:p>
    <w:p w14:paraId="397653C2" w14:textId="77777777" w:rsidR="004142E7" w:rsidRPr="00AA0BCB" w:rsidRDefault="004142E7" w:rsidP="004142E7">
      <w:pPr>
        <w:ind w:left="142"/>
        <w:rPr>
          <w:rFonts w:eastAsia="Times New Roman" w:cs="Arial"/>
          <w:szCs w:val="20"/>
          <w:lang w:eastAsia="nl-NL"/>
        </w:rPr>
      </w:pPr>
      <w:r w:rsidRPr="00AA0BCB">
        <w:rPr>
          <w:rFonts w:eastAsia="Times New Roman" w:cs="Arial"/>
          <w:szCs w:val="20"/>
          <w:vertAlign w:val="superscript"/>
          <w:lang w:eastAsia="nl-NL"/>
        </w:rPr>
        <w:t>4</w:t>
      </w:r>
      <w:r w:rsidRPr="00AA0BCB">
        <w:rPr>
          <w:rFonts w:eastAsia="Times New Roman" w:cs="Arial"/>
          <w:szCs w:val="20"/>
          <w:lang w:eastAsia="nl-NL"/>
        </w:rPr>
        <w:t xml:space="preserve"> Department of Medical Biology, University Medical Center Groningen, University of Groningen, The Netherlands</w:t>
      </w:r>
    </w:p>
    <w:p w14:paraId="0B7811D2" w14:textId="77777777" w:rsidR="004142E7" w:rsidRPr="00AA0BCB" w:rsidRDefault="004142E7" w:rsidP="004142E7">
      <w:pPr>
        <w:ind w:left="142"/>
        <w:rPr>
          <w:rFonts w:eastAsia="Times New Roman" w:cs="Arial"/>
          <w:szCs w:val="20"/>
          <w:lang w:eastAsia="nl-NL"/>
        </w:rPr>
      </w:pPr>
      <w:r w:rsidRPr="00AA0BCB">
        <w:rPr>
          <w:rFonts w:eastAsia="Times New Roman" w:cs="Arial"/>
          <w:szCs w:val="20"/>
          <w:vertAlign w:val="superscript"/>
          <w:lang w:eastAsia="nl-NL"/>
        </w:rPr>
        <w:t>5</w:t>
      </w:r>
      <w:r w:rsidRPr="00AA0BCB">
        <w:rPr>
          <w:rFonts w:eastAsia="Times New Roman" w:cs="Arial"/>
          <w:szCs w:val="20"/>
          <w:lang w:eastAsia="nl-NL"/>
        </w:rPr>
        <w:t xml:space="preserve"> LifeLines Cohort Study, University Medical Center Groningen, University of Groningen, The Netherlands</w:t>
      </w:r>
    </w:p>
    <w:p w14:paraId="18505EB0" w14:textId="77777777" w:rsidR="004142E7" w:rsidRPr="00AA0BCB" w:rsidRDefault="004142E7" w:rsidP="004142E7">
      <w:pPr>
        <w:ind w:left="142"/>
        <w:rPr>
          <w:rFonts w:eastAsia="Times New Roman" w:cs="Arial"/>
          <w:szCs w:val="20"/>
          <w:lang w:eastAsia="nl-NL"/>
        </w:rPr>
      </w:pPr>
      <w:r w:rsidRPr="00AA0BCB">
        <w:rPr>
          <w:rFonts w:eastAsia="Times New Roman" w:cs="Arial"/>
          <w:szCs w:val="20"/>
          <w:vertAlign w:val="superscript"/>
          <w:lang w:eastAsia="nl-NL"/>
        </w:rPr>
        <w:t>6</w:t>
      </w:r>
      <w:r w:rsidRPr="00AA0BCB">
        <w:rPr>
          <w:rFonts w:eastAsia="Times New Roman" w:cs="Arial"/>
          <w:szCs w:val="20"/>
          <w:lang w:eastAsia="nl-NL"/>
        </w:rPr>
        <w:t xml:space="preserve"> Department of Genetics, University Medical Center Groningen, University of Groningen, The Netherlands</w:t>
      </w:r>
    </w:p>
    <w:p w14:paraId="5E4D3EA8" w14:textId="77777777" w:rsidR="004142E7" w:rsidRDefault="004142E7" w:rsidP="004142E7">
      <w:pPr>
        <w:ind w:left="142"/>
        <w:rPr>
          <w:rFonts w:eastAsia="Times New Roman" w:cs="Arial"/>
          <w:szCs w:val="20"/>
          <w:lang w:eastAsia="nl-NL"/>
        </w:rPr>
      </w:pPr>
      <w:r w:rsidRPr="00AA0BCB">
        <w:rPr>
          <w:rFonts w:eastAsia="Times New Roman" w:cs="Arial"/>
          <w:szCs w:val="20"/>
          <w:vertAlign w:val="superscript"/>
          <w:lang w:eastAsia="nl-NL"/>
        </w:rPr>
        <w:t>7</w:t>
      </w:r>
      <w:r w:rsidRPr="00AA0BCB">
        <w:rPr>
          <w:rFonts w:eastAsia="Times New Roman" w:cs="Arial"/>
          <w:szCs w:val="20"/>
          <w:lang w:eastAsia="nl-NL"/>
        </w:rPr>
        <w:t xml:space="preserve"> Department of Endocrinology, University Medical Center Groningen, University of Groningen, The Netherlands</w:t>
      </w:r>
    </w:p>
    <w:p w14:paraId="32691219" w14:textId="03E82253" w:rsidR="00F72F60" w:rsidRDefault="00F72F60">
      <w:pPr>
        <w:jc w:val="left"/>
        <w:rPr>
          <w:rFonts w:eastAsia="Times New Roman" w:cs="Arial"/>
          <w:szCs w:val="20"/>
          <w:lang w:eastAsia="nl-NL"/>
        </w:rPr>
      </w:pPr>
      <w:r>
        <w:rPr>
          <w:rFonts w:eastAsia="Times New Roman" w:cs="Arial"/>
          <w:szCs w:val="20"/>
          <w:lang w:eastAsia="nl-NL"/>
        </w:rPr>
        <w:br w:type="page"/>
      </w:r>
    </w:p>
    <w:p w14:paraId="5469A020" w14:textId="0DC3ADD3" w:rsidR="004142E7" w:rsidRPr="00664C40" w:rsidRDefault="00351C91" w:rsidP="008F56A5">
      <w:pPr>
        <w:pStyle w:val="SectionTitle"/>
      </w:pPr>
      <w:bookmarkStart w:id="71" w:name="_Toc268963878"/>
      <w:bookmarkStart w:id="72" w:name="_Toc289421737"/>
      <w:r>
        <w:t>Supplementa</w:t>
      </w:r>
      <w:r w:rsidR="00183E9A">
        <w:t>l</w:t>
      </w:r>
      <w:r w:rsidR="00A35AAF">
        <w:t xml:space="preserve"> </w:t>
      </w:r>
      <w:r w:rsidR="004142E7" w:rsidRPr="00664C40">
        <w:t>References</w:t>
      </w:r>
      <w:bookmarkEnd w:id="71"/>
      <w:bookmarkEnd w:id="72"/>
    </w:p>
    <w:p w14:paraId="268A55DA" w14:textId="63DA3D5D" w:rsidR="00A92323" w:rsidRPr="00A92323" w:rsidRDefault="004142E7">
      <w:pPr>
        <w:pStyle w:val="NormalWeb"/>
        <w:ind w:left="480" w:hanging="480"/>
        <w:divId w:val="1675255039"/>
        <w:rPr>
          <w:rFonts w:ascii="Arial" w:hAnsi="Arial" w:cs="Arial"/>
          <w:noProof/>
        </w:rPr>
      </w:pPr>
      <w:r>
        <w:rPr>
          <w:rFonts w:ascii="Arial" w:hAnsi="Arial" w:cs="Arial"/>
          <w:szCs w:val="24"/>
        </w:rPr>
        <w:fldChar w:fldCharType="begin" w:fldLock="1"/>
      </w:r>
      <w:r>
        <w:rPr>
          <w:rFonts w:cs="Arial"/>
        </w:rPr>
        <w:instrText xml:space="preserve">ADDIN Mendeley Bibliography CSL_BIBLIOGRAPHY </w:instrText>
      </w:r>
      <w:r>
        <w:rPr>
          <w:rFonts w:ascii="Arial" w:hAnsi="Arial" w:cs="Arial"/>
          <w:szCs w:val="24"/>
        </w:rPr>
        <w:fldChar w:fldCharType="separate"/>
      </w:r>
      <w:r w:rsidR="00A92323" w:rsidRPr="00A92323">
        <w:rPr>
          <w:rFonts w:ascii="Arial" w:hAnsi="Arial" w:cs="Arial"/>
          <w:noProof/>
        </w:rPr>
        <w:t xml:space="preserve">Abyzov A, Urban AE, Snyder M, Gerstein M. 2011. CNVnator: an approach to discover, genotype, and characterize typical and atypical CNVs from family and population genome sequencing. </w:t>
      </w:r>
      <w:r w:rsidR="00A92323" w:rsidRPr="00A92323">
        <w:rPr>
          <w:rFonts w:ascii="Arial" w:hAnsi="Arial" w:cs="Arial"/>
          <w:i/>
          <w:iCs/>
          <w:noProof/>
        </w:rPr>
        <w:t>Genome Res</w:t>
      </w:r>
      <w:r w:rsidR="00A92323" w:rsidRPr="00A92323">
        <w:rPr>
          <w:rFonts w:ascii="Arial" w:hAnsi="Arial" w:cs="Arial"/>
          <w:noProof/>
        </w:rPr>
        <w:t xml:space="preserve"> </w:t>
      </w:r>
      <w:r w:rsidR="00A92323" w:rsidRPr="00A92323">
        <w:rPr>
          <w:rFonts w:ascii="Arial" w:hAnsi="Arial" w:cs="Arial"/>
          <w:b/>
          <w:bCs/>
          <w:noProof/>
        </w:rPr>
        <w:t>21</w:t>
      </w:r>
      <w:r w:rsidR="00A92323" w:rsidRPr="00A92323">
        <w:rPr>
          <w:rFonts w:ascii="Arial" w:hAnsi="Arial" w:cs="Arial"/>
          <w:noProof/>
        </w:rPr>
        <w:t>: 974–984.</w:t>
      </w:r>
    </w:p>
    <w:p w14:paraId="240C4571" w14:textId="77777777" w:rsidR="00A92323" w:rsidRDefault="00A92323">
      <w:pPr>
        <w:pStyle w:val="NormalWeb"/>
        <w:ind w:left="480" w:hanging="480"/>
        <w:divId w:val="1675255039"/>
        <w:rPr>
          <w:rFonts w:ascii="Arial" w:hAnsi="Arial" w:cs="Arial"/>
          <w:noProof/>
        </w:rPr>
      </w:pPr>
      <w:r w:rsidRPr="00A92323">
        <w:rPr>
          <w:rFonts w:ascii="Arial" w:hAnsi="Arial" w:cs="Arial"/>
          <w:noProof/>
        </w:rPr>
        <w:t xml:space="preserve">Albertini M, Hofer M, Calos MP, Miller JH. 1982. On the formation of Spontaneous Deletions: The Importance of Short Sequence Homologies in the Generation of Large Deletions. </w:t>
      </w:r>
      <w:r w:rsidRPr="00A92323">
        <w:rPr>
          <w:rFonts w:ascii="Arial" w:hAnsi="Arial" w:cs="Arial"/>
          <w:i/>
          <w:iCs/>
          <w:noProof/>
        </w:rPr>
        <w:t>Cell</w:t>
      </w:r>
      <w:r w:rsidRPr="00A92323">
        <w:rPr>
          <w:rFonts w:ascii="Arial" w:hAnsi="Arial" w:cs="Arial"/>
          <w:noProof/>
        </w:rPr>
        <w:t xml:space="preserve"> </w:t>
      </w:r>
      <w:r w:rsidRPr="00A92323">
        <w:rPr>
          <w:rFonts w:ascii="Arial" w:hAnsi="Arial" w:cs="Arial"/>
          <w:b/>
          <w:bCs/>
          <w:noProof/>
        </w:rPr>
        <w:t>29</w:t>
      </w:r>
      <w:r w:rsidRPr="00A92323">
        <w:rPr>
          <w:rFonts w:ascii="Arial" w:hAnsi="Arial" w:cs="Arial"/>
          <w:noProof/>
        </w:rPr>
        <w:t>: 319–328.</w:t>
      </w:r>
    </w:p>
    <w:p w14:paraId="359E1A71" w14:textId="6FC73E38" w:rsidR="008F7228" w:rsidRPr="00A92323" w:rsidRDefault="008F7228" w:rsidP="008F7228">
      <w:pPr>
        <w:pStyle w:val="NormalWeb"/>
        <w:ind w:left="480" w:hanging="480"/>
        <w:divId w:val="1675255039"/>
        <w:rPr>
          <w:rFonts w:ascii="Arial" w:hAnsi="Arial" w:cs="Arial"/>
          <w:noProof/>
        </w:rPr>
      </w:pPr>
      <w:r>
        <w:rPr>
          <w:rFonts w:ascii="Arial" w:hAnsi="Arial" w:cs="Arial"/>
          <w:color w:val="262626"/>
        </w:rPr>
        <w:t xml:space="preserve">Altschul SF, Gish W, Miller W, Myers EW, Lipman DJ. 1990. </w:t>
      </w:r>
      <w:r w:rsidRPr="008F7228">
        <w:rPr>
          <w:rFonts w:ascii="Arial" w:hAnsi="Arial" w:cs="Arial"/>
          <w:color w:val="262626"/>
        </w:rPr>
        <w:t>Bas</w:t>
      </w:r>
      <w:r>
        <w:rPr>
          <w:rFonts w:ascii="Arial" w:hAnsi="Arial" w:cs="Arial"/>
          <w:color w:val="262626"/>
        </w:rPr>
        <w:t xml:space="preserve">ic local alignment search tool. </w:t>
      </w:r>
      <w:r w:rsidRPr="008F7228">
        <w:rPr>
          <w:rFonts w:ascii="Arial" w:hAnsi="Arial" w:cs="Arial"/>
          <w:i/>
          <w:color w:val="262626"/>
        </w:rPr>
        <w:t>J Mol Biol</w:t>
      </w:r>
      <w:r w:rsidRPr="008F7228">
        <w:rPr>
          <w:rFonts w:ascii="Arial" w:hAnsi="Arial" w:cs="Arial"/>
          <w:color w:val="262626"/>
        </w:rPr>
        <w:t xml:space="preserve"> </w:t>
      </w:r>
      <w:r w:rsidRPr="008F7228">
        <w:rPr>
          <w:rFonts w:ascii="Arial" w:hAnsi="Arial" w:cs="Arial"/>
          <w:b/>
          <w:color w:val="262626"/>
        </w:rPr>
        <w:t>215</w:t>
      </w:r>
      <w:r w:rsidRPr="008F7228">
        <w:rPr>
          <w:rFonts w:ascii="Arial" w:hAnsi="Arial" w:cs="Arial"/>
          <w:color w:val="262626"/>
        </w:rPr>
        <w:t>:</w:t>
      </w:r>
      <w:r>
        <w:rPr>
          <w:rFonts w:ascii="Arial" w:hAnsi="Arial" w:cs="Arial"/>
          <w:color w:val="262626"/>
        </w:rPr>
        <w:t xml:space="preserve"> </w:t>
      </w:r>
      <w:r w:rsidRPr="008F7228">
        <w:rPr>
          <w:rFonts w:ascii="Arial" w:hAnsi="Arial" w:cs="Arial"/>
          <w:color w:val="262626"/>
        </w:rPr>
        <w:t>403-410</w:t>
      </w:r>
      <w:r>
        <w:rPr>
          <w:rFonts w:ascii="Arial" w:hAnsi="Arial" w:cs="Arial"/>
          <w:noProof/>
        </w:rPr>
        <w:t>.</w:t>
      </w:r>
    </w:p>
    <w:p w14:paraId="05D0D134" w14:textId="2A4622B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Benson G. 1999. Tandem repeats finder: a program to analyze DNA sequences. </w:t>
      </w:r>
      <w:r w:rsidRPr="00A92323">
        <w:rPr>
          <w:rFonts w:ascii="Arial" w:hAnsi="Arial" w:cs="Arial"/>
          <w:i/>
          <w:iCs/>
          <w:noProof/>
        </w:rPr>
        <w:t>Nucleic Acids Res</w:t>
      </w:r>
      <w:r w:rsidRPr="00A92323">
        <w:rPr>
          <w:rFonts w:ascii="Arial" w:hAnsi="Arial" w:cs="Arial"/>
          <w:noProof/>
        </w:rPr>
        <w:t xml:space="preserve"> </w:t>
      </w:r>
      <w:r w:rsidRPr="00A92323">
        <w:rPr>
          <w:rFonts w:ascii="Arial" w:hAnsi="Arial" w:cs="Arial"/>
          <w:b/>
          <w:bCs/>
          <w:noProof/>
        </w:rPr>
        <w:t>27</w:t>
      </w:r>
      <w:r w:rsidRPr="00A92323">
        <w:rPr>
          <w:rFonts w:ascii="Arial" w:hAnsi="Arial" w:cs="Arial"/>
          <w:noProof/>
        </w:rPr>
        <w:t>: 573–580.</w:t>
      </w:r>
    </w:p>
    <w:p w14:paraId="36F66081" w14:textId="71E2F10B"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Chen K, Wallis JW, McLellan MD, Larson DE, Kalicki JM, Pohl CS, McGrath SD, Wendl MC, Zhang Q, Locke DP, et al. 2009. BreakDancer: an algorithm for high-resolution mapping of genomic structural variation. </w:t>
      </w:r>
      <w:r w:rsidRPr="00A92323">
        <w:rPr>
          <w:rFonts w:ascii="Arial" w:hAnsi="Arial" w:cs="Arial"/>
          <w:i/>
          <w:iCs/>
          <w:noProof/>
        </w:rPr>
        <w:t>Nat Methods</w:t>
      </w:r>
      <w:r w:rsidRPr="00A92323">
        <w:rPr>
          <w:rFonts w:ascii="Arial" w:hAnsi="Arial" w:cs="Arial"/>
          <w:noProof/>
        </w:rPr>
        <w:t xml:space="preserve"> </w:t>
      </w:r>
      <w:r w:rsidRPr="00A92323">
        <w:rPr>
          <w:rFonts w:ascii="Arial" w:hAnsi="Arial" w:cs="Arial"/>
          <w:b/>
          <w:bCs/>
          <w:noProof/>
        </w:rPr>
        <w:t>6</w:t>
      </w:r>
      <w:r>
        <w:rPr>
          <w:rFonts w:ascii="Arial" w:hAnsi="Arial" w:cs="Arial"/>
          <w:noProof/>
        </w:rPr>
        <w:t>: 677–81.</w:t>
      </w:r>
    </w:p>
    <w:p w14:paraId="65D34588" w14:textId="66C5253E" w:rsidR="00A92323" w:rsidRPr="00A92323" w:rsidRDefault="00A92323" w:rsidP="002757D7">
      <w:pPr>
        <w:pStyle w:val="NormalWeb"/>
        <w:ind w:left="480" w:hanging="480"/>
        <w:divId w:val="1675255039"/>
        <w:rPr>
          <w:rFonts w:ascii="Arial" w:hAnsi="Arial" w:cs="Arial"/>
          <w:noProof/>
        </w:rPr>
      </w:pPr>
      <w:r w:rsidRPr="00A92323">
        <w:rPr>
          <w:rFonts w:ascii="Arial" w:hAnsi="Arial" w:cs="Arial"/>
          <w:noProof/>
        </w:rPr>
        <w:t xml:space="preserve">Coe BP, Chari R, MacAulay C, Lam WL. 2010. FACADE: a fast and sensitive algorithm for the segmentation and calling of high resolution array CGH data. </w:t>
      </w:r>
      <w:r w:rsidRPr="00A92323">
        <w:rPr>
          <w:rFonts w:ascii="Arial" w:hAnsi="Arial" w:cs="Arial"/>
          <w:i/>
          <w:iCs/>
          <w:noProof/>
        </w:rPr>
        <w:t>Nucleic Acids Res</w:t>
      </w:r>
      <w:r w:rsidRPr="00A92323">
        <w:rPr>
          <w:rFonts w:ascii="Arial" w:hAnsi="Arial" w:cs="Arial"/>
          <w:noProof/>
        </w:rPr>
        <w:t xml:space="preserve"> </w:t>
      </w:r>
      <w:r w:rsidRPr="00A92323">
        <w:rPr>
          <w:rFonts w:ascii="Arial" w:hAnsi="Arial" w:cs="Arial"/>
          <w:b/>
          <w:bCs/>
          <w:noProof/>
        </w:rPr>
        <w:t>38</w:t>
      </w:r>
      <w:r w:rsidRPr="00A92323">
        <w:rPr>
          <w:rFonts w:ascii="Arial" w:hAnsi="Arial" w:cs="Arial"/>
          <w:noProof/>
        </w:rPr>
        <w:t>: e157.</w:t>
      </w:r>
    </w:p>
    <w:p w14:paraId="751F5708" w14:textId="14FEC5AF" w:rsidR="00A92323" w:rsidRPr="00A92323" w:rsidRDefault="00A92323">
      <w:pPr>
        <w:pStyle w:val="NormalWeb"/>
        <w:ind w:left="480" w:hanging="480"/>
        <w:divId w:val="1675255039"/>
        <w:rPr>
          <w:rFonts w:ascii="Arial" w:hAnsi="Arial" w:cs="Arial"/>
          <w:noProof/>
        </w:rPr>
      </w:pPr>
      <w:r w:rsidRPr="00A92323">
        <w:rPr>
          <w:rFonts w:ascii="Arial" w:hAnsi="Arial" w:cs="Arial"/>
          <w:noProof/>
        </w:rPr>
        <w:t>Ewing B, Hillier L, Wendl M, Green P. 1998. Base-calling of automated sequencer traces using</w:t>
      </w:r>
      <w:r w:rsidR="002174EE">
        <w:rPr>
          <w:rFonts w:ascii="Arial" w:hAnsi="Arial" w:cs="Arial"/>
          <w:noProof/>
        </w:rPr>
        <w:t xml:space="preserve"> </w:t>
      </w:r>
      <w:r w:rsidRPr="00A92323">
        <w:rPr>
          <w:rFonts w:ascii="Arial" w:hAnsi="Arial" w:cs="Arial"/>
          <w:noProof/>
        </w:rPr>
        <w:t xml:space="preserve">Phred. I. Accuracy assessment. </w:t>
      </w:r>
      <w:r w:rsidRPr="00A92323">
        <w:rPr>
          <w:rFonts w:ascii="Arial" w:hAnsi="Arial" w:cs="Arial"/>
          <w:i/>
          <w:iCs/>
          <w:noProof/>
        </w:rPr>
        <w:t>Genome Res</w:t>
      </w:r>
      <w:r>
        <w:rPr>
          <w:rFonts w:ascii="Arial" w:hAnsi="Arial" w:cs="Arial"/>
          <w:noProof/>
        </w:rPr>
        <w:t xml:space="preserve"> 175–185.</w:t>
      </w:r>
    </w:p>
    <w:p w14:paraId="4E5ACBEF" w14:textId="422AB009"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Flicek P, Ahmed I, Amode MR, Barrell D, Beal K, Brent S, Carvalho-Silva D, Clapham P, Coates G, Fairley S, et al. 2013. Ensembl 2013. </w:t>
      </w:r>
      <w:r w:rsidRPr="00A92323">
        <w:rPr>
          <w:rFonts w:ascii="Arial" w:hAnsi="Arial" w:cs="Arial"/>
          <w:i/>
          <w:iCs/>
          <w:noProof/>
        </w:rPr>
        <w:t>Nucleic Acids Res</w:t>
      </w:r>
      <w:r w:rsidRPr="00A92323">
        <w:rPr>
          <w:rFonts w:ascii="Arial" w:hAnsi="Arial" w:cs="Arial"/>
          <w:noProof/>
        </w:rPr>
        <w:t xml:space="preserve"> </w:t>
      </w:r>
      <w:r w:rsidRPr="00A92323">
        <w:rPr>
          <w:rFonts w:ascii="Arial" w:hAnsi="Arial" w:cs="Arial"/>
          <w:b/>
          <w:bCs/>
          <w:noProof/>
        </w:rPr>
        <w:t>41</w:t>
      </w:r>
      <w:r>
        <w:rPr>
          <w:rFonts w:ascii="Arial" w:hAnsi="Arial" w:cs="Arial"/>
          <w:noProof/>
        </w:rPr>
        <w:t>: D48–55.</w:t>
      </w:r>
    </w:p>
    <w:p w14:paraId="0C4E7DBF" w14:textId="06579B69"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Flicek P, Amode MR, Barrell D, Beal K, Billis K, Brent S, Carvalho-Silva D, Clapham P, Coates G, Fitzgerald S, et al. 2014. Ensembl 2014. </w:t>
      </w:r>
      <w:r w:rsidRPr="00A92323">
        <w:rPr>
          <w:rFonts w:ascii="Arial" w:hAnsi="Arial" w:cs="Arial"/>
          <w:i/>
          <w:iCs/>
          <w:noProof/>
        </w:rPr>
        <w:t>Nucleic Acids Res</w:t>
      </w:r>
      <w:r w:rsidRPr="00A92323">
        <w:rPr>
          <w:rFonts w:ascii="Arial" w:hAnsi="Arial" w:cs="Arial"/>
          <w:noProof/>
        </w:rPr>
        <w:t xml:space="preserve"> </w:t>
      </w:r>
      <w:r w:rsidRPr="00A92323">
        <w:rPr>
          <w:rFonts w:ascii="Arial" w:hAnsi="Arial" w:cs="Arial"/>
          <w:b/>
          <w:bCs/>
          <w:noProof/>
        </w:rPr>
        <w:t>42</w:t>
      </w:r>
      <w:r w:rsidR="00174180" w:rsidRPr="00174180">
        <w:rPr>
          <w:rFonts w:ascii="Arial" w:hAnsi="Arial" w:cs="Arial"/>
          <w:bCs/>
          <w:noProof/>
        </w:rPr>
        <w:t>: D749-55</w:t>
      </w:r>
      <w:r w:rsidRPr="00174180">
        <w:rPr>
          <w:rFonts w:ascii="Arial" w:hAnsi="Arial" w:cs="Arial"/>
          <w:noProof/>
        </w:rPr>
        <w:t>.</w:t>
      </w:r>
    </w:p>
    <w:p w14:paraId="3A3ACDC5" w14:textId="3380CA2D"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Francioli LC, Menelaou A, Pulit SL, van Dijk F, Palamara PF, Elbers CC, Neerincx PBT, Ye K, Kloosterman WP, Deelen P, et al. 2014. Whole-genome sequence variation, population structure and demographic history of the Dutch population. </w:t>
      </w:r>
      <w:r w:rsidRPr="00A92323">
        <w:rPr>
          <w:rFonts w:ascii="Arial" w:hAnsi="Arial" w:cs="Arial"/>
          <w:i/>
          <w:iCs/>
          <w:noProof/>
        </w:rPr>
        <w:t>Nat Genet</w:t>
      </w:r>
      <w:r w:rsidRPr="00A92323">
        <w:rPr>
          <w:rFonts w:ascii="Arial" w:hAnsi="Arial" w:cs="Arial"/>
          <w:noProof/>
        </w:rPr>
        <w:t xml:space="preserve"> </w:t>
      </w:r>
      <w:r w:rsidRPr="00A92323">
        <w:rPr>
          <w:rFonts w:ascii="Arial" w:hAnsi="Arial" w:cs="Arial"/>
          <w:b/>
          <w:bCs/>
          <w:noProof/>
        </w:rPr>
        <w:t>46</w:t>
      </w:r>
      <w:r w:rsidRPr="00A92323">
        <w:rPr>
          <w:rFonts w:ascii="Arial" w:hAnsi="Arial" w:cs="Arial"/>
          <w:noProof/>
        </w:rPr>
        <w:t xml:space="preserve">: 818–825. </w:t>
      </w:r>
    </w:p>
    <w:p w14:paraId="7CF4E00B" w14:textId="4AA83EDF"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Handsaker RE, Korn JM, Nemesh J, Mccarroll SA. 2011. Discovery and genotyping of genome structural polymorphism by sequencing on a population scale. </w:t>
      </w:r>
      <w:r w:rsidRPr="00A92323">
        <w:rPr>
          <w:rFonts w:ascii="Arial" w:hAnsi="Arial" w:cs="Arial"/>
          <w:i/>
          <w:iCs/>
          <w:noProof/>
        </w:rPr>
        <w:t>Nat Genet</w:t>
      </w:r>
      <w:r w:rsidRPr="00A92323">
        <w:rPr>
          <w:rFonts w:ascii="Arial" w:hAnsi="Arial" w:cs="Arial"/>
          <w:noProof/>
        </w:rPr>
        <w:t xml:space="preserve"> </w:t>
      </w:r>
      <w:r w:rsidRPr="00A92323">
        <w:rPr>
          <w:rFonts w:ascii="Arial" w:hAnsi="Arial" w:cs="Arial"/>
          <w:b/>
          <w:bCs/>
          <w:noProof/>
        </w:rPr>
        <w:t>43</w:t>
      </w:r>
      <w:r w:rsidRPr="00A92323">
        <w:rPr>
          <w:rFonts w:ascii="Arial" w:hAnsi="Arial" w:cs="Arial"/>
          <w:noProof/>
        </w:rPr>
        <w:t xml:space="preserve">: 269–276. </w:t>
      </w:r>
    </w:p>
    <w:p w14:paraId="59441243" w14:textId="2FDC3E26" w:rsidR="00A92323" w:rsidRPr="00A92323" w:rsidRDefault="00174180">
      <w:pPr>
        <w:pStyle w:val="NormalWeb"/>
        <w:ind w:left="480" w:hanging="480"/>
        <w:divId w:val="1675255039"/>
        <w:rPr>
          <w:rFonts w:ascii="Arial" w:hAnsi="Arial" w:cs="Arial"/>
          <w:noProof/>
        </w:rPr>
      </w:pPr>
      <w:r>
        <w:rPr>
          <w:rFonts w:ascii="Arial" w:hAnsi="Arial" w:cs="Arial"/>
          <w:noProof/>
        </w:rPr>
        <w:t>Hastings P, Lupski JR, Rosenberg SM,</w:t>
      </w:r>
      <w:r w:rsidR="00A92323" w:rsidRPr="00A92323">
        <w:rPr>
          <w:rFonts w:ascii="Arial" w:hAnsi="Arial" w:cs="Arial"/>
          <w:noProof/>
        </w:rPr>
        <w:t xml:space="preserve"> Ira G. 2009. Mechanisms of change in gene copy number. </w:t>
      </w:r>
      <w:r w:rsidR="00A92323" w:rsidRPr="00A92323">
        <w:rPr>
          <w:rFonts w:ascii="Arial" w:hAnsi="Arial" w:cs="Arial"/>
          <w:i/>
          <w:iCs/>
          <w:noProof/>
        </w:rPr>
        <w:t>Nat Rev Genet</w:t>
      </w:r>
      <w:r w:rsidR="00A92323" w:rsidRPr="00A92323">
        <w:rPr>
          <w:rFonts w:ascii="Arial" w:hAnsi="Arial" w:cs="Arial"/>
          <w:noProof/>
        </w:rPr>
        <w:t xml:space="preserve"> </w:t>
      </w:r>
      <w:r w:rsidR="00A92323" w:rsidRPr="00A92323">
        <w:rPr>
          <w:rFonts w:ascii="Arial" w:hAnsi="Arial" w:cs="Arial"/>
          <w:b/>
          <w:bCs/>
          <w:noProof/>
        </w:rPr>
        <w:t>10</w:t>
      </w:r>
      <w:r w:rsidR="00A92323" w:rsidRPr="00A92323">
        <w:rPr>
          <w:rFonts w:ascii="Arial" w:hAnsi="Arial" w:cs="Arial"/>
          <w:noProof/>
        </w:rPr>
        <w:t>: 551–564.</w:t>
      </w:r>
    </w:p>
    <w:p w14:paraId="1E26AA51" w14:textId="33BBB879" w:rsidR="00A92323" w:rsidRPr="00A92323" w:rsidRDefault="00A92323">
      <w:pPr>
        <w:pStyle w:val="NormalWeb"/>
        <w:ind w:left="480" w:hanging="480"/>
        <w:divId w:val="1675255039"/>
        <w:rPr>
          <w:rFonts w:ascii="Arial" w:hAnsi="Arial" w:cs="Arial"/>
          <w:noProof/>
        </w:rPr>
      </w:pPr>
      <w:r w:rsidRPr="00A92323">
        <w:rPr>
          <w:rFonts w:ascii="Arial" w:hAnsi="Arial" w:cs="Arial"/>
          <w:noProof/>
        </w:rPr>
        <w:t>Kent WJ, Sugnet CW, Furey TS, R</w:t>
      </w:r>
      <w:r w:rsidR="00035869">
        <w:rPr>
          <w:rFonts w:ascii="Arial" w:hAnsi="Arial" w:cs="Arial"/>
          <w:noProof/>
        </w:rPr>
        <w:t xml:space="preserve">oskin KM, Pringle TH, Zahler AM, Haussler </w:t>
      </w:r>
      <w:r w:rsidRPr="00A92323">
        <w:rPr>
          <w:rFonts w:ascii="Arial" w:hAnsi="Arial" w:cs="Arial"/>
          <w:noProof/>
        </w:rPr>
        <w:t xml:space="preserve">D. 2002. The Human Genome Browser at UCSC. </w:t>
      </w:r>
      <w:r w:rsidRPr="00A92323">
        <w:rPr>
          <w:rFonts w:ascii="Arial" w:hAnsi="Arial" w:cs="Arial"/>
          <w:i/>
          <w:iCs/>
          <w:noProof/>
        </w:rPr>
        <w:t>Genome Res</w:t>
      </w:r>
      <w:r w:rsidRPr="00A92323">
        <w:rPr>
          <w:rFonts w:ascii="Arial" w:hAnsi="Arial" w:cs="Arial"/>
          <w:noProof/>
        </w:rPr>
        <w:t xml:space="preserve"> </w:t>
      </w:r>
      <w:r w:rsidRPr="00A92323">
        <w:rPr>
          <w:rFonts w:ascii="Arial" w:hAnsi="Arial" w:cs="Arial"/>
          <w:b/>
          <w:bCs/>
          <w:noProof/>
        </w:rPr>
        <w:t>12</w:t>
      </w:r>
      <w:r>
        <w:rPr>
          <w:rFonts w:ascii="Arial" w:hAnsi="Arial" w:cs="Arial"/>
          <w:noProof/>
        </w:rPr>
        <w:t>: 996–1006.</w:t>
      </w:r>
    </w:p>
    <w:p w14:paraId="4C60A33E" w14:textId="7777777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Kloosterman WP, Guryev V, van Roosmalen M, Duran KJ, de Bruijn E, Bakker SCM, Letteboer T, van Nesselrooij B, Hochstenbach R, Poot M, et al. 2011. Chromothripsis as a mechanism driving complex de novo structural rearrangements in the germline. </w:t>
      </w:r>
      <w:r w:rsidRPr="00A92323">
        <w:rPr>
          <w:rFonts w:ascii="Arial" w:hAnsi="Arial" w:cs="Arial"/>
          <w:i/>
          <w:iCs/>
          <w:noProof/>
        </w:rPr>
        <w:t>Hum Mol Genet</w:t>
      </w:r>
      <w:r w:rsidRPr="00A92323">
        <w:rPr>
          <w:rFonts w:ascii="Arial" w:hAnsi="Arial" w:cs="Arial"/>
          <w:noProof/>
        </w:rPr>
        <w:t xml:space="preserve"> </w:t>
      </w:r>
      <w:r w:rsidRPr="00A92323">
        <w:rPr>
          <w:rFonts w:ascii="Arial" w:hAnsi="Arial" w:cs="Arial"/>
          <w:b/>
          <w:bCs/>
          <w:noProof/>
        </w:rPr>
        <w:t>20</w:t>
      </w:r>
      <w:r w:rsidRPr="00A92323">
        <w:rPr>
          <w:rFonts w:ascii="Arial" w:hAnsi="Arial" w:cs="Arial"/>
          <w:noProof/>
        </w:rPr>
        <w:t>: 1916–24.</w:t>
      </w:r>
    </w:p>
    <w:p w14:paraId="326355BE" w14:textId="7B5E8D8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Kofler R, Schlötterer C, Lelley T. 2007. SciRoKo: a new tool for whole genome microsatellite search and investigation. </w:t>
      </w:r>
      <w:r w:rsidRPr="00A92323">
        <w:rPr>
          <w:rFonts w:ascii="Arial" w:hAnsi="Arial" w:cs="Arial"/>
          <w:i/>
          <w:iCs/>
          <w:noProof/>
        </w:rPr>
        <w:t>Bioinformatics</w:t>
      </w:r>
      <w:r w:rsidRPr="00A92323">
        <w:rPr>
          <w:rFonts w:ascii="Arial" w:hAnsi="Arial" w:cs="Arial"/>
          <w:noProof/>
        </w:rPr>
        <w:t xml:space="preserve"> </w:t>
      </w:r>
      <w:r w:rsidRPr="00A92323">
        <w:rPr>
          <w:rFonts w:ascii="Arial" w:hAnsi="Arial" w:cs="Arial"/>
          <w:b/>
          <w:bCs/>
          <w:noProof/>
        </w:rPr>
        <w:t>23</w:t>
      </w:r>
      <w:r w:rsidRPr="00A92323">
        <w:rPr>
          <w:rFonts w:ascii="Arial" w:hAnsi="Arial" w:cs="Arial"/>
          <w:noProof/>
        </w:rPr>
        <w:t>:</w:t>
      </w:r>
      <w:r>
        <w:rPr>
          <w:rFonts w:ascii="Arial" w:hAnsi="Arial" w:cs="Arial"/>
          <w:noProof/>
        </w:rPr>
        <w:t xml:space="preserve"> 1683–5.</w:t>
      </w:r>
    </w:p>
    <w:p w14:paraId="27DD3A29" w14:textId="0E9DB168"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Lam HYK, Mu XJ, Stütz AM, Tanzer A, Cayting PD, Snyder M, Kim PM, Korbel JO, Gerstein MB. 2010. Nucleotide-resolution analysis of structural variants using BreakSeq and a breakpoint library. </w:t>
      </w:r>
      <w:r w:rsidRPr="00A92323">
        <w:rPr>
          <w:rFonts w:ascii="Arial" w:hAnsi="Arial" w:cs="Arial"/>
          <w:i/>
          <w:iCs/>
          <w:noProof/>
        </w:rPr>
        <w:t>Nat Biotechnol</w:t>
      </w:r>
      <w:r w:rsidRPr="00A92323">
        <w:rPr>
          <w:rFonts w:ascii="Arial" w:hAnsi="Arial" w:cs="Arial"/>
          <w:noProof/>
        </w:rPr>
        <w:t xml:space="preserve"> </w:t>
      </w:r>
      <w:r w:rsidRPr="00A92323">
        <w:rPr>
          <w:rFonts w:ascii="Arial" w:hAnsi="Arial" w:cs="Arial"/>
          <w:b/>
          <w:bCs/>
          <w:noProof/>
        </w:rPr>
        <w:t>28</w:t>
      </w:r>
      <w:r>
        <w:rPr>
          <w:rFonts w:ascii="Arial" w:hAnsi="Arial" w:cs="Arial"/>
          <w:noProof/>
        </w:rPr>
        <w:t>: 47–55.</w:t>
      </w:r>
    </w:p>
    <w:p w14:paraId="6D0CEC17" w14:textId="7777777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Li H, Durbin R. 2010. Fast and accurate long-read alignment with Burrows-Wheeler transform. </w:t>
      </w:r>
      <w:r w:rsidRPr="00A92323">
        <w:rPr>
          <w:rFonts w:ascii="Arial" w:hAnsi="Arial" w:cs="Arial"/>
          <w:i/>
          <w:iCs/>
          <w:noProof/>
        </w:rPr>
        <w:t>Bioinformatics</w:t>
      </w:r>
      <w:r w:rsidRPr="00A92323">
        <w:rPr>
          <w:rFonts w:ascii="Arial" w:hAnsi="Arial" w:cs="Arial"/>
          <w:noProof/>
        </w:rPr>
        <w:t xml:space="preserve"> </w:t>
      </w:r>
      <w:r w:rsidRPr="00A92323">
        <w:rPr>
          <w:rFonts w:ascii="Arial" w:hAnsi="Arial" w:cs="Arial"/>
          <w:b/>
          <w:bCs/>
          <w:noProof/>
        </w:rPr>
        <w:t>26</w:t>
      </w:r>
      <w:r w:rsidRPr="00A92323">
        <w:rPr>
          <w:rFonts w:ascii="Arial" w:hAnsi="Arial" w:cs="Arial"/>
          <w:noProof/>
        </w:rPr>
        <w:t>: 589–595.</w:t>
      </w:r>
    </w:p>
    <w:p w14:paraId="23CA2D36" w14:textId="7777777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Luo R, Liu B, Xie Y, Li Z, Huang W, Yuan J, He G, Chen Y, Pan Q, Liu Y, et al. 2012. SOAPdenovo2: an empirically improved memory-efficient short-read de novo assembler. </w:t>
      </w:r>
      <w:r w:rsidRPr="00A92323">
        <w:rPr>
          <w:rFonts w:ascii="Arial" w:hAnsi="Arial" w:cs="Arial"/>
          <w:i/>
          <w:iCs/>
          <w:noProof/>
        </w:rPr>
        <w:t>Gigascience</w:t>
      </w:r>
      <w:r w:rsidRPr="00A92323">
        <w:rPr>
          <w:rFonts w:ascii="Arial" w:hAnsi="Arial" w:cs="Arial"/>
          <w:noProof/>
        </w:rPr>
        <w:t xml:space="preserve"> </w:t>
      </w:r>
      <w:r w:rsidRPr="00A92323">
        <w:rPr>
          <w:rFonts w:ascii="Arial" w:hAnsi="Arial" w:cs="Arial"/>
          <w:b/>
          <w:bCs/>
          <w:noProof/>
        </w:rPr>
        <w:t>1</w:t>
      </w:r>
      <w:r w:rsidRPr="00A92323">
        <w:rPr>
          <w:rFonts w:ascii="Arial" w:hAnsi="Arial" w:cs="Arial"/>
          <w:noProof/>
        </w:rPr>
        <w:t>: 18.</w:t>
      </w:r>
    </w:p>
    <w:p w14:paraId="1E353807" w14:textId="77C2B64B"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Marschall T, Hajirasouliha I, Schönhuth A. 2013. MATE-CLEVER: Mendelian-inheritance-aware discovery and genotyping of midsize and long indels. </w:t>
      </w:r>
      <w:r w:rsidRPr="00A92323">
        <w:rPr>
          <w:rFonts w:ascii="Arial" w:hAnsi="Arial" w:cs="Arial"/>
          <w:i/>
          <w:iCs/>
          <w:noProof/>
        </w:rPr>
        <w:t>Bioinformatics</w:t>
      </w:r>
      <w:r w:rsidRPr="00A92323">
        <w:rPr>
          <w:rFonts w:ascii="Arial" w:hAnsi="Arial" w:cs="Arial"/>
          <w:noProof/>
        </w:rPr>
        <w:t xml:space="preserve"> </w:t>
      </w:r>
      <w:r w:rsidRPr="00A92323">
        <w:rPr>
          <w:rFonts w:ascii="Arial" w:hAnsi="Arial" w:cs="Arial"/>
          <w:b/>
          <w:bCs/>
          <w:noProof/>
        </w:rPr>
        <w:t>29</w:t>
      </w:r>
      <w:r w:rsidRPr="00A92323">
        <w:rPr>
          <w:rFonts w:ascii="Arial" w:hAnsi="Arial" w:cs="Arial"/>
          <w:noProof/>
        </w:rPr>
        <w:t>: 3143–3150.</w:t>
      </w:r>
    </w:p>
    <w:p w14:paraId="7AB31BFD" w14:textId="7777777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McVey M, Lee SE. 2008. MMEJ repair of double-strand breaks (director’s cut): deleted sequences and alternative endings. </w:t>
      </w:r>
      <w:r w:rsidRPr="00A92323">
        <w:rPr>
          <w:rFonts w:ascii="Arial" w:hAnsi="Arial" w:cs="Arial"/>
          <w:i/>
          <w:iCs/>
          <w:noProof/>
        </w:rPr>
        <w:t>Trends Genet</w:t>
      </w:r>
      <w:r w:rsidRPr="00A92323">
        <w:rPr>
          <w:rFonts w:ascii="Arial" w:hAnsi="Arial" w:cs="Arial"/>
          <w:noProof/>
        </w:rPr>
        <w:t xml:space="preserve"> </w:t>
      </w:r>
      <w:r w:rsidRPr="00A92323">
        <w:rPr>
          <w:rFonts w:ascii="Arial" w:hAnsi="Arial" w:cs="Arial"/>
          <w:b/>
          <w:bCs/>
          <w:noProof/>
        </w:rPr>
        <w:t>24</w:t>
      </w:r>
      <w:r w:rsidRPr="00A92323">
        <w:rPr>
          <w:rFonts w:ascii="Arial" w:hAnsi="Arial" w:cs="Arial"/>
          <w:noProof/>
        </w:rPr>
        <w:t>: 529–538.</w:t>
      </w:r>
    </w:p>
    <w:p w14:paraId="4445A2A2" w14:textId="753B1C89"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Mills R, Luttig C, Larkins C. 2006. An initial map of insertion and deletion (INDEL) variation in the human genome. </w:t>
      </w:r>
      <w:r w:rsidRPr="00A92323">
        <w:rPr>
          <w:rFonts w:ascii="Arial" w:hAnsi="Arial" w:cs="Arial"/>
          <w:i/>
          <w:iCs/>
          <w:noProof/>
        </w:rPr>
        <w:t>Genome Res</w:t>
      </w:r>
      <w:r w:rsidRPr="00A92323">
        <w:rPr>
          <w:rFonts w:ascii="Arial" w:hAnsi="Arial" w:cs="Arial"/>
          <w:noProof/>
        </w:rPr>
        <w:t xml:space="preserve"> </w:t>
      </w:r>
      <w:r w:rsidRPr="00A92323">
        <w:rPr>
          <w:rFonts w:ascii="Arial" w:hAnsi="Arial" w:cs="Arial"/>
          <w:b/>
          <w:bCs/>
          <w:noProof/>
        </w:rPr>
        <w:t>16</w:t>
      </w:r>
      <w:r>
        <w:rPr>
          <w:rFonts w:ascii="Arial" w:hAnsi="Arial" w:cs="Arial"/>
          <w:noProof/>
        </w:rPr>
        <w:t>: 1182–1190.</w:t>
      </w:r>
    </w:p>
    <w:p w14:paraId="3E7D0615" w14:textId="7A121F01" w:rsidR="00A92323" w:rsidRPr="00A92323" w:rsidRDefault="00A92323">
      <w:pPr>
        <w:pStyle w:val="NormalWeb"/>
        <w:ind w:left="480" w:hanging="480"/>
        <w:divId w:val="1675255039"/>
        <w:rPr>
          <w:rFonts w:ascii="Arial" w:hAnsi="Arial" w:cs="Arial"/>
          <w:noProof/>
        </w:rPr>
      </w:pPr>
      <w:r w:rsidRPr="00A92323">
        <w:rPr>
          <w:rFonts w:ascii="Arial" w:hAnsi="Arial" w:cs="Arial"/>
          <w:noProof/>
        </w:rPr>
        <w:t>Montgomery SB, Goode DL, Kvikstad E, Albers CA, Zhang ZD, Mu XJ, Ananda G, Howie B, Karczewski KJ, Smith KS, et al. 2013. deletion variants identified in 179 human genomes The ori</w:t>
      </w:r>
      <w:r w:rsidR="00035869">
        <w:rPr>
          <w:rFonts w:ascii="Arial" w:hAnsi="Arial" w:cs="Arial"/>
          <w:noProof/>
        </w:rPr>
        <w:t>gin, evolution</w:t>
      </w:r>
      <w:r w:rsidRPr="00A92323">
        <w:rPr>
          <w:rFonts w:ascii="Arial" w:hAnsi="Arial" w:cs="Arial"/>
          <w:noProof/>
        </w:rPr>
        <w:t xml:space="preserve">, and functional impact of short insertion – deletion variants identified in 179 human genomes. </w:t>
      </w:r>
      <w:r w:rsidRPr="00A92323">
        <w:rPr>
          <w:rFonts w:ascii="Arial" w:hAnsi="Arial" w:cs="Arial"/>
          <w:i/>
          <w:iCs/>
          <w:noProof/>
        </w:rPr>
        <w:t>Genome Res</w:t>
      </w:r>
      <w:r w:rsidRPr="00A92323">
        <w:rPr>
          <w:rFonts w:ascii="Arial" w:hAnsi="Arial" w:cs="Arial"/>
          <w:noProof/>
        </w:rPr>
        <w:t xml:space="preserve"> </w:t>
      </w:r>
      <w:r w:rsidRPr="00A92323">
        <w:rPr>
          <w:rFonts w:ascii="Arial" w:hAnsi="Arial" w:cs="Arial"/>
          <w:b/>
          <w:noProof/>
        </w:rPr>
        <w:t>23</w:t>
      </w:r>
      <w:r>
        <w:rPr>
          <w:rFonts w:ascii="Arial" w:hAnsi="Arial" w:cs="Arial"/>
          <w:noProof/>
        </w:rPr>
        <w:t xml:space="preserve">: </w:t>
      </w:r>
      <w:r w:rsidRPr="00A92323">
        <w:rPr>
          <w:rFonts w:ascii="Arial" w:hAnsi="Arial" w:cs="Arial"/>
          <w:noProof/>
        </w:rPr>
        <w:t>749–761.</w:t>
      </w:r>
    </w:p>
    <w:p w14:paraId="5D5F1650" w14:textId="7777777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Ripley LS. 1990. Frameshif Mutation: Determinants of Specificity. </w:t>
      </w:r>
      <w:r w:rsidRPr="00A92323">
        <w:rPr>
          <w:rFonts w:ascii="Arial" w:hAnsi="Arial" w:cs="Arial"/>
          <w:i/>
          <w:iCs/>
          <w:noProof/>
        </w:rPr>
        <w:t>Annu Rev Genet</w:t>
      </w:r>
      <w:r w:rsidRPr="00A92323">
        <w:rPr>
          <w:rFonts w:ascii="Arial" w:hAnsi="Arial" w:cs="Arial"/>
          <w:noProof/>
        </w:rPr>
        <w:t xml:space="preserve"> </w:t>
      </w:r>
      <w:r w:rsidRPr="00A92323">
        <w:rPr>
          <w:rFonts w:ascii="Arial" w:hAnsi="Arial" w:cs="Arial"/>
          <w:b/>
          <w:bCs/>
          <w:noProof/>
        </w:rPr>
        <w:t>24</w:t>
      </w:r>
      <w:r w:rsidRPr="00A92323">
        <w:rPr>
          <w:rFonts w:ascii="Arial" w:hAnsi="Arial" w:cs="Arial"/>
          <w:noProof/>
        </w:rPr>
        <w:t>: 189–213.</w:t>
      </w:r>
    </w:p>
    <w:p w14:paraId="23E7EE3B" w14:textId="7777777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Ripley LS. 1982. Model for the participation of quasi-palindromic DNA sequences in frameshift mutation. </w:t>
      </w:r>
      <w:r w:rsidRPr="00A92323">
        <w:rPr>
          <w:rFonts w:ascii="Arial" w:hAnsi="Arial" w:cs="Arial"/>
          <w:i/>
          <w:iCs/>
          <w:noProof/>
        </w:rPr>
        <w:t>Proc Natl Acad Sci U S A</w:t>
      </w:r>
      <w:r w:rsidRPr="00A92323">
        <w:rPr>
          <w:rFonts w:ascii="Arial" w:hAnsi="Arial" w:cs="Arial"/>
          <w:noProof/>
        </w:rPr>
        <w:t xml:space="preserve"> </w:t>
      </w:r>
      <w:r w:rsidRPr="00A92323">
        <w:rPr>
          <w:rFonts w:ascii="Arial" w:hAnsi="Arial" w:cs="Arial"/>
          <w:b/>
          <w:bCs/>
          <w:noProof/>
        </w:rPr>
        <w:t>79</w:t>
      </w:r>
      <w:r w:rsidRPr="00A92323">
        <w:rPr>
          <w:rFonts w:ascii="Arial" w:hAnsi="Arial" w:cs="Arial"/>
          <w:noProof/>
        </w:rPr>
        <w:t>: 4128–4132.</w:t>
      </w:r>
    </w:p>
    <w:p w14:paraId="13AB07E1" w14:textId="7777777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Roerink SF, Schendel R, Tijsterman M. 2014. Polymerase theta-mediated end joining of replication-associated DNA breaks in C. elegans. </w:t>
      </w:r>
      <w:r w:rsidRPr="00A92323">
        <w:rPr>
          <w:rFonts w:ascii="Arial" w:hAnsi="Arial" w:cs="Arial"/>
          <w:i/>
          <w:iCs/>
          <w:noProof/>
        </w:rPr>
        <w:t>Genome Res</w:t>
      </w:r>
      <w:r w:rsidRPr="00A92323">
        <w:rPr>
          <w:rFonts w:ascii="Arial" w:hAnsi="Arial" w:cs="Arial"/>
          <w:noProof/>
        </w:rPr>
        <w:t xml:space="preserve"> </w:t>
      </w:r>
      <w:r w:rsidRPr="00A92323">
        <w:rPr>
          <w:rFonts w:ascii="Arial" w:hAnsi="Arial" w:cs="Arial"/>
          <w:b/>
          <w:bCs/>
          <w:noProof/>
        </w:rPr>
        <w:t>24</w:t>
      </w:r>
      <w:r w:rsidRPr="00A92323">
        <w:rPr>
          <w:rFonts w:ascii="Arial" w:hAnsi="Arial" w:cs="Arial"/>
          <w:noProof/>
        </w:rPr>
        <w:t>: 954–962.</w:t>
      </w:r>
    </w:p>
    <w:p w14:paraId="235A104B" w14:textId="7777777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Rozen S, Skaletsky H. 2000. Primers3 on the WWW for General Users and for Biologist Programmers. </w:t>
      </w:r>
      <w:r w:rsidRPr="00A92323">
        <w:rPr>
          <w:rFonts w:ascii="Arial" w:hAnsi="Arial" w:cs="Arial"/>
          <w:i/>
          <w:iCs/>
          <w:noProof/>
        </w:rPr>
        <w:t>Methods Mol Biol</w:t>
      </w:r>
      <w:r w:rsidRPr="00A92323">
        <w:rPr>
          <w:rFonts w:ascii="Arial" w:hAnsi="Arial" w:cs="Arial"/>
          <w:noProof/>
        </w:rPr>
        <w:t xml:space="preserve"> </w:t>
      </w:r>
      <w:r w:rsidRPr="00A92323">
        <w:rPr>
          <w:rFonts w:ascii="Arial" w:hAnsi="Arial" w:cs="Arial"/>
          <w:b/>
          <w:bCs/>
          <w:noProof/>
        </w:rPr>
        <w:t>132</w:t>
      </w:r>
      <w:r w:rsidRPr="00A92323">
        <w:rPr>
          <w:rFonts w:ascii="Arial" w:hAnsi="Arial" w:cs="Arial"/>
          <w:noProof/>
        </w:rPr>
        <w:t>: 265–386.</w:t>
      </w:r>
    </w:p>
    <w:p w14:paraId="512FC0A5" w14:textId="1A4511B6" w:rsidR="00A92323" w:rsidRPr="002757D7" w:rsidRDefault="00A92323">
      <w:pPr>
        <w:pStyle w:val="NormalWeb"/>
        <w:ind w:left="480" w:hanging="480"/>
        <w:divId w:val="1675255039"/>
        <w:rPr>
          <w:rFonts w:ascii="Arial" w:hAnsi="Arial" w:cs="Arial"/>
          <w:noProof/>
        </w:rPr>
      </w:pPr>
      <w:r w:rsidRPr="00A92323">
        <w:rPr>
          <w:rFonts w:ascii="Arial" w:hAnsi="Arial" w:cs="Arial"/>
          <w:noProof/>
        </w:rPr>
        <w:t xml:space="preserve">Stewart C, Kural D, Strömberg MP, Walker JA, Konkel MK, Stütz AM, Urban AE, Grubert F, Lam HYK, Lee WP, et al. 2011. A comprehensive map of mobile element insertion </w:t>
      </w:r>
      <w:r w:rsidRPr="002757D7">
        <w:rPr>
          <w:rFonts w:ascii="Arial" w:hAnsi="Arial" w:cs="Arial"/>
          <w:noProof/>
        </w:rPr>
        <w:t xml:space="preserve">polymorphisms in humans. </w:t>
      </w:r>
      <w:r w:rsidRPr="002757D7">
        <w:rPr>
          <w:rFonts w:ascii="Arial" w:hAnsi="Arial" w:cs="Arial"/>
          <w:i/>
          <w:iCs/>
          <w:noProof/>
        </w:rPr>
        <w:t>PLoS Genet</w:t>
      </w:r>
      <w:r w:rsidRPr="002757D7">
        <w:rPr>
          <w:rFonts w:ascii="Arial" w:hAnsi="Arial" w:cs="Arial"/>
          <w:noProof/>
        </w:rPr>
        <w:t xml:space="preserve"> </w:t>
      </w:r>
      <w:r w:rsidRPr="002757D7">
        <w:rPr>
          <w:rFonts w:ascii="Arial" w:hAnsi="Arial" w:cs="Arial"/>
          <w:b/>
          <w:bCs/>
          <w:noProof/>
        </w:rPr>
        <w:t>7</w:t>
      </w:r>
      <w:r w:rsidR="002757D7" w:rsidRPr="002757D7">
        <w:rPr>
          <w:rFonts w:ascii="Arial" w:hAnsi="Arial" w:cs="Arial"/>
          <w:bCs/>
          <w:noProof/>
        </w:rPr>
        <w:t>: e1002236</w:t>
      </w:r>
      <w:r w:rsidRPr="002757D7">
        <w:rPr>
          <w:rFonts w:ascii="Arial" w:hAnsi="Arial" w:cs="Arial"/>
          <w:noProof/>
        </w:rPr>
        <w:t>.</w:t>
      </w:r>
    </w:p>
    <w:p w14:paraId="77FFF5F6" w14:textId="5D0EC269" w:rsidR="002757D7" w:rsidRPr="00A92323" w:rsidRDefault="002757D7" w:rsidP="002757D7">
      <w:pPr>
        <w:pStyle w:val="NormalWeb"/>
        <w:ind w:left="480" w:hanging="480"/>
        <w:divId w:val="1675255039"/>
        <w:rPr>
          <w:rFonts w:ascii="Arial" w:hAnsi="Arial" w:cs="Arial"/>
          <w:noProof/>
        </w:rPr>
      </w:pPr>
      <w:r w:rsidRPr="002757D7">
        <w:rPr>
          <w:rFonts w:ascii="Arial" w:hAnsi="Arial" w:cs="Arial"/>
          <w:noProof/>
        </w:rPr>
        <w:t xml:space="preserve">The Encode Project Consortium. 2007. Identification and analysis of functional elements in 1% of the human genome by the ENCODE pilot project. </w:t>
      </w:r>
      <w:r w:rsidRPr="002757D7">
        <w:rPr>
          <w:rFonts w:ascii="Arial" w:hAnsi="Arial" w:cs="Arial"/>
          <w:i/>
          <w:iCs/>
          <w:noProof/>
        </w:rPr>
        <w:t>Nature</w:t>
      </w:r>
      <w:r w:rsidRPr="002757D7">
        <w:rPr>
          <w:rFonts w:ascii="Arial" w:hAnsi="Arial" w:cs="Arial"/>
          <w:noProof/>
        </w:rPr>
        <w:t xml:space="preserve"> </w:t>
      </w:r>
      <w:r w:rsidRPr="002757D7">
        <w:rPr>
          <w:rFonts w:ascii="Arial" w:hAnsi="Arial" w:cs="Arial"/>
          <w:b/>
          <w:bCs/>
          <w:noProof/>
        </w:rPr>
        <w:t>447</w:t>
      </w:r>
      <w:r w:rsidRPr="002757D7">
        <w:rPr>
          <w:rFonts w:ascii="Arial" w:hAnsi="Arial" w:cs="Arial"/>
          <w:noProof/>
        </w:rPr>
        <w:t>: 799–816.</w:t>
      </w:r>
    </w:p>
    <w:p w14:paraId="2FFE6B02" w14:textId="15FB01DE"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Thorvaldsdóttir H, Robinson JT, Mesirov JP. 2013. Integrative Genomics Viewer (IGV): high-performance genomics data visualization and exploration. </w:t>
      </w:r>
      <w:r w:rsidRPr="00A92323">
        <w:rPr>
          <w:rFonts w:ascii="Arial" w:hAnsi="Arial" w:cs="Arial"/>
          <w:i/>
          <w:iCs/>
          <w:noProof/>
        </w:rPr>
        <w:t>Brief Bioinform</w:t>
      </w:r>
      <w:r w:rsidRPr="00A92323">
        <w:rPr>
          <w:rFonts w:ascii="Arial" w:hAnsi="Arial" w:cs="Arial"/>
          <w:noProof/>
        </w:rPr>
        <w:t xml:space="preserve"> </w:t>
      </w:r>
      <w:r w:rsidRPr="00A92323">
        <w:rPr>
          <w:rFonts w:ascii="Arial" w:hAnsi="Arial" w:cs="Arial"/>
          <w:b/>
          <w:bCs/>
          <w:noProof/>
        </w:rPr>
        <w:t>14</w:t>
      </w:r>
      <w:r w:rsidRPr="00A92323">
        <w:rPr>
          <w:rFonts w:ascii="Arial" w:hAnsi="Arial" w:cs="Arial"/>
          <w:noProof/>
        </w:rPr>
        <w:t xml:space="preserve">: 178–92. </w:t>
      </w:r>
    </w:p>
    <w:p w14:paraId="4E5C093D" w14:textId="597337E9" w:rsidR="00A92323" w:rsidRPr="00A92323" w:rsidRDefault="00A92323">
      <w:pPr>
        <w:pStyle w:val="NormalWeb"/>
        <w:ind w:left="480" w:hanging="480"/>
        <w:divId w:val="1675255039"/>
        <w:rPr>
          <w:rFonts w:ascii="Arial" w:hAnsi="Arial" w:cs="Arial"/>
          <w:noProof/>
        </w:rPr>
      </w:pPr>
      <w:r w:rsidRPr="00A92323">
        <w:rPr>
          <w:rFonts w:ascii="Arial" w:hAnsi="Arial" w:cs="Arial"/>
          <w:noProof/>
        </w:rPr>
        <w:t>Thung DT, de Ligt J, Vissers LE, Steehouwer M, Kroon M, de Vries P</w:t>
      </w:r>
      <w:r w:rsidR="003C3DCC">
        <w:rPr>
          <w:rFonts w:ascii="Arial" w:hAnsi="Arial" w:cs="Arial"/>
          <w:noProof/>
        </w:rPr>
        <w:t>, Slagboom EP, Ye K, Veltman JA</w:t>
      </w:r>
      <w:r w:rsidRPr="00A92323">
        <w:rPr>
          <w:rFonts w:ascii="Arial" w:hAnsi="Arial" w:cs="Arial"/>
          <w:noProof/>
        </w:rPr>
        <w:t xml:space="preserve">, Hehir-Kwa JY. 2014. Mobster: accurate detection of mobile element insertions in next generation sequencing data. </w:t>
      </w:r>
      <w:r w:rsidRPr="00A92323">
        <w:rPr>
          <w:rFonts w:ascii="Arial" w:hAnsi="Arial" w:cs="Arial"/>
          <w:i/>
          <w:iCs/>
          <w:noProof/>
        </w:rPr>
        <w:t>Genome Biol</w:t>
      </w:r>
      <w:r w:rsidRPr="00A92323">
        <w:rPr>
          <w:rFonts w:ascii="Arial" w:hAnsi="Arial" w:cs="Arial"/>
          <w:noProof/>
        </w:rPr>
        <w:t xml:space="preserve"> </w:t>
      </w:r>
      <w:r w:rsidRPr="00A92323">
        <w:rPr>
          <w:rFonts w:ascii="Arial" w:hAnsi="Arial" w:cs="Arial"/>
          <w:b/>
          <w:bCs/>
          <w:noProof/>
        </w:rPr>
        <w:t>15</w:t>
      </w:r>
      <w:r w:rsidRPr="00A92323">
        <w:rPr>
          <w:rFonts w:ascii="Arial" w:hAnsi="Arial" w:cs="Arial"/>
          <w:noProof/>
        </w:rPr>
        <w:t>: 488.</w:t>
      </w:r>
    </w:p>
    <w:p w14:paraId="3BDB3703" w14:textId="77777777" w:rsidR="00A92323" w:rsidRPr="00A92323" w:rsidRDefault="00A92323">
      <w:pPr>
        <w:pStyle w:val="NormalWeb"/>
        <w:ind w:left="480" w:hanging="480"/>
        <w:divId w:val="1675255039"/>
        <w:rPr>
          <w:rFonts w:ascii="Arial" w:hAnsi="Arial" w:cs="Arial"/>
          <w:noProof/>
        </w:rPr>
      </w:pPr>
      <w:r w:rsidRPr="00A92323">
        <w:rPr>
          <w:rFonts w:ascii="Arial" w:hAnsi="Arial" w:cs="Arial"/>
          <w:noProof/>
        </w:rPr>
        <w:t xml:space="preserve">Ye K, Schulz MH, Long Q, Apweiler R, Ning Z. 2009. Pindel: a pattern growth approach to detect break points of large deletions and medium sized insertions from paired-end short reads. </w:t>
      </w:r>
      <w:r w:rsidRPr="00A92323">
        <w:rPr>
          <w:rFonts w:ascii="Arial" w:hAnsi="Arial" w:cs="Arial"/>
          <w:i/>
          <w:iCs/>
          <w:noProof/>
        </w:rPr>
        <w:t>Bioinformatics</w:t>
      </w:r>
      <w:r w:rsidRPr="00A92323">
        <w:rPr>
          <w:rFonts w:ascii="Arial" w:hAnsi="Arial" w:cs="Arial"/>
          <w:noProof/>
        </w:rPr>
        <w:t xml:space="preserve"> </w:t>
      </w:r>
      <w:r w:rsidRPr="00A92323">
        <w:rPr>
          <w:rFonts w:ascii="Arial" w:hAnsi="Arial" w:cs="Arial"/>
          <w:b/>
          <w:bCs/>
          <w:noProof/>
        </w:rPr>
        <w:t>25</w:t>
      </w:r>
      <w:r w:rsidRPr="00A92323">
        <w:rPr>
          <w:rFonts w:ascii="Arial" w:hAnsi="Arial" w:cs="Arial"/>
          <w:noProof/>
        </w:rPr>
        <w:t>: 2865–2871.</w:t>
      </w:r>
    </w:p>
    <w:p w14:paraId="3A088A75" w14:textId="577DAFE3" w:rsidR="0055300A" w:rsidRPr="00967CAE" w:rsidRDefault="004142E7" w:rsidP="00A92323">
      <w:pPr>
        <w:pStyle w:val="NormalWeb"/>
        <w:ind w:left="480" w:hanging="480"/>
        <w:divId w:val="1381051842"/>
        <w:rPr>
          <w:rFonts w:eastAsia="Times New Roman"/>
          <w:b/>
        </w:rPr>
      </w:pPr>
      <w:r>
        <w:rPr>
          <w:rFonts w:cs="Arial"/>
        </w:rPr>
        <w:fldChar w:fldCharType="end"/>
      </w:r>
    </w:p>
    <w:sectPr w:rsidR="0055300A" w:rsidRPr="00967CAE" w:rsidSect="00F05CC1">
      <w:footerReference w:type="even" r:id="rId14"/>
      <w:footerReference w:type="default" r:id="rId1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7239D" w14:textId="77777777" w:rsidR="00EC6ED2" w:rsidRDefault="00EC6ED2" w:rsidP="004535DB">
      <w:r>
        <w:separator/>
      </w:r>
    </w:p>
  </w:endnote>
  <w:endnote w:type="continuationSeparator" w:id="0">
    <w:p w14:paraId="4DE36204" w14:textId="77777777" w:rsidR="00EC6ED2" w:rsidRDefault="00EC6ED2" w:rsidP="0045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Droid Sans Fallback">
    <w:altName w:val="Cambria"/>
    <w:charset w:val="00"/>
    <w:family w:val="auto"/>
    <w:pitch w:val="variable"/>
    <w:sig w:usb0="00000003" w:usb1="00000000" w:usb2="00000000" w:usb3="00000000" w:csb0="00000001" w:csb1="00000000"/>
  </w:font>
  <w:font w:name="font248">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AF8F0" w14:textId="77777777" w:rsidR="00EC6ED2" w:rsidRDefault="00EC6ED2" w:rsidP="00AD1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C780F5" w14:textId="77777777" w:rsidR="00EC6ED2" w:rsidRDefault="00EC6ED2" w:rsidP="004535D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03F02" w14:textId="77777777" w:rsidR="00EC6ED2" w:rsidRDefault="00EC6ED2" w:rsidP="00AD1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1F10">
      <w:rPr>
        <w:rStyle w:val="PageNumber"/>
        <w:noProof/>
      </w:rPr>
      <w:t>1</w:t>
    </w:r>
    <w:r>
      <w:rPr>
        <w:rStyle w:val="PageNumber"/>
      </w:rPr>
      <w:fldChar w:fldCharType="end"/>
    </w:r>
  </w:p>
  <w:p w14:paraId="1AFE4B6C" w14:textId="77777777" w:rsidR="00EC6ED2" w:rsidRDefault="00EC6ED2" w:rsidP="004535D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97DC3" w14:textId="77777777" w:rsidR="00EC6ED2" w:rsidRDefault="00EC6ED2" w:rsidP="004535DB">
      <w:r>
        <w:separator/>
      </w:r>
    </w:p>
  </w:footnote>
  <w:footnote w:type="continuationSeparator" w:id="0">
    <w:p w14:paraId="05C97CC3" w14:textId="77777777" w:rsidR="00EC6ED2" w:rsidRDefault="00EC6ED2" w:rsidP="004535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94DC7"/>
    <w:multiLevelType w:val="hybridMultilevel"/>
    <w:tmpl w:val="AB4E3ACA"/>
    <w:lvl w:ilvl="0" w:tplc="668462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14511"/>
    <w:multiLevelType w:val="hybridMultilevel"/>
    <w:tmpl w:val="C9D2F8F0"/>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nsid w:val="0A09305B"/>
    <w:multiLevelType w:val="hybridMultilevel"/>
    <w:tmpl w:val="AA98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A6153"/>
    <w:multiLevelType w:val="multilevel"/>
    <w:tmpl w:val="0FE412D4"/>
    <w:styleLink w:val="CurrentList1"/>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DB65F2"/>
    <w:multiLevelType w:val="hybridMultilevel"/>
    <w:tmpl w:val="8C62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F429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B07067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nsid w:val="1CA21B1A"/>
    <w:multiLevelType w:val="hybridMultilevel"/>
    <w:tmpl w:val="EED27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425213"/>
    <w:multiLevelType w:val="hybridMultilevel"/>
    <w:tmpl w:val="9AD2E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6224C3"/>
    <w:multiLevelType w:val="hybridMultilevel"/>
    <w:tmpl w:val="5932610A"/>
    <w:lvl w:ilvl="0" w:tplc="5E1496D8">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A707F"/>
    <w:multiLevelType w:val="hybridMultilevel"/>
    <w:tmpl w:val="2AD813BE"/>
    <w:lvl w:ilvl="0" w:tplc="A4A4BE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EC1A6E"/>
    <w:multiLevelType w:val="hybridMultilevel"/>
    <w:tmpl w:val="40F4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2A4523"/>
    <w:multiLevelType w:val="multilevel"/>
    <w:tmpl w:val="48787D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61E534A"/>
    <w:multiLevelType w:val="hybridMultilevel"/>
    <w:tmpl w:val="64DEFF54"/>
    <w:lvl w:ilvl="0" w:tplc="0409000F">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4">
    <w:nsid w:val="38B710F7"/>
    <w:multiLevelType w:val="hybridMultilevel"/>
    <w:tmpl w:val="2B38663C"/>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CD44F4"/>
    <w:multiLevelType w:val="hybridMultilevel"/>
    <w:tmpl w:val="0C8A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3822D5"/>
    <w:multiLevelType w:val="hybridMultilevel"/>
    <w:tmpl w:val="0DCA6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476631"/>
    <w:multiLevelType w:val="hybridMultilevel"/>
    <w:tmpl w:val="EC82CCF4"/>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BB3E94"/>
    <w:multiLevelType w:val="hybridMultilevel"/>
    <w:tmpl w:val="B27E36A2"/>
    <w:lvl w:ilvl="0" w:tplc="F7760CF4">
      <w:start w:val="1"/>
      <w:numFmt w:val="lowerLetter"/>
      <w:lvlText w:val="%1)"/>
      <w:lvlJc w:val="left"/>
      <w:pPr>
        <w:ind w:left="720" w:hanging="360"/>
      </w:pPr>
      <w:rPr>
        <w:rFonts w:hint="default"/>
      </w:rPr>
    </w:lvl>
    <w:lvl w:ilvl="1" w:tplc="6F325E34" w:tentative="1">
      <w:start w:val="1"/>
      <w:numFmt w:val="lowerLetter"/>
      <w:lvlText w:val="%2."/>
      <w:lvlJc w:val="left"/>
      <w:pPr>
        <w:ind w:left="1440" w:hanging="360"/>
      </w:pPr>
    </w:lvl>
    <w:lvl w:ilvl="2" w:tplc="78D85482" w:tentative="1">
      <w:start w:val="1"/>
      <w:numFmt w:val="lowerRoman"/>
      <w:lvlText w:val="%3."/>
      <w:lvlJc w:val="right"/>
      <w:pPr>
        <w:ind w:left="2160" w:hanging="180"/>
      </w:pPr>
    </w:lvl>
    <w:lvl w:ilvl="3" w:tplc="92449F86" w:tentative="1">
      <w:start w:val="1"/>
      <w:numFmt w:val="decimal"/>
      <w:lvlText w:val="%4."/>
      <w:lvlJc w:val="left"/>
      <w:pPr>
        <w:ind w:left="2880" w:hanging="360"/>
      </w:pPr>
    </w:lvl>
    <w:lvl w:ilvl="4" w:tplc="8A2C6234" w:tentative="1">
      <w:start w:val="1"/>
      <w:numFmt w:val="lowerLetter"/>
      <w:lvlText w:val="%5."/>
      <w:lvlJc w:val="left"/>
      <w:pPr>
        <w:ind w:left="3600" w:hanging="360"/>
      </w:pPr>
    </w:lvl>
    <w:lvl w:ilvl="5" w:tplc="E7925A7C" w:tentative="1">
      <w:start w:val="1"/>
      <w:numFmt w:val="lowerRoman"/>
      <w:lvlText w:val="%6."/>
      <w:lvlJc w:val="right"/>
      <w:pPr>
        <w:ind w:left="4320" w:hanging="180"/>
      </w:pPr>
    </w:lvl>
    <w:lvl w:ilvl="6" w:tplc="9D52D280" w:tentative="1">
      <w:start w:val="1"/>
      <w:numFmt w:val="decimal"/>
      <w:lvlText w:val="%7."/>
      <w:lvlJc w:val="left"/>
      <w:pPr>
        <w:ind w:left="5040" w:hanging="360"/>
      </w:pPr>
    </w:lvl>
    <w:lvl w:ilvl="7" w:tplc="39524B18" w:tentative="1">
      <w:start w:val="1"/>
      <w:numFmt w:val="lowerLetter"/>
      <w:lvlText w:val="%8."/>
      <w:lvlJc w:val="left"/>
      <w:pPr>
        <w:ind w:left="5760" w:hanging="360"/>
      </w:pPr>
    </w:lvl>
    <w:lvl w:ilvl="8" w:tplc="3B1E7F4C" w:tentative="1">
      <w:start w:val="1"/>
      <w:numFmt w:val="lowerRoman"/>
      <w:lvlText w:val="%9."/>
      <w:lvlJc w:val="right"/>
      <w:pPr>
        <w:ind w:left="6480" w:hanging="180"/>
      </w:pPr>
    </w:lvl>
  </w:abstractNum>
  <w:abstractNum w:abstractNumId="19">
    <w:nsid w:val="706655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3BF27D3"/>
    <w:multiLevelType w:val="singleLevel"/>
    <w:tmpl w:val="798EBB88"/>
    <w:lvl w:ilvl="0">
      <w:start w:val="1"/>
      <w:numFmt w:val="upperRoman"/>
      <w:pStyle w:val="SectionTitle"/>
      <w:lvlText w:val="%1."/>
      <w:lvlJc w:val="right"/>
      <w:pPr>
        <w:ind w:left="720" w:hanging="720"/>
      </w:pPr>
      <w:rPr>
        <w:rFonts w:hint="default"/>
      </w:rPr>
    </w:lvl>
  </w:abstractNum>
  <w:abstractNum w:abstractNumId="21">
    <w:nsid w:val="7BA118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D742887"/>
    <w:multiLevelType w:val="hybridMultilevel"/>
    <w:tmpl w:val="0C80002C"/>
    <w:lvl w:ilvl="0" w:tplc="28F487EA">
      <w:start w:val="1"/>
      <w:numFmt w:val="bullet"/>
      <w:lvlText w:val=""/>
      <w:lvlJc w:val="left"/>
      <w:pPr>
        <w:ind w:left="720" w:hanging="360"/>
      </w:pPr>
      <w:rPr>
        <w:rFonts w:ascii="Symbol" w:hAnsi="Symbol" w:hint="default"/>
      </w:rPr>
    </w:lvl>
    <w:lvl w:ilvl="1" w:tplc="810C0D5A" w:tentative="1">
      <w:start w:val="1"/>
      <w:numFmt w:val="bullet"/>
      <w:lvlText w:val="o"/>
      <w:lvlJc w:val="left"/>
      <w:pPr>
        <w:ind w:left="1440" w:hanging="360"/>
      </w:pPr>
      <w:rPr>
        <w:rFonts w:ascii="Courier New" w:hAnsi="Courier New" w:hint="default"/>
      </w:rPr>
    </w:lvl>
    <w:lvl w:ilvl="2" w:tplc="A9361B08" w:tentative="1">
      <w:start w:val="1"/>
      <w:numFmt w:val="bullet"/>
      <w:lvlText w:val=""/>
      <w:lvlJc w:val="left"/>
      <w:pPr>
        <w:ind w:left="2160" w:hanging="360"/>
      </w:pPr>
      <w:rPr>
        <w:rFonts w:ascii="Wingdings" w:hAnsi="Wingdings" w:hint="default"/>
      </w:rPr>
    </w:lvl>
    <w:lvl w:ilvl="3" w:tplc="82322DE6" w:tentative="1">
      <w:start w:val="1"/>
      <w:numFmt w:val="bullet"/>
      <w:lvlText w:val=""/>
      <w:lvlJc w:val="left"/>
      <w:pPr>
        <w:ind w:left="2880" w:hanging="360"/>
      </w:pPr>
      <w:rPr>
        <w:rFonts w:ascii="Symbol" w:hAnsi="Symbol" w:hint="default"/>
      </w:rPr>
    </w:lvl>
    <w:lvl w:ilvl="4" w:tplc="36FA6B10" w:tentative="1">
      <w:start w:val="1"/>
      <w:numFmt w:val="bullet"/>
      <w:lvlText w:val="o"/>
      <w:lvlJc w:val="left"/>
      <w:pPr>
        <w:ind w:left="3600" w:hanging="360"/>
      </w:pPr>
      <w:rPr>
        <w:rFonts w:ascii="Courier New" w:hAnsi="Courier New" w:hint="default"/>
      </w:rPr>
    </w:lvl>
    <w:lvl w:ilvl="5" w:tplc="BCCA283C" w:tentative="1">
      <w:start w:val="1"/>
      <w:numFmt w:val="bullet"/>
      <w:lvlText w:val=""/>
      <w:lvlJc w:val="left"/>
      <w:pPr>
        <w:ind w:left="4320" w:hanging="360"/>
      </w:pPr>
      <w:rPr>
        <w:rFonts w:ascii="Wingdings" w:hAnsi="Wingdings" w:hint="default"/>
      </w:rPr>
    </w:lvl>
    <w:lvl w:ilvl="6" w:tplc="FCA259EE" w:tentative="1">
      <w:start w:val="1"/>
      <w:numFmt w:val="bullet"/>
      <w:lvlText w:val=""/>
      <w:lvlJc w:val="left"/>
      <w:pPr>
        <w:ind w:left="5040" w:hanging="360"/>
      </w:pPr>
      <w:rPr>
        <w:rFonts w:ascii="Symbol" w:hAnsi="Symbol" w:hint="default"/>
      </w:rPr>
    </w:lvl>
    <w:lvl w:ilvl="7" w:tplc="7DFA82A6" w:tentative="1">
      <w:start w:val="1"/>
      <w:numFmt w:val="bullet"/>
      <w:lvlText w:val="o"/>
      <w:lvlJc w:val="left"/>
      <w:pPr>
        <w:ind w:left="5760" w:hanging="360"/>
      </w:pPr>
      <w:rPr>
        <w:rFonts w:ascii="Courier New" w:hAnsi="Courier New" w:hint="default"/>
      </w:rPr>
    </w:lvl>
    <w:lvl w:ilvl="8" w:tplc="BD0E743A"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5"/>
  </w:num>
  <w:num w:numId="4">
    <w:abstractNumId w:val="8"/>
  </w:num>
  <w:num w:numId="5">
    <w:abstractNumId w:val="12"/>
  </w:num>
  <w:num w:numId="6">
    <w:abstractNumId w:val="4"/>
  </w:num>
  <w:num w:numId="7">
    <w:abstractNumId w:val="7"/>
  </w:num>
  <w:num w:numId="8">
    <w:abstractNumId w:val="14"/>
  </w:num>
  <w:num w:numId="9">
    <w:abstractNumId w:val="15"/>
  </w:num>
  <w:num w:numId="10">
    <w:abstractNumId w:val="17"/>
  </w:num>
  <w:num w:numId="11">
    <w:abstractNumId w:val="22"/>
  </w:num>
  <w:num w:numId="12">
    <w:abstractNumId w:val="1"/>
  </w:num>
  <w:num w:numId="13">
    <w:abstractNumId w:val="13"/>
  </w:num>
  <w:num w:numId="14">
    <w:abstractNumId w:val="2"/>
  </w:num>
  <w:num w:numId="15">
    <w:abstractNumId w:val="16"/>
  </w:num>
  <w:num w:numId="16">
    <w:abstractNumId w:val="11"/>
  </w:num>
  <w:num w:numId="17">
    <w:abstractNumId w:val="9"/>
  </w:num>
  <w:num w:numId="18">
    <w:abstractNumId w:val="3"/>
  </w:num>
  <w:num w:numId="19">
    <w:abstractNumId w:val="6"/>
  </w:num>
  <w:num w:numId="20">
    <w:abstractNumId w:val="19"/>
  </w:num>
  <w:num w:numId="21">
    <w:abstractNumId w:val="21"/>
  </w:num>
  <w:num w:numId="22">
    <w:abstractNumId w:val="20"/>
  </w:num>
  <w:num w:numId="23">
    <w:abstractNumId w:val="20"/>
    <w:lvlOverride w:ilvl="0">
      <w:startOverride w:val="1"/>
    </w:lvlOverride>
  </w:num>
  <w:num w:numId="24">
    <w:abstractNumId w:val="20"/>
    <w:lvlOverride w:ilvl="0">
      <w:startOverride w:val="1"/>
    </w:lvlOverride>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8E5"/>
    <w:rsid w:val="000033AA"/>
    <w:rsid w:val="000050F7"/>
    <w:rsid w:val="00007829"/>
    <w:rsid w:val="00012A95"/>
    <w:rsid w:val="00013687"/>
    <w:rsid w:val="00014463"/>
    <w:rsid w:val="000145DA"/>
    <w:rsid w:val="00017B1A"/>
    <w:rsid w:val="0002103F"/>
    <w:rsid w:val="000268E0"/>
    <w:rsid w:val="00030568"/>
    <w:rsid w:val="00031A36"/>
    <w:rsid w:val="000330F6"/>
    <w:rsid w:val="000335F7"/>
    <w:rsid w:val="00035572"/>
    <w:rsid w:val="00035744"/>
    <w:rsid w:val="00035869"/>
    <w:rsid w:val="00035A08"/>
    <w:rsid w:val="0003658E"/>
    <w:rsid w:val="000423DC"/>
    <w:rsid w:val="00046B06"/>
    <w:rsid w:val="00055DC0"/>
    <w:rsid w:val="00057040"/>
    <w:rsid w:val="000609BA"/>
    <w:rsid w:val="0006145D"/>
    <w:rsid w:val="00061C9C"/>
    <w:rsid w:val="00061DAC"/>
    <w:rsid w:val="00072256"/>
    <w:rsid w:val="000722FE"/>
    <w:rsid w:val="000743F1"/>
    <w:rsid w:val="000751E4"/>
    <w:rsid w:val="0007647E"/>
    <w:rsid w:val="00080CCD"/>
    <w:rsid w:val="00081AB8"/>
    <w:rsid w:val="00082B5D"/>
    <w:rsid w:val="000838A8"/>
    <w:rsid w:val="00086A83"/>
    <w:rsid w:val="00091825"/>
    <w:rsid w:val="00094C6E"/>
    <w:rsid w:val="00095FEF"/>
    <w:rsid w:val="000960BE"/>
    <w:rsid w:val="00096BD5"/>
    <w:rsid w:val="000A4B14"/>
    <w:rsid w:val="000A4F02"/>
    <w:rsid w:val="000A7465"/>
    <w:rsid w:val="000B1113"/>
    <w:rsid w:val="000B14ED"/>
    <w:rsid w:val="000B33A0"/>
    <w:rsid w:val="000B3C46"/>
    <w:rsid w:val="000B56A3"/>
    <w:rsid w:val="000B6EDC"/>
    <w:rsid w:val="000B7D72"/>
    <w:rsid w:val="000C0D15"/>
    <w:rsid w:val="000C2E0F"/>
    <w:rsid w:val="000C3276"/>
    <w:rsid w:val="000C6B9B"/>
    <w:rsid w:val="000D1309"/>
    <w:rsid w:val="000D2B3E"/>
    <w:rsid w:val="000D3ED0"/>
    <w:rsid w:val="000D3F43"/>
    <w:rsid w:val="000D7B8F"/>
    <w:rsid w:val="000E0C1A"/>
    <w:rsid w:val="000E118E"/>
    <w:rsid w:val="000E1968"/>
    <w:rsid w:val="000E1E93"/>
    <w:rsid w:val="000E2E52"/>
    <w:rsid w:val="000E3E39"/>
    <w:rsid w:val="000E590D"/>
    <w:rsid w:val="000E663A"/>
    <w:rsid w:val="000E7355"/>
    <w:rsid w:val="000E7C46"/>
    <w:rsid w:val="000F29F2"/>
    <w:rsid w:val="000F3F23"/>
    <w:rsid w:val="000F5A0E"/>
    <w:rsid w:val="000F7318"/>
    <w:rsid w:val="00102269"/>
    <w:rsid w:val="00102C11"/>
    <w:rsid w:val="00102DE2"/>
    <w:rsid w:val="00110A9C"/>
    <w:rsid w:val="001129C9"/>
    <w:rsid w:val="001135AB"/>
    <w:rsid w:val="001144A6"/>
    <w:rsid w:val="00114BDE"/>
    <w:rsid w:val="001172D6"/>
    <w:rsid w:val="00122164"/>
    <w:rsid w:val="001226C5"/>
    <w:rsid w:val="00123935"/>
    <w:rsid w:val="00123DA1"/>
    <w:rsid w:val="001242AA"/>
    <w:rsid w:val="001246A9"/>
    <w:rsid w:val="00127A06"/>
    <w:rsid w:val="0013132A"/>
    <w:rsid w:val="00131FC0"/>
    <w:rsid w:val="00132555"/>
    <w:rsid w:val="001348E5"/>
    <w:rsid w:val="00137661"/>
    <w:rsid w:val="00140442"/>
    <w:rsid w:val="00141873"/>
    <w:rsid w:val="001421C8"/>
    <w:rsid w:val="0014308A"/>
    <w:rsid w:val="00144310"/>
    <w:rsid w:val="00145E6C"/>
    <w:rsid w:val="0015180E"/>
    <w:rsid w:val="00155586"/>
    <w:rsid w:val="00156DA0"/>
    <w:rsid w:val="0016073C"/>
    <w:rsid w:val="00161942"/>
    <w:rsid w:val="00161DBA"/>
    <w:rsid w:val="00164EE4"/>
    <w:rsid w:val="00170518"/>
    <w:rsid w:val="0017098F"/>
    <w:rsid w:val="00174180"/>
    <w:rsid w:val="001750EA"/>
    <w:rsid w:val="001769CC"/>
    <w:rsid w:val="00177B76"/>
    <w:rsid w:val="00181BE8"/>
    <w:rsid w:val="00183E9A"/>
    <w:rsid w:val="001841C7"/>
    <w:rsid w:val="0018594D"/>
    <w:rsid w:val="0018749A"/>
    <w:rsid w:val="00192B5B"/>
    <w:rsid w:val="001938AB"/>
    <w:rsid w:val="00193ED0"/>
    <w:rsid w:val="00193F6D"/>
    <w:rsid w:val="00196956"/>
    <w:rsid w:val="001971BC"/>
    <w:rsid w:val="001A07D7"/>
    <w:rsid w:val="001A2064"/>
    <w:rsid w:val="001B25EE"/>
    <w:rsid w:val="001B2CBD"/>
    <w:rsid w:val="001B3BF5"/>
    <w:rsid w:val="001B43E6"/>
    <w:rsid w:val="001B6A82"/>
    <w:rsid w:val="001B7603"/>
    <w:rsid w:val="001B7ACB"/>
    <w:rsid w:val="001B7F01"/>
    <w:rsid w:val="001C1303"/>
    <w:rsid w:val="001C4FD6"/>
    <w:rsid w:val="001C52A1"/>
    <w:rsid w:val="001D0132"/>
    <w:rsid w:val="001D09DA"/>
    <w:rsid w:val="001D6D85"/>
    <w:rsid w:val="001E156C"/>
    <w:rsid w:val="001E335E"/>
    <w:rsid w:val="001E5C30"/>
    <w:rsid w:val="001F00BE"/>
    <w:rsid w:val="001F1E6B"/>
    <w:rsid w:val="001F2E5C"/>
    <w:rsid w:val="001F3C1D"/>
    <w:rsid w:val="001F4DFC"/>
    <w:rsid w:val="002027C1"/>
    <w:rsid w:val="00203476"/>
    <w:rsid w:val="00203CCB"/>
    <w:rsid w:val="00203FF0"/>
    <w:rsid w:val="00205031"/>
    <w:rsid w:val="00205349"/>
    <w:rsid w:val="00211017"/>
    <w:rsid w:val="00211DBA"/>
    <w:rsid w:val="00213543"/>
    <w:rsid w:val="00214A79"/>
    <w:rsid w:val="00215801"/>
    <w:rsid w:val="002174EE"/>
    <w:rsid w:val="0022148B"/>
    <w:rsid w:val="00222E65"/>
    <w:rsid w:val="00222F0C"/>
    <w:rsid w:val="00223AEB"/>
    <w:rsid w:val="00223D01"/>
    <w:rsid w:val="00227AE3"/>
    <w:rsid w:val="0023263E"/>
    <w:rsid w:val="00232DA5"/>
    <w:rsid w:val="0023327F"/>
    <w:rsid w:val="00235480"/>
    <w:rsid w:val="00241CD3"/>
    <w:rsid w:val="00246AFF"/>
    <w:rsid w:val="002508A5"/>
    <w:rsid w:val="00250ED7"/>
    <w:rsid w:val="0025200D"/>
    <w:rsid w:val="00260B4A"/>
    <w:rsid w:val="002621B6"/>
    <w:rsid w:val="00262429"/>
    <w:rsid w:val="00265B24"/>
    <w:rsid w:val="00271C44"/>
    <w:rsid w:val="0027297F"/>
    <w:rsid w:val="00272A2C"/>
    <w:rsid w:val="002753D4"/>
    <w:rsid w:val="002757D7"/>
    <w:rsid w:val="00275D1A"/>
    <w:rsid w:val="00280F7C"/>
    <w:rsid w:val="00281DB8"/>
    <w:rsid w:val="002825C2"/>
    <w:rsid w:val="00285707"/>
    <w:rsid w:val="00287136"/>
    <w:rsid w:val="002903DD"/>
    <w:rsid w:val="00290419"/>
    <w:rsid w:val="002905DA"/>
    <w:rsid w:val="00291C6F"/>
    <w:rsid w:val="002943F9"/>
    <w:rsid w:val="00297682"/>
    <w:rsid w:val="002978A6"/>
    <w:rsid w:val="002A2907"/>
    <w:rsid w:val="002A2C79"/>
    <w:rsid w:val="002A42F9"/>
    <w:rsid w:val="002A48DB"/>
    <w:rsid w:val="002A7488"/>
    <w:rsid w:val="002A7573"/>
    <w:rsid w:val="002A7A9E"/>
    <w:rsid w:val="002A7B15"/>
    <w:rsid w:val="002B19B4"/>
    <w:rsid w:val="002B57A7"/>
    <w:rsid w:val="002C05C9"/>
    <w:rsid w:val="002C1624"/>
    <w:rsid w:val="002C29A8"/>
    <w:rsid w:val="002C3420"/>
    <w:rsid w:val="002C3C8A"/>
    <w:rsid w:val="002C4679"/>
    <w:rsid w:val="002C5582"/>
    <w:rsid w:val="002C6B2F"/>
    <w:rsid w:val="002D0154"/>
    <w:rsid w:val="002D250C"/>
    <w:rsid w:val="002D34E8"/>
    <w:rsid w:val="002D57ED"/>
    <w:rsid w:val="002D6DA5"/>
    <w:rsid w:val="002E63AA"/>
    <w:rsid w:val="002F363E"/>
    <w:rsid w:val="002F4E8B"/>
    <w:rsid w:val="002F6DE8"/>
    <w:rsid w:val="00306E6E"/>
    <w:rsid w:val="00307C85"/>
    <w:rsid w:val="00307E48"/>
    <w:rsid w:val="00312584"/>
    <w:rsid w:val="00313400"/>
    <w:rsid w:val="0031485D"/>
    <w:rsid w:val="00314A37"/>
    <w:rsid w:val="00317825"/>
    <w:rsid w:val="0032005E"/>
    <w:rsid w:val="003205DE"/>
    <w:rsid w:val="003209D0"/>
    <w:rsid w:val="00321ABD"/>
    <w:rsid w:val="00325BDE"/>
    <w:rsid w:val="003263F2"/>
    <w:rsid w:val="00326AFF"/>
    <w:rsid w:val="0033300C"/>
    <w:rsid w:val="0033367B"/>
    <w:rsid w:val="00333833"/>
    <w:rsid w:val="00333EF7"/>
    <w:rsid w:val="0033417D"/>
    <w:rsid w:val="00334718"/>
    <w:rsid w:val="0033738E"/>
    <w:rsid w:val="003425A6"/>
    <w:rsid w:val="003435BB"/>
    <w:rsid w:val="003446AA"/>
    <w:rsid w:val="003517B9"/>
    <w:rsid w:val="0035189E"/>
    <w:rsid w:val="00351C91"/>
    <w:rsid w:val="003523A8"/>
    <w:rsid w:val="00354DFD"/>
    <w:rsid w:val="00362DA3"/>
    <w:rsid w:val="00367BDE"/>
    <w:rsid w:val="00370146"/>
    <w:rsid w:val="003716A5"/>
    <w:rsid w:val="00373596"/>
    <w:rsid w:val="00375782"/>
    <w:rsid w:val="0037608B"/>
    <w:rsid w:val="00377811"/>
    <w:rsid w:val="00380280"/>
    <w:rsid w:val="003831E7"/>
    <w:rsid w:val="0038622D"/>
    <w:rsid w:val="00393577"/>
    <w:rsid w:val="00394989"/>
    <w:rsid w:val="00397CCE"/>
    <w:rsid w:val="003A0642"/>
    <w:rsid w:val="003A0665"/>
    <w:rsid w:val="003A3D61"/>
    <w:rsid w:val="003A3FEC"/>
    <w:rsid w:val="003A4C28"/>
    <w:rsid w:val="003B0059"/>
    <w:rsid w:val="003B1577"/>
    <w:rsid w:val="003B1CCE"/>
    <w:rsid w:val="003B2183"/>
    <w:rsid w:val="003B3EBC"/>
    <w:rsid w:val="003C3DCC"/>
    <w:rsid w:val="003C51E0"/>
    <w:rsid w:val="003D025A"/>
    <w:rsid w:val="003D0951"/>
    <w:rsid w:val="003D32FD"/>
    <w:rsid w:val="003D5772"/>
    <w:rsid w:val="003D5B8C"/>
    <w:rsid w:val="003D6DDE"/>
    <w:rsid w:val="003D70EE"/>
    <w:rsid w:val="003D784D"/>
    <w:rsid w:val="003E667F"/>
    <w:rsid w:val="003E6938"/>
    <w:rsid w:val="003E6E6E"/>
    <w:rsid w:val="003E6F8E"/>
    <w:rsid w:val="003F1082"/>
    <w:rsid w:val="003F243F"/>
    <w:rsid w:val="003F36A8"/>
    <w:rsid w:val="003F6086"/>
    <w:rsid w:val="003F7E9F"/>
    <w:rsid w:val="004010E3"/>
    <w:rsid w:val="0040180A"/>
    <w:rsid w:val="00410A27"/>
    <w:rsid w:val="00413EBB"/>
    <w:rsid w:val="004142E7"/>
    <w:rsid w:val="0041445C"/>
    <w:rsid w:val="004169A4"/>
    <w:rsid w:val="00417EE3"/>
    <w:rsid w:val="00420889"/>
    <w:rsid w:val="00420B66"/>
    <w:rsid w:val="00421A57"/>
    <w:rsid w:val="004221C5"/>
    <w:rsid w:val="004239E9"/>
    <w:rsid w:val="004243E6"/>
    <w:rsid w:val="00424DA9"/>
    <w:rsid w:val="0042675D"/>
    <w:rsid w:val="004314D3"/>
    <w:rsid w:val="00433F93"/>
    <w:rsid w:val="0043479B"/>
    <w:rsid w:val="00434A65"/>
    <w:rsid w:val="004353BD"/>
    <w:rsid w:val="004364AC"/>
    <w:rsid w:val="004373C2"/>
    <w:rsid w:val="0043748C"/>
    <w:rsid w:val="00437B22"/>
    <w:rsid w:val="00437CC8"/>
    <w:rsid w:val="004400D9"/>
    <w:rsid w:val="004420F8"/>
    <w:rsid w:val="00442C32"/>
    <w:rsid w:val="00442EE8"/>
    <w:rsid w:val="00443095"/>
    <w:rsid w:val="00447862"/>
    <w:rsid w:val="004507EE"/>
    <w:rsid w:val="004517B0"/>
    <w:rsid w:val="004535DB"/>
    <w:rsid w:val="00455420"/>
    <w:rsid w:val="00455DAB"/>
    <w:rsid w:val="00456038"/>
    <w:rsid w:val="00462D6A"/>
    <w:rsid w:val="004632B2"/>
    <w:rsid w:val="00471F0B"/>
    <w:rsid w:val="004773CA"/>
    <w:rsid w:val="004779E2"/>
    <w:rsid w:val="0048136A"/>
    <w:rsid w:val="004819A2"/>
    <w:rsid w:val="0048222F"/>
    <w:rsid w:val="00482B34"/>
    <w:rsid w:val="00483233"/>
    <w:rsid w:val="00483D74"/>
    <w:rsid w:val="004840F0"/>
    <w:rsid w:val="00484751"/>
    <w:rsid w:val="0048532E"/>
    <w:rsid w:val="004858A5"/>
    <w:rsid w:val="00491FA0"/>
    <w:rsid w:val="00492438"/>
    <w:rsid w:val="0049561E"/>
    <w:rsid w:val="004A0AC8"/>
    <w:rsid w:val="004A1973"/>
    <w:rsid w:val="004A1B5C"/>
    <w:rsid w:val="004A244A"/>
    <w:rsid w:val="004A3812"/>
    <w:rsid w:val="004B02CB"/>
    <w:rsid w:val="004B1ECC"/>
    <w:rsid w:val="004B3A4C"/>
    <w:rsid w:val="004B4382"/>
    <w:rsid w:val="004B43A2"/>
    <w:rsid w:val="004B4513"/>
    <w:rsid w:val="004B493B"/>
    <w:rsid w:val="004B5149"/>
    <w:rsid w:val="004B5F3A"/>
    <w:rsid w:val="004C0322"/>
    <w:rsid w:val="004C14DA"/>
    <w:rsid w:val="004C1D00"/>
    <w:rsid w:val="004C230A"/>
    <w:rsid w:val="004C412F"/>
    <w:rsid w:val="004D0254"/>
    <w:rsid w:val="004D0EDB"/>
    <w:rsid w:val="004D76E1"/>
    <w:rsid w:val="004D7C95"/>
    <w:rsid w:val="004E37D9"/>
    <w:rsid w:val="004E385A"/>
    <w:rsid w:val="004E3C98"/>
    <w:rsid w:val="004F03F6"/>
    <w:rsid w:val="004F1066"/>
    <w:rsid w:val="00500A48"/>
    <w:rsid w:val="00501805"/>
    <w:rsid w:val="00502450"/>
    <w:rsid w:val="0050321A"/>
    <w:rsid w:val="00506031"/>
    <w:rsid w:val="00506A7F"/>
    <w:rsid w:val="005118B1"/>
    <w:rsid w:val="00512B14"/>
    <w:rsid w:val="00512CCD"/>
    <w:rsid w:val="0051420C"/>
    <w:rsid w:val="0051633B"/>
    <w:rsid w:val="005175EF"/>
    <w:rsid w:val="0052232D"/>
    <w:rsid w:val="00524092"/>
    <w:rsid w:val="00525EBA"/>
    <w:rsid w:val="00531E5E"/>
    <w:rsid w:val="0053382F"/>
    <w:rsid w:val="00534673"/>
    <w:rsid w:val="00535A06"/>
    <w:rsid w:val="00537047"/>
    <w:rsid w:val="005435F1"/>
    <w:rsid w:val="00545B8B"/>
    <w:rsid w:val="005477F2"/>
    <w:rsid w:val="00552CAB"/>
    <w:rsid w:val="0055300A"/>
    <w:rsid w:val="0055461A"/>
    <w:rsid w:val="00557068"/>
    <w:rsid w:val="0056087D"/>
    <w:rsid w:val="00563F89"/>
    <w:rsid w:val="005649BF"/>
    <w:rsid w:val="00565309"/>
    <w:rsid w:val="00567414"/>
    <w:rsid w:val="00567508"/>
    <w:rsid w:val="0057018A"/>
    <w:rsid w:val="0057494F"/>
    <w:rsid w:val="00575E86"/>
    <w:rsid w:val="00576EE1"/>
    <w:rsid w:val="0058099A"/>
    <w:rsid w:val="00581F10"/>
    <w:rsid w:val="00583065"/>
    <w:rsid w:val="00583795"/>
    <w:rsid w:val="00583C26"/>
    <w:rsid w:val="005844B5"/>
    <w:rsid w:val="00584E02"/>
    <w:rsid w:val="00590EF6"/>
    <w:rsid w:val="005928A2"/>
    <w:rsid w:val="00593082"/>
    <w:rsid w:val="00593C82"/>
    <w:rsid w:val="0059490F"/>
    <w:rsid w:val="00596DD2"/>
    <w:rsid w:val="00597DEC"/>
    <w:rsid w:val="005A0A9C"/>
    <w:rsid w:val="005A3525"/>
    <w:rsid w:val="005A617B"/>
    <w:rsid w:val="005A6C27"/>
    <w:rsid w:val="005B3A60"/>
    <w:rsid w:val="005B5877"/>
    <w:rsid w:val="005C00EA"/>
    <w:rsid w:val="005C0479"/>
    <w:rsid w:val="005C04F3"/>
    <w:rsid w:val="005C32F7"/>
    <w:rsid w:val="005C6657"/>
    <w:rsid w:val="005D1EF0"/>
    <w:rsid w:val="005D2C7D"/>
    <w:rsid w:val="005D540C"/>
    <w:rsid w:val="005D5BCB"/>
    <w:rsid w:val="005D601A"/>
    <w:rsid w:val="005D632D"/>
    <w:rsid w:val="005E4B12"/>
    <w:rsid w:val="005E713A"/>
    <w:rsid w:val="005F46D8"/>
    <w:rsid w:val="005F4B19"/>
    <w:rsid w:val="005F56DC"/>
    <w:rsid w:val="005F5716"/>
    <w:rsid w:val="005F7D1D"/>
    <w:rsid w:val="006000C1"/>
    <w:rsid w:val="00600B48"/>
    <w:rsid w:val="00601A19"/>
    <w:rsid w:val="00602949"/>
    <w:rsid w:val="00604865"/>
    <w:rsid w:val="006049C8"/>
    <w:rsid w:val="006054FC"/>
    <w:rsid w:val="00605544"/>
    <w:rsid w:val="00607CF5"/>
    <w:rsid w:val="00610C17"/>
    <w:rsid w:val="00613F7E"/>
    <w:rsid w:val="00614102"/>
    <w:rsid w:val="006165B5"/>
    <w:rsid w:val="006218B1"/>
    <w:rsid w:val="00626888"/>
    <w:rsid w:val="006274B4"/>
    <w:rsid w:val="00627CB5"/>
    <w:rsid w:val="006300C2"/>
    <w:rsid w:val="0063219F"/>
    <w:rsid w:val="006322F8"/>
    <w:rsid w:val="0063371B"/>
    <w:rsid w:val="006371FA"/>
    <w:rsid w:val="0064164B"/>
    <w:rsid w:val="00643CDD"/>
    <w:rsid w:val="00650FC9"/>
    <w:rsid w:val="00651984"/>
    <w:rsid w:val="00652610"/>
    <w:rsid w:val="00652A28"/>
    <w:rsid w:val="00654061"/>
    <w:rsid w:val="0065483E"/>
    <w:rsid w:val="00654EC0"/>
    <w:rsid w:val="006561B3"/>
    <w:rsid w:val="00656712"/>
    <w:rsid w:val="0065779C"/>
    <w:rsid w:val="00657CB7"/>
    <w:rsid w:val="0066198C"/>
    <w:rsid w:val="006632B2"/>
    <w:rsid w:val="00664C40"/>
    <w:rsid w:val="00665706"/>
    <w:rsid w:val="00665C7A"/>
    <w:rsid w:val="00673E92"/>
    <w:rsid w:val="00677473"/>
    <w:rsid w:val="006776A1"/>
    <w:rsid w:val="00683189"/>
    <w:rsid w:val="00683FFF"/>
    <w:rsid w:val="006903A6"/>
    <w:rsid w:val="006934D1"/>
    <w:rsid w:val="00693E4D"/>
    <w:rsid w:val="006A08C5"/>
    <w:rsid w:val="006A1645"/>
    <w:rsid w:val="006A3124"/>
    <w:rsid w:val="006A646F"/>
    <w:rsid w:val="006A6A66"/>
    <w:rsid w:val="006A6CF5"/>
    <w:rsid w:val="006A7A13"/>
    <w:rsid w:val="006B0D01"/>
    <w:rsid w:val="006B1D7A"/>
    <w:rsid w:val="006B1F37"/>
    <w:rsid w:val="006B20C7"/>
    <w:rsid w:val="006B278D"/>
    <w:rsid w:val="006B29F1"/>
    <w:rsid w:val="006B5AF3"/>
    <w:rsid w:val="006B656A"/>
    <w:rsid w:val="006C1BF2"/>
    <w:rsid w:val="006C2AEC"/>
    <w:rsid w:val="006C36FA"/>
    <w:rsid w:val="006C4E35"/>
    <w:rsid w:val="006D0182"/>
    <w:rsid w:val="006D1193"/>
    <w:rsid w:val="006D12A3"/>
    <w:rsid w:val="006D1869"/>
    <w:rsid w:val="006D3112"/>
    <w:rsid w:val="006D5790"/>
    <w:rsid w:val="006D5AB4"/>
    <w:rsid w:val="006E04B7"/>
    <w:rsid w:val="006E0886"/>
    <w:rsid w:val="006E5F29"/>
    <w:rsid w:val="006F44F7"/>
    <w:rsid w:val="006F57B6"/>
    <w:rsid w:val="006F5F7D"/>
    <w:rsid w:val="00701807"/>
    <w:rsid w:val="00702585"/>
    <w:rsid w:val="00703260"/>
    <w:rsid w:val="00703A84"/>
    <w:rsid w:val="007043AF"/>
    <w:rsid w:val="00704F80"/>
    <w:rsid w:val="0070508A"/>
    <w:rsid w:val="0070543C"/>
    <w:rsid w:val="00706324"/>
    <w:rsid w:val="00711AC9"/>
    <w:rsid w:val="00712A18"/>
    <w:rsid w:val="00712B77"/>
    <w:rsid w:val="00713106"/>
    <w:rsid w:val="00716C1E"/>
    <w:rsid w:val="00716F54"/>
    <w:rsid w:val="007239E2"/>
    <w:rsid w:val="00726891"/>
    <w:rsid w:val="00726CF9"/>
    <w:rsid w:val="007279F5"/>
    <w:rsid w:val="00732B19"/>
    <w:rsid w:val="00733694"/>
    <w:rsid w:val="00737F4F"/>
    <w:rsid w:val="00743017"/>
    <w:rsid w:val="00745859"/>
    <w:rsid w:val="007467A0"/>
    <w:rsid w:val="00747DF6"/>
    <w:rsid w:val="00750236"/>
    <w:rsid w:val="0075201A"/>
    <w:rsid w:val="00753FE6"/>
    <w:rsid w:val="0075541B"/>
    <w:rsid w:val="00757615"/>
    <w:rsid w:val="007611E7"/>
    <w:rsid w:val="007619B1"/>
    <w:rsid w:val="00761D19"/>
    <w:rsid w:val="00763DF1"/>
    <w:rsid w:val="00764930"/>
    <w:rsid w:val="00771C62"/>
    <w:rsid w:val="0077270B"/>
    <w:rsid w:val="007740FA"/>
    <w:rsid w:val="00774D22"/>
    <w:rsid w:val="00777148"/>
    <w:rsid w:val="007776A4"/>
    <w:rsid w:val="0078085F"/>
    <w:rsid w:val="0078472D"/>
    <w:rsid w:val="00795509"/>
    <w:rsid w:val="00796C7E"/>
    <w:rsid w:val="007A26C8"/>
    <w:rsid w:val="007A3624"/>
    <w:rsid w:val="007A5F83"/>
    <w:rsid w:val="007A651F"/>
    <w:rsid w:val="007B0BC5"/>
    <w:rsid w:val="007B15DF"/>
    <w:rsid w:val="007B305F"/>
    <w:rsid w:val="007B350A"/>
    <w:rsid w:val="007B363F"/>
    <w:rsid w:val="007B3BA9"/>
    <w:rsid w:val="007B3F7F"/>
    <w:rsid w:val="007B4E10"/>
    <w:rsid w:val="007B5E06"/>
    <w:rsid w:val="007B64C6"/>
    <w:rsid w:val="007B6BFA"/>
    <w:rsid w:val="007B72E9"/>
    <w:rsid w:val="007B7D25"/>
    <w:rsid w:val="007C15A4"/>
    <w:rsid w:val="007C2546"/>
    <w:rsid w:val="007D4566"/>
    <w:rsid w:val="007D5492"/>
    <w:rsid w:val="007D5F8D"/>
    <w:rsid w:val="007D6378"/>
    <w:rsid w:val="007E0277"/>
    <w:rsid w:val="007E2403"/>
    <w:rsid w:val="007F42FA"/>
    <w:rsid w:val="007F47A4"/>
    <w:rsid w:val="007F6907"/>
    <w:rsid w:val="00800E90"/>
    <w:rsid w:val="00802EB2"/>
    <w:rsid w:val="00804FC9"/>
    <w:rsid w:val="008109A9"/>
    <w:rsid w:val="00812FE1"/>
    <w:rsid w:val="00813033"/>
    <w:rsid w:val="00821E7E"/>
    <w:rsid w:val="00825342"/>
    <w:rsid w:val="00826DB2"/>
    <w:rsid w:val="00827BAE"/>
    <w:rsid w:val="00830A7C"/>
    <w:rsid w:val="00833C86"/>
    <w:rsid w:val="0083605A"/>
    <w:rsid w:val="00836487"/>
    <w:rsid w:val="00837342"/>
    <w:rsid w:val="008428A2"/>
    <w:rsid w:val="008459EF"/>
    <w:rsid w:val="00850B29"/>
    <w:rsid w:val="0085351E"/>
    <w:rsid w:val="0085596E"/>
    <w:rsid w:val="008563E2"/>
    <w:rsid w:val="00857D24"/>
    <w:rsid w:val="00860775"/>
    <w:rsid w:val="00861307"/>
    <w:rsid w:val="00861444"/>
    <w:rsid w:val="0086241A"/>
    <w:rsid w:val="00862C8C"/>
    <w:rsid w:val="00867E33"/>
    <w:rsid w:val="00871C47"/>
    <w:rsid w:val="00872913"/>
    <w:rsid w:val="00875F75"/>
    <w:rsid w:val="00877096"/>
    <w:rsid w:val="00877100"/>
    <w:rsid w:val="00877F2C"/>
    <w:rsid w:val="00885E1A"/>
    <w:rsid w:val="008908C4"/>
    <w:rsid w:val="00892808"/>
    <w:rsid w:val="008942B8"/>
    <w:rsid w:val="008947D9"/>
    <w:rsid w:val="00894F11"/>
    <w:rsid w:val="00895A51"/>
    <w:rsid w:val="00896F22"/>
    <w:rsid w:val="0089790A"/>
    <w:rsid w:val="008A090D"/>
    <w:rsid w:val="008A1C57"/>
    <w:rsid w:val="008A3F14"/>
    <w:rsid w:val="008B18A5"/>
    <w:rsid w:val="008B1C3E"/>
    <w:rsid w:val="008B22D0"/>
    <w:rsid w:val="008C28D3"/>
    <w:rsid w:val="008C317A"/>
    <w:rsid w:val="008C64B9"/>
    <w:rsid w:val="008C7D13"/>
    <w:rsid w:val="008C7D81"/>
    <w:rsid w:val="008D1B15"/>
    <w:rsid w:val="008D2981"/>
    <w:rsid w:val="008D7C9C"/>
    <w:rsid w:val="008E0450"/>
    <w:rsid w:val="008E292A"/>
    <w:rsid w:val="008E36DC"/>
    <w:rsid w:val="008E36DF"/>
    <w:rsid w:val="008E3A63"/>
    <w:rsid w:val="008E4259"/>
    <w:rsid w:val="008E42B8"/>
    <w:rsid w:val="008E59B7"/>
    <w:rsid w:val="008F0363"/>
    <w:rsid w:val="008F1997"/>
    <w:rsid w:val="008F49F9"/>
    <w:rsid w:val="008F56A5"/>
    <w:rsid w:val="008F7228"/>
    <w:rsid w:val="00901881"/>
    <w:rsid w:val="00903A55"/>
    <w:rsid w:val="00907916"/>
    <w:rsid w:val="00910ECB"/>
    <w:rsid w:val="0091368C"/>
    <w:rsid w:val="00913D3B"/>
    <w:rsid w:val="0091637E"/>
    <w:rsid w:val="00916771"/>
    <w:rsid w:val="00916F8C"/>
    <w:rsid w:val="00920438"/>
    <w:rsid w:val="00920BA2"/>
    <w:rsid w:val="00921A3E"/>
    <w:rsid w:val="00923550"/>
    <w:rsid w:val="00923FCE"/>
    <w:rsid w:val="00930586"/>
    <w:rsid w:val="00930F9E"/>
    <w:rsid w:val="00931D4D"/>
    <w:rsid w:val="00937DC9"/>
    <w:rsid w:val="00944750"/>
    <w:rsid w:val="00944F60"/>
    <w:rsid w:val="00946EB1"/>
    <w:rsid w:val="0095000C"/>
    <w:rsid w:val="00950F7A"/>
    <w:rsid w:val="0095212E"/>
    <w:rsid w:val="00953114"/>
    <w:rsid w:val="009555EE"/>
    <w:rsid w:val="00955B57"/>
    <w:rsid w:val="00955FC7"/>
    <w:rsid w:val="00957C82"/>
    <w:rsid w:val="00960441"/>
    <w:rsid w:val="00961782"/>
    <w:rsid w:val="00963453"/>
    <w:rsid w:val="009657F8"/>
    <w:rsid w:val="00967CAE"/>
    <w:rsid w:val="009763E0"/>
    <w:rsid w:val="009775C3"/>
    <w:rsid w:val="009809F5"/>
    <w:rsid w:val="00981DFC"/>
    <w:rsid w:val="00982425"/>
    <w:rsid w:val="00984D97"/>
    <w:rsid w:val="00985905"/>
    <w:rsid w:val="00985AB0"/>
    <w:rsid w:val="00990CFF"/>
    <w:rsid w:val="00995CAE"/>
    <w:rsid w:val="0099694D"/>
    <w:rsid w:val="009A3881"/>
    <w:rsid w:val="009A38A7"/>
    <w:rsid w:val="009A5985"/>
    <w:rsid w:val="009A6B69"/>
    <w:rsid w:val="009B11A7"/>
    <w:rsid w:val="009B2449"/>
    <w:rsid w:val="009B30C6"/>
    <w:rsid w:val="009B4B96"/>
    <w:rsid w:val="009B6608"/>
    <w:rsid w:val="009B7159"/>
    <w:rsid w:val="009C203E"/>
    <w:rsid w:val="009C3B25"/>
    <w:rsid w:val="009C4BAD"/>
    <w:rsid w:val="009C54AE"/>
    <w:rsid w:val="009C7B8F"/>
    <w:rsid w:val="009C7D51"/>
    <w:rsid w:val="009D0557"/>
    <w:rsid w:val="009D3C41"/>
    <w:rsid w:val="009D5A6E"/>
    <w:rsid w:val="009E06DF"/>
    <w:rsid w:val="009E7D1E"/>
    <w:rsid w:val="009F0F12"/>
    <w:rsid w:val="009F1E04"/>
    <w:rsid w:val="009F3811"/>
    <w:rsid w:val="009F4987"/>
    <w:rsid w:val="009F7E56"/>
    <w:rsid w:val="00A0010A"/>
    <w:rsid w:val="00A00A88"/>
    <w:rsid w:val="00A017C9"/>
    <w:rsid w:val="00A023FA"/>
    <w:rsid w:val="00A06846"/>
    <w:rsid w:val="00A068D3"/>
    <w:rsid w:val="00A073D2"/>
    <w:rsid w:val="00A1066B"/>
    <w:rsid w:val="00A11350"/>
    <w:rsid w:val="00A144BF"/>
    <w:rsid w:val="00A14B7C"/>
    <w:rsid w:val="00A152AE"/>
    <w:rsid w:val="00A16539"/>
    <w:rsid w:val="00A16B8E"/>
    <w:rsid w:val="00A17714"/>
    <w:rsid w:val="00A227BE"/>
    <w:rsid w:val="00A24037"/>
    <w:rsid w:val="00A30183"/>
    <w:rsid w:val="00A32D71"/>
    <w:rsid w:val="00A33465"/>
    <w:rsid w:val="00A33A2E"/>
    <w:rsid w:val="00A34461"/>
    <w:rsid w:val="00A35AAF"/>
    <w:rsid w:val="00A409A9"/>
    <w:rsid w:val="00A413CD"/>
    <w:rsid w:val="00A43AA4"/>
    <w:rsid w:val="00A43D31"/>
    <w:rsid w:val="00A452D6"/>
    <w:rsid w:val="00A46E82"/>
    <w:rsid w:val="00A528FD"/>
    <w:rsid w:val="00A54CEA"/>
    <w:rsid w:val="00A55B14"/>
    <w:rsid w:val="00A56A8F"/>
    <w:rsid w:val="00A61651"/>
    <w:rsid w:val="00A626C4"/>
    <w:rsid w:val="00A668AC"/>
    <w:rsid w:val="00A67F87"/>
    <w:rsid w:val="00A707A3"/>
    <w:rsid w:val="00A713BC"/>
    <w:rsid w:val="00A75C39"/>
    <w:rsid w:val="00A77E21"/>
    <w:rsid w:val="00A816EC"/>
    <w:rsid w:val="00A817EA"/>
    <w:rsid w:val="00A83E5D"/>
    <w:rsid w:val="00A84D68"/>
    <w:rsid w:val="00A86965"/>
    <w:rsid w:val="00A9086F"/>
    <w:rsid w:val="00A90874"/>
    <w:rsid w:val="00A92323"/>
    <w:rsid w:val="00A9672C"/>
    <w:rsid w:val="00AA0998"/>
    <w:rsid w:val="00AA0BCB"/>
    <w:rsid w:val="00AA2B63"/>
    <w:rsid w:val="00AA3C78"/>
    <w:rsid w:val="00AA42E9"/>
    <w:rsid w:val="00AA5C83"/>
    <w:rsid w:val="00AA7AA1"/>
    <w:rsid w:val="00AB05D4"/>
    <w:rsid w:val="00AB0890"/>
    <w:rsid w:val="00AB286B"/>
    <w:rsid w:val="00AB305D"/>
    <w:rsid w:val="00AB3753"/>
    <w:rsid w:val="00AB4370"/>
    <w:rsid w:val="00AB54BF"/>
    <w:rsid w:val="00AB6242"/>
    <w:rsid w:val="00AB6244"/>
    <w:rsid w:val="00AB624E"/>
    <w:rsid w:val="00AC03D0"/>
    <w:rsid w:val="00AC16F0"/>
    <w:rsid w:val="00AC2942"/>
    <w:rsid w:val="00AD1145"/>
    <w:rsid w:val="00AD1BC4"/>
    <w:rsid w:val="00AD2F60"/>
    <w:rsid w:val="00AD56B1"/>
    <w:rsid w:val="00AD5967"/>
    <w:rsid w:val="00AD5D88"/>
    <w:rsid w:val="00AE30AF"/>
    <w:rsid w:val="00AE5B0B"/>
    <w:rsid w:val="00AE6067"/>
    <w:rsid w:val="00AF1225"/>
    <w:rsid w:val="00AF1A9C"/>
    <w:rsid w:val="00AF1AD4"/>
    <w:rsid w:val="00AF5CBD"/>
    <w:rsid w:val="00B007AE"/>
    <w:rsid w:val="00B01ACA"/>
    <w:rsid w:val="00B01C96"/>
    <w:rsid w:val="00B02507"/>
    <w:rsid w:val="00B048F4"/>
    <w:rsid w:val="00B10A25"/>
    <w:rsid w:val="00B10CEB"/>
    <w:rsid w:val="00B148B8"/>
    <w:rsid w:val="00B153F4"/>
    <w:rsid w:val="00B163BD"/>
    <w:rsid w:val="00B22273"/>
    <w:rsid w:val="00B25A4F"/>
    <w:rsid w:val="00B26DE6"/>
    <w:rsid w:val="00B338C4"/>
    <w:rsid w:val="00B3772F"/>
    <w:rsid w:val="00B476E2"/>
    <w:rsid w:val="00B47B60"/>
    <w:rsid w:val="00B50558"/>
    <w:rsid w:val="00B533C0"/>
    <w:rsid w:val="00B57256"/>
    <w:rsid w:val="00B60DE6"/>
    <w:rsid w:val="00B61797"/>
    <w:rsid w:val="00B61A76"/>
    <w:rsid w:val="00B62525"/>
    <w:rsid w:val="00B62ACA"/>
    <w:rsid w:val="00B62F06"/>
    <w:rsid w:val="00B65210"/>
    <w:rsid w:val="00B654AD"/>
    <w:rsid w:val="00B663D0"/>
    <w:rsid w:val="00B71ACA"/>
    <w:rsid w:val="00B74B07"/>
    <w:rsid w:val="00B8568E"/>
    <w:rsid w:val="00B87BEF"/>
    <w:rsid w:val="00B902E8"/>
    <w:rsid w:val="00B907AF"/>
    <w:rsid w:val="00B915FF"/>
    <w:rsid w:val="00B91F47"/>
    <w:rsid w:val="00B942CD"/>
    <w:rsid w:val="00BA1222"/>
    <w:rsid w:val="00BB399B"/>
    <w:rsid w:val="00BB3A2E"/>
    <w:rsid w:val="00BB3E06"/>
    <w:rsid w:val="00BC01BE"/>
    <w:rsid w:val="00BC3719"/>
    <w:rsid w:val="00BC617C"/>
    <w:rsid w:val="00BC6979"/>
    <w:rsid w:val="00BD0200"/>
    <w:rsid w:val="00BD34FE"/>
    <w:rsid w:val="00BD6032"/>
    <w:rsid w:val="00BE2A46"/>
    <w:rsid w:val="00BE5CA4"/>
    <w:rsid w:val="00BE76BA"/>
    <w:rsid w:val="00BE7914"/>
    <w:rsid w:val="00BE7F93"/>
    <w:rsid w:val="00BF0040"/>
    <w:rsid w:val="00BF155A"/>
    <w:rsid w:val="00BF1D99"/>
    <w:rsid w:val="00BF2D0C"/>
    <w:rsid w:val="00BF2F03"/>
    <w:rsid w:val="00BF363F"/>
    <w:rsid w:val="00BF618F"/>
    <w:rsid w:val="00C01D84"/>
    <w:rsid w:val="00C02E5E"/>
    <w:rsid w:val="00C104F3"/>
    <w:rsid w:val="00C108DB"/>
    <w:rsid w:val="00C1138F"/>
    <w:rsid w:val="00C14061"/>
    <w:rsid w:val="00C146FE"/>
    <w:rsid w:val="00C15854"/>
    <w:rsid w:val="00C2564E"/>
    <w:rsid w:val="00C27DDD"/>
    <w:rsid w:val="00C36EB4"/>
    <w:rsid w:val="00C36F24"/>
    <w:rsid w:val="00C408BE"/>
    <w:rsid w:val="00C41FEB"/>
    <w:rsid w:val="00C42A93"/>
    <w:rsid w:val="00C42D15"/>
    <w:rsid w:val="00C43711"/>
    <w:rsid w:val="00C439A3"/>
    <w:rsid w:val="00C45CF2"/>
    <w:rsid w:val="00C4674D"/>
    <w:rsid w:val="00C51429"/>
    <w:rsid w:val="00C5272A"/>
    <w:rsid w:val="00C53EEF"/>
    <w:rsid w:val="00C553FA"/>
    <w:rsid w:val="00C5684B"/>
    <w:rsid w:val="00C56D3C"/>
    <w:rsid w:val="00C56E7A"/>
    <w:rsid w:val="00C622C1"/>
    <w:rsid w:val="00C6340C"/>
    <w:rsid w:val="00C65974"/>
    <w:rsid w:val="00C65F20"/>
    <w:rsid w:val="00C678FC"/>
    <w:rsid w:val="00C71753"/>
    <w:rsid w:val="00C72C6E"/>
    <w:rsid w:val="00C73F7D"/>
    <w:rsid w:val="00C76099"/>
    <w:rsid w:val="00C76657"/>
    <w:rsid w:val="00C76B32"/>
    <w:rsid w:val="00C77AB4"/>
    <w:rsid w:val="00C81C59"/>
    <w:rsid w:val="00C8329F"/>
    <w:rsid w:val="00C8348F"/>
    <w:rsid w:val="00C8449B"/>
    <w:rsid w:val="00C91C12"/>
    <w:rsid w:val="00C93742"/>
    <w:rsid w:val="00C94083"/>
    <w:rsid w:val="00C97810"/>
    <w:rsid w:val="00CA6572"/>
    <w:rsid w:val="00CA6E8A"/>
    <w:rsid w:val="00CB07F7"/>
    <w:rsid w:val="00CB3AF7"/>
    <w:rsid w:val="00CB4276"/>
    <w:rsid w:val="00CB4FF3"/>
    <w:rsid w:val="00CC3E33"/>
    <w:rsid w:val="00CC5C9D"/>
    <w:rsid w:val="00CC63C2"/>
    <w:rsid w:val="00CC6C41"/>
    <w:rsid w:val="00CC7341"/>
    <w:rsid w:val="00CC7696"/>
    <w:rsid w:val="00CD052B"/>
    <w:rsid w:val="00CD1871"/>
    <w:rsid w:val="00CD51BF"/>
    <w:rsid w:val="00CD595D"/>
    <w:rsid w:val="00CD6FAB"/>
    <w:rsid w:val="00CE55E0"/>
    <w:rsid w:val="00CF129F"/>
    <w:rsid w:val="00CF134A"/>
    <w:rsid w:val="00CF1BD3"/>
    <w:rsid w:val="00CF238B"/>
    <w:rsid w:val="00CF3FDB"/>
    <w:rsid w:val="00CF5446"/>
    <w:rsid w:val="00CF55E7"/>
    <w:rsid w:val="00CF5BE1"/>
    <w:rsid w:val="00CF7C81"/>
    <w:rsid w:val="00D00E4D"/>
    <w:rsid w:val="00D00E81"/>
    <w:rsid w:val="00D013A3"/>
    <w:rsid w:val="00D014DE"/>
    <w:rsid w:val="00D04848"/>
    <w:rsid w:val="00D07652"/>
    <w:rsid w:val="00D07D46"/>
    <w:rsid w:val="00D10D37"/>
    <w:rsid w:val="00D12478"/>
    <w:rsid w:val="00D13FD0"/>
    <w:rsid w:val="00D1400A"/>
    <w:rsid w:val="00D14D52"/>
    <w:rsid w:val="00D21C73"/>
    <w:rsid w:val="00D22FF8"/>
    <w:rsid w:val="00D2603C"/>
    <w:rsid w:val="00D27498"/>
    <w:rsid w:val="00D304A1"/>
    <w:rsid w:val="00D351F4"/>
    <w:rsid w:val="00D37B08"/>
    <w:rsid w:val="00D37C85"/>
    <w:rsid w:val="00D46C6C"/>
    <w:rsid w:val="00D506D9"/>
    <w:rsid w:val="00D50E2E"/>
    <w:rsid w:val="00D50E4D"/>
    <w:rsid w:val="00D51309"/>
    <w:rsid w:val="00D5274A"/>
    <w:rsid w:val="00D53F98"/>
    <w:rsid w:val="00D544B8"/>
    <w:rsid w:val="00D553C4"/>
    <w:rsid w:val="00D5733E"/>
    <w:rsid w:val="00D57AEF"/>
    <w:rsid w:val="00D65A26"/>
    <w:rsid w:val="00D72552"/>
    <w:rsid w:val="00D74F0E"/>
    <w:rsid w:val="00D7617D"/>
    <w:rsid w:val="00D7656D"/>
    <w:rsid w:val="00D76C2A"/>
    <w:rsid w:val="00D81262"/>
    <w:rsid w:val="00D81E42"/>
    <w:rsid w:val="00D8359A"/>
    <w:rsid w:val="00D84831"/>
    <w:rsid w:val="00D90B03"/>
    <w:rsid w:val="00D90DDD"/>
    <w:rsid w:val="00D92937"/>
    <w:rsid w:val="00DA0A7D"/>
    <w:rsid w:val="00DA15F7"/>
    <w:rsid w:val="00DA23FF"/>
    <w:rsid w:val="00DA399F"/>
    <w:rsid w:val="00DA461A"/>
    <w:rsid w:val="00DA4B2C"/>
    <w:rsid w:val="00DA5A17"/>
    <w:rsid w:val="00DA6799"/>
    <w:rsid w:val="00DA7CC5"/>
    <w:rsid w:val="00DB0048"/>
    <w:rsid w:val="00DB30C4"/>
    <w:rsid w:val="00DB6FD5"/>
    <w:rsid w:val="00DC1E71"/>
    <w:rsid w:val="00DC77C1"/>
    <w:rsid w:val="00DD303F"/>
    <w:rsid w:val="00DE64AC"/>
    <w:rsid w:val="00DE7F08"/>
    <w:rsid w:val="00DF1433"/>
    <w:rsid w:val="00DF18DC"/>
    <w:rsid w:val="00DF55C1"/>
    <w:rsid w:val="00DF789D"/>
    <w:rsid w:val="00E0268C"/>
    <w:rsid w:val="00E05324"/>
    <w:rsid w:val="00E1143A"/>
    <w:rsid w:val="00E145F9"/>
    <w:rsid w:val="00E15258"/>
    <w:rsid w:val="00E24F82"/>
    <w:rsid w:val="00E25518"/>
    <w:rsid w:val="00E26DC1"/>
    <w:rsid w:val="00E32C44"/>
    <w:rsid w:val="00E32D8C"/>
    <w:rsid w:val="00E3320F"/>
    <w:rsid w:val="00E33A87"/>
    <w:rsid w:val="00E33EE8"/>
    <w:rsid w:val="00E35911"/>
    <w:rsid w:val="00E36344"/>
    <w:rsid w:val="00E5049A"/>
    <w:rsid w:val="00E51264"/>
    <w:rsid w:val="00E51774"/>
    <w:rsid w:val="00E532D8"/>
    <w:rsid w:val="00E53E56"/>
    <w:rsid w:val="00E62D3F"/>
    <w:rsid w:val="00E64154"/>
    <w:rsid w:val="00E66E3C"/>
    <w:rsid w:val="00E6746D"/>
    <w:rsid w:val="00E67C6D"/>
    <w:rsid w:val="00E70D20"/>
    <w:rsid w:val="00E7179F"/>
    <w:rsid w:val="00E735F0"/>
    <w:rsid w:val="00E752CE"/>
    <w:rsid w:val="00E7592E"/>
    <w:rsid w:val="00E76A4B"/>
    <w:rsid w:val="00E776FC"/>
    <w:rsid w:val="00E77C2B"/>
    <w:rsid w:val="00E77E13"/>
    <w:rsid w:val="00E832C2"/>
    <w:rsid w:val="00E845B2"/>
    <w:rsid w:val="00E84ACB"/>
    <w:rsid w:val="00E87546"/>
    <w:rsid w:val="00E87E06"/>
    <w:rsid w:val="00E959D1"/>
    <w:rsid w:val="00EA5244"/>
    <w:rsid w:val="00EB0470"/>
    <w:rsid w:val="00EB3B2B"/>
    <w:rsid w:val="00EB74D1"/>
    <w:rsid w:val="00EC0241"/>
    <w:rsid w:val="00EC0D0D"/>
    <w:rsid w:val="00EC195D"/>
    <w:rsid w:val="00EC2A39"/>
    <w:rsid w:val="00EC62C2"/>
    <w:rsid w:val="00EC6B3F"/>
    <w:rsid w:val="00EC6ED2"/>
    <w:rsid w:val="00EC733B"/>
    <w:rsid w:val="00EC783F"/>
    <w:rsid w:val="00ED083C"/>
    <w:rsid w:val="00ED139D"/>
    <w:rsid w:val="00ED378C"/>
    <w:rsid w:val="00ED52FB"/>
    <w:rsid w:val="00ED5A92"/>
    <w:rsid w:val="00ED5C57"/>
    <w:rsid w:val="00ED64D5"/>
    <w:rsid w:val="00ED6734"/>
    <w:rsid w:val="00ED6D7B"/>
    <w:rsid w:val="00ED7578"/>
    <w:rsid w:val="00ED78BC"/>
    <w:rsid w:val="00EE0176"/>
    <w:rsid w:val="00EE0228"/>
    <w:rsid w:val="00EE289C"/>
    <w:rsid w:val="00EE3FDC"/>
    <w:rsid w:val="00EF0ACA"/>
    <w:rsid w:val="00EF4A86"/>
    <w:rsid w:val="00EF6648"/>
    <w:rsid w:val="00F00915"/>
    <w:rsid w:val="00F013B5"/>
    <w:rsid w:val="00F02405"/>
    <w:rsid w:val="00F02A16"/>
    <w:rsid w:val="00F03504"/>
    <w:rsid w:val="00F03B16"/>
    <w:rsid w:val="00F04E94"/>
    <w:rsid w:val="00F055D7"/>
    <w:rsid w:val="00F05CC1"/>
    <w:rsid w:val="00F07C5E"/>
    <w:rsid w:val="00F13DD5"/>
    <w:rsid w:val="00F154F5"/>
    <w:rsid w:val="00F15E8B"/>
    <w:rsid w:val="00F265A9"/>
    <w:rsid w:val="00F265FC"/>
    <w:rsid w:val="00F27300"/>
    <w:rsid w:val="00F274C9"/>
    <w:rsid w:val="00F3149A"/>
    <w:rsid w:val="00F31744"/>
    <w:rsid w:val="00F3427D"/>
    <w:rsid w:val="00F37BB2"/>
    <w:rsid w:val="00F40291"/>
    <w:rsid w:val="00F426E2"/>
    <w:rsid w:val="00F440DB"/>
    <w:rsid w:val="00F4418C"/>
    <w:rsid w:val="00F44A02"/>
    <w:rsid w:val="00F46109"/>
    <w:rsid w:val="00F476FC"/>
    <w:rsid w:val="00F5288F"/>
    <w:rsid w:val="00F61D5D"/>
    <w:rsid w:val="00F62566"/>
    <w:rsid w:val="00F71E76"/>
    <w:rsid w:val="00F729D4"/>
    <w:rsid w:val="00F72D3D"/>
    <w:rsid w:val="00F72F60"/>
    <w:rsid w:val="00F73C12"/>
    <w:rsid w:val="00F74228"/>
    <w:rsid w:val="00F75C29"/>
    <w:rsid w:val="00F80303"/>
    <w:rsid w:val="00F838A2"/>
    <w:rsid w:val="00F84340"/>
    <w:rsid w:val="00F84679"/>
    <w:rsid w:val="00F86383"/>
    <w:rsid w:val="00F86590"/>
    <w:rsid w:val="00F87B50"/>
    <w:rsid w:val="00F9052B"/>
    <w:rsid w:val="00F907B9"/>
    <w:rsid w:val="00F928FF"/>
    <w:rsid w:val="00F92E3E"/>
    <w:rsid w:val="00F93EDA"/>
    <w:rsid w:val="00F94386"/>
    <w:rsid w:val="00F96EF3"/>
    <w:rsid w:val="00FA02F2"/>
    <w:rsid w:val="00FA5222"/>
    <w:rsid w:val="00FA6509"/>
    <w:rsid w:val="00FA7B6A"/>
    <w:rsid w:val="00FB1CF1"/>
    <w:rsid w:val="00FB4DBC"/>
    <w:rsid w:val="00FB5294"/>
    <w:rsid w:val="00FB5C95"/>
    <w:rsid w:val="00FB77B2"/>
    <w:rsid w:val="00FC019C"/>
    <w:rsid w:val="00FC0E89"/>
    <w:rsid w:val="00FC231C"/>
    <w:rsid w:val="00FC2D51"/>
    <w:rsid w:val="00FC4694"/>
    <w:rsid w:val="00FC57E9"/>
    <w:rsid w:val="00FD1A28"/>
    <w:rsid w:val="00FD2FA3"/>
    <w:rsid w:val="00FD454E"/>
    <w:rsid w:val="00FD7E19"/>
    <w:rsid w:val="00FE0854"/>
    <w:rsid w:val="00FE111F"/>
    <w:rsid w:val="00FE1B15"/>
    <w:rsid w:val="00FE35BD"/>
    <w:rsid w:val="00FE35E1"/>
    <w:rsid w:val="00FE36B0"/>
    <w:rsid w:val="00FF09B3"/>
    <w:rsid w:val="00FF12BE"/>
    <w:rsid w:val="00FF26A6"/>
    <w:rsid w:val="00FF5042"/>
    <w:rsid w:val="00FF76A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0C1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5E0"/>
    <w:pPr>
      <w:jc w:val="both"/>
    </w:pPr>
    <w:rPr>
      <w:rFonts w:ascii="Arial" w:hAnsi="Arial"/>
      <w:sz w:val="20"/>
    </w:rPr>
  </w:style>
  <w:style w:type="paragraph" w:styleId="Heading1">
    <w:name w:val="heading 1"/>
    <w:basedOn w:val="Normal"/>
    <w:next w:val="Normal"/>
    <w:link w:val="Heading1Char"/>
    <w:uiPriority w:val="9"/>
    <w:qFormat/>
    <w:rsid w:val="00665706"/>
    <w:pPr>
      <w:keepNext/>
      <w:keepLines/>
      <w:numPr>
        <w:numId w:val="5"/>
      </w:numPr>
      <w:spacing w:before="480" w:after="120"/>
      <w:ind w:left="431" w:hanging="431"/>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D07D46"/>
    <w:pPr>
      <w:keepNext/>
      <w:keepLines/>
      <w:numPr>
        <w:ilvl w:val="1"/>
        <w:numId w:val="5"/>
      </w:numPr>
      <w:spacing w:before="200" w:after="120"/>
      <w:ind w:left="578" w:hanging="578"/>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BE7F93"/>
    <w:pPr>
      <w:keepNext/>
      <w:keepLines/>
      <w:numPr>
        <w:ilvl w:val="2"/>
        <w:numId w:val="5"/>
      </w:numPr>
      <w:spacing w:before="200" w:after="120"/>
      <w:outlineLvl w:val="2"/>
    </w:pPr>
    <w:rPr>
      <w:rFonts w:eastAsiaTheme="majorEastAsia" w:cstheme="majorBidi"/>
      <w:b/>
      <w:bCs/>
      <w:color w:val="000000" w:themeColor="text1"/>
      <w:sz w:val="22"/>
      <w:szCs w:val="22"/>
    </w:rPr>
  </w:style>
  <w:style w:type="paragraph" w:styleId="Heading4">
    <w:name w:val="heading 4"/>
    <w:basedOn w:val="Normal"/>
    <w:next w:val="Normal"/>
    <w:link w:val="Heading4Char"/>
    <w:uiPriority w:val="9"/>
    <w:semiHidden/>
    <w:unhideWhenUsed/>
    <w:qFormat/>
    <w:rsid w:val="00AA42E9"/>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42E9"/>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42E9"/>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42E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42E9"/>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AA42E9"/>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B03"/>
    <w:rPr>
      <w:rFonts w:ascii="Lucida Grande" w:hAnsi="Lucida Grande"/>
      <w:sz w:val="18"/>
      <w:szCs w:val="18"/>
    </w:rPr>
  </w:style>
  <w:style w:type="character" w:customStyle="1" w:styleId="BalloonTextChar">
    <w:name w:val="Balloon Text Char"/>
    <w:basedOn w:val="DefaultParagraphFont"/>
    <w:link w:val="BalloonText"/>
    <w:uiPriority w:val="99"/>
    <w:semiHidden/>
    <w:rsid w:val="00D90B03"/>
    <w:rPr>
      <w:rFonts w:ascii="Lucida Grande" w:hAnsi="Lucida Grande"/>
      <w:sz w:val="18"/>
      <w:szCs w:val="18"/>
    </w:rPr>
  </w:style>
  <w:style w:type="paragraph" w:styleId="Footer">
    <w:name w:val="footer"/>
    <w:basedOn w:val="Normal"/>
    <w:link w:val="FooterChar"/>
    <w:uiPriority w:val="99"/>
    <w:unhideWhenUsed/>
    <w:rsid w:val="004535DB"/>
    <w:pPr>
      <w:tabs>
        <w:tab w:val="center" w:pos="4320"/>
        <w:tab w:val="right" w:pos="8640"/>
      </w:tabs>
    </w:pPr>
  </w:style>
  <w:style w:type="character" w:customStyle="1" w:styleId="FooterChar">
    <w:name w:val="Footer Char"/>
    <w:basedOn w:val="DefaultParagraphFont"/>
    <w:link w:val="Footer"/>
    <w:uiPriority w:val="99"/>
    <w:rsid w:val="004535DB"/>
  </w:style>
  <w:style w:type="character" w:styleId="PageNumber">
    <w:name w:val="page number"/>
    <w:basedOn w:val="DefaultParagraphFont"/>
    <w:uiPriority w:val="99"/>
    <w:semiHidden/>
    <w:unhideWhenUsed/>
    <w:rsid w:val="004535DB"/>
  </w:style>
  <w:style w:type="paragraph" w:customStyle="1" w:styleId="normal0">
    <w:name w:val="normal"/>
    <w:rsid w:val="00CF238B"/>
    <w:pPr>
      <w:suppressAutoHyphens/>
      <w:spacing w:line="276" w:lineRule="auto"/>
    </w:pPr>
    <w:rPr>
      <w:rFonts w:ascii="Arial" w:eastAsia="Arial" w:hAnsi="Arial" w:cs="Arial"/>
      <w:color w:val="000000"/>
      <w:kern w:val="1"/>
      <w:sz w:val="22"/>
      <w:lang w:eastAsia="ja-JP"/>
    </w:rPr>
  </w:style>
  <w:style w:type="paragraph" w:styleId="ListParagraph">
    <w:name w:val="List Paragraph"/>
    <w:basedOn w:val="Normal"/>
    <w:uiPriority w:val="34"/>
    <w:qFormat/>
    <w:rsid w:val="00665C7A"/>
    <w:pPr>
      <w:ind w:left="720"/>
      <w:contextualSpacing/>
    </w:pPr>
  </w:style>
  <w:style w:type="character" w:styleId="Hyperlink">
    <w:name w:val="Hyperlink"/>
    <w:basedOn w:val="DefaultParagraphFont"/>
    <w:uiPriority w:val="99"/>
    <w:unhideWhenUsed/>
    <w:rsid w:val="00102DE2"/>
    <w:rPr>
      <w:color w:val="0000FF" w:themeColor="hyperlink"/>
      <w:u w:val="single"/>
    </w:rPr>
  </w:style>
  <w:style w:type="character" w:styleId="CommentReference">
    <w:name w:val="annotation reference"/>
    <w:basedOn w:val="DefaultParagraphFont"/>
    <w:uiPriority w:val="99"/>
    <w:semiHidden/>
    <w:unhideWhenUsed/>
    <w:rsid w:val="00861307"/>
    <w:rPr>
      <w:sz w:val="18"/>
      <w:szCs w:val="18"/>
    </w:rPr>
  </w:style>
  <w:style w:type="paragraph" w:styleId="CommentText">
    <w:name w:val="annotation text"/>
    <w:basedOn w:val="Normal"/>
    <w:link w:val="CommentTextChar"/>
    <w:uiPriority w:val="99"/>
    <w:unhideWhenUsed/>
    <w:rsid w:val="00861307"/>
  </w:style>
  <w:style w:type="character" w:customStyle="1" w:styleId="CommentTextChar">
    <w:name w:val="Comment Text Char"/>
    <w:basedOn w:val="DefaultParagraphFont"/>
    <w:link w:val="CommentText"/>
    <w:uiPriority w:val="99"/>
    <w:rsid w:val="00861307"/>
  </w:style>
  <w:style w:type="paragraph" w:styleId="CommentSubject">
    <w:name w:val="annotation subject"/>
    <w:basedOn w:val="CommentText"/>
    <w:next w:val="CommentText"/>
    <w:link w:val="CommentSubjectChar"/>
    <w:uiPriority w:val="99"/>
    <w:semiHidden/>
    <w:unhideWhenUsed/>
    <w:rsid w:val="00861307"/>
    <w:rPr>
      <w:b/>
      <w:bCs/>
      <w:szCs w:val="20"/>
    </w:rPr>
  </w:style>
  <w:style w:type="character" w:customStyle="1" w:styleId="CommentSubjectChar">
    <w:name w:val="Comment Subject Char"/>
    <w:basedOn w:val="CommentTextChar"/>
    <w:link w:val="CommentSubject"/>
    <w:uiPriority w:val="99"/>
    <w:semiHidden/>
    <w:rsid w:val="00861307"/>
    <w:rPr>
      <w:b/>
      <w:bCs/>
      <w:sz w:val="20"/>
      <w:szCs w:val="20"/>
    </w:rPr>
  </w:style>
  <w:style w:type="paragraph" w:styleId="DocumentMap">
    <w:name w:val="Document Map"/>
    <w:basedOn w:val="Normal"/>
    <w:link w:val="DocumentMapChar"/>
    <w:uiPriority w:val="99"/>
    <w:semiHidden/>
    <w:unhideWhenUsed/>
    <w:rsid w:val="001172D6"/>
    <w:rPr>
      <w:rFonts w:ascii="Lucida Grande" w:hAnsi="Lucida Grande" w:cs="Lucida Grande"/>
    </w:rPr>
  </w:style>
  <w:style w:type="character" w:customStyle="1" w:styleId="DocumentMapChar">
    <w:name w:val="Document Map Char"/>
    <w:basedOn w:val="DefaultParagraphFont"/>
    <w:link w:val="DocumentMap"/>
    <w:uiPriority w:val="99"/>
    <w:semiHidden/>
    <w:rsid w:val="001172D6"/>
    <w:rPr>
      <w:rFonts w:ascii="Lucida Grande" w:hAnsi="Lucida Grande" w:cs="Lucida Grande"/>
    </w:rPr>
  </w:style>
  <w:style w:type="character" w:customStyle="1" w:styleId="Heading1Char">
    <w:name w:val="Heading 1 Char"/>
    <w:basedOn w:val="DefaultParagraphFont"/>
    <w:link w:val="Heading1"/>
    <w:uiPriority w:val="9"/>
    <w:rsid w:val="00665706"/>
    <w:rPr>
      <w:rFonts w:ascii="Arial" w:eastAsiaTheme="majorEastAsia" w:hAnsi="Arial" w:cstheme="majorBidi"/>
      <w:b/>
      <w:bCs/>
      <w:color w:val="000000" w:themeColor="text1"/>
      <w:sz w:val="32"/>
      <w:szCs w:val="32"/>
    </w:rPr>
  </w:style>
  <w:style w:type="character" w:customStyle="1" w:styleId="Heading2Char">
    <w:name w:val="Heading 2 Char"/>
    <w:basedOn w:val="DefaultParagraphFont"/>
    <w:link w:val="Heading2"/>
    <w:uiPriority w:val="9"/>
    <w:rsid w:val="00D07D46"/>
    <w:rPr>
      <w:rFonts w:ascii="Arial" w:eastAsiaTheme="majorEastAsia" w:hAnsi="Arial" w:cstheme="majorBidi"/>
      <w:b/>
      <w:bCs/>
      <w:color w:val="000000" w:themeColor="text1"/>
      <w:sz w:val="26"/>
      <w:szCs w:val="26"/>
    </w:rPr>
  </w:style>
  <w:style w:type="character" w:customStyle="1" w:styleId="Heading3Char">
    <w:name w:val="Heading 3 Char"/>
    <w:basedOn w:val="DefaultParagraphFont"/>
    <w:link w:val="Heading3"/>
    <w:uiPriority w:val="9"/>
    <w:rsid w:val="00BE7F93"/>
    <w:rPr>
      <w:rFonts w:ascii="Arial" w:eastAsiaTheme="majorEastAsia" w:hAnsi="Arial" w:cstheme="majorBidi"/>
      <w:b/>
      <w:bCs/>
      <w:color w:val="000000" w:themeColor="text1"/>
      <w:sz w:val="22"/>
      <w:szCs w:val="22"/>
    </w:rPr>
  </w:style>
  <w:style w:type="character" w:customStyle="1" w:styleId="Heading4Char">
    <w:name w:val="Heading 4 Char"/>
    <w:basedOn w:val="DefaultParagraphFont"/>
    <w:link w:val="Heading4"/>
    <w:uiPriority w:val="9"/>
    <w:semiHidden/>
    <w:rsid w:val="00AA42E9"/>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AA42E9"/>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AA42E9"/>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AA42E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AA42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A42E9"/>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22148B"/>
    <w:rPr>
      <w:color w:val="808080"/>
    </w:rPr>
  </w:style>
  <w:style w:type="character" w:customStyle="1" w:styleId="apple-converted-space">
    <w:name w:val="apple-converted-space"/>
    <w:basedOn w:val="DefaultParagraphFont"/>
    <w:rsid w:val="00D1400A"/>
  </w:style>
  <w:style w:type="character" w:styleId="FollowedHyperlink">
    <w:name w:val="FollowedHyperlink"/>
    <w:basedOn w:val="DefaultParagraphFont"/>
    <w:uiPriority w:val="99"/>
    <w:semiHidden/>
    <w:unhideWhenUsed/>
    <w:rsid w:val="00D1400A"/>
    <w:rPr>
      <w:color w:val="800080" w:themeColor="followedHyperlink"/>
      <w:u w:val="single"/>
    </w:rPr>
  </w:style>
  <w:style w:type="paragraph" w:styleId="Header">
    <w:name w:val="header"/>
    <w:basedOn w:val="Normal"/>
    <w:link w:val="HeaderChar"/>
    <w:uiPriority w:val="99"/>
    <w:unhideWhenUsed/>
    <w:rsid w:val="00114BDE"/>
    <w:pPr>
      <w:tabs>
        <w:tab w:val="center" w:pos="4320"/>
        <w:tab w:val="right" w:pos="8640"/>
      </w:tabs>
    </w:pPr>
  </w:style>
  <w:style w:type="character" w:customStyle="1" w:styleId="HeaderChar">
    <w:name w:val="Header Char"/>
    <w:basedOn w:val="DefaultParagraphFont"/>
    <w:link w:val="Header"/>
    <w:uiPriority w:val="99"/>
    <w:rsid w:val="00114BDE"/>
    <w:rPr>
      <w:rFonts w:ascii="Arial" w:hAnsi="Arial"/>
      <w:sz w:val="20"/>
    </w:rPr>
  </w:style>
  <w:style w:type="paragraph" w:styleId="NormalWeb">
    <w:name w:val="Normal (Web)"/>
    <w:basedOn w:val="Normal"/>
    <w:uiPriority w:val="99"/>
    <w:unhideWhenUsed/>
    <w:rsid w:val="00BC617C"/>
    <w:pPr>
      <w:spacing w:before="100" w:beforeAutospacing="1" w:after="100" w:afterAutospacing="1"/>
    </w:pPr>
    <w:rPr>
      <w:rFonts w:ascii="Times" w:hAnsi="Times" w:cs="Times New Roman"/>
      <w:szCs w:val="20"/>
    </w:rPr>
  </w:style>
  <w:style w:type="paragraph" w:styleId="TOC1">
    <w:name w:val="toc 1"/>
    <w:basedOn w:val="Normal"/>
    <w:next w:val="Normal"/>
    <w:autoRedefine/>
    <w:uiPriority w:val="39"/>
    <w:unhideWhenUsed/>
    <w:rsid w:val="00F3149A"/>
    <w:pPr>
      <w:spacing w:before="120"/>
      <w:jc w:val="left"/>
    </w:pPr>
    <w:rPr>
      <w:rFonts w:asciiTheme="minorHAnsi" w:hAnsiTheme="minorHAnsi"/>
      <w:b/>
      <w:sz w:val="24"/>
    </w:rPr>
  </w:style>
  <w:style w:type="paragraph" w:styleId="TOC2">
    <w:name w:val="toc 2"/>
    <w:basedOn w:val="Normal"/>
    <w:next w:val="Normal"/>
    <w:autoRedefine/>
    <w:uiPriority w:val="39"/>
    <w:unhideWhenUsed/>
    <w:rsid w:val="00F3149A"/>
    <w:pPr>
      <w:ind w:left="200"/>
      <w:jc w:val="left"/>
    </w:pPr>
    <w:rPr>
      <w:rFonts w:asciiTheme="minorHAnsi" w:hAnsiTheme="minorHAnsi"/>
      <w:b/>
      <w:sz w:val="22"/>
      <w:szCs w:val="22"/>
    </w:rPr>
  </w:style>
  <w:style w:type="paragraph" w:styleId="TOC3">
    <w:name w:val="toc 3"/>
    <w:basedOn w:val="Normal"/>
    <w:next w:val="Normal"/>
    <w:autoRedefine/>
    <w:uiPriority w:val="39"/>
    <w:unhideWhenUsed/>
    <w:rsid w:val="00F3149A"/>
    <w:pPr>
      <w:ind w:left="400"/>
      <w:jc w:val="left"/>
    </w:pPr>
    <w:rPr>
      <w:rFonts w:asciiTheme="minorHAnsi" w:hAnsiTheme="minorHAnsi"/>
      <w:sz w:val="22"/>
      <w:szCs w:val="22"/>
    </w:rPr>
  </w:style>
  <w:style w:type="paragraph" w:styleId="TOC4">
    <w:name w:val="toc 4"/>
    <w:basedOn w:val="Normal"/>
    <w:next w:val="Normal"/>
    <w:autoRedefine/>
    <w:uiPriority w:val="39"/>
    <w:unhideWhenUsed/>
    <w:rsid w:val="00F3149A"/>
    <w:pPr>
      <w:ind w:left="600"/>
      <w:jc w:val="left"/>
    </w:pPr>
    <w:rPr>
      <w:rFonts w:asciiTheme="minorHAnsi" w:hAnsiTheme="minorHAnsi"/>
      <w:szCs w:val="20"/>
    </w:rPr>
  </w:style>
  <w:style w:type="paragraph" w:styleId="TOC5">
    <w:name w:val="toc 5"/>
    <w:basedOn w:val="Normal"/>
    <w:next w:val="Normal"/>
    <w:autoRedefine/>
    <w:uiPriority w:val="39"/>
    <w:unhideWhenUsed/>
    <w:rsid w:val="00F3149A"/>
    <w:pPr>
      <w:ind w:left="800"/>
      <w:jc w:val="left"/>
    </w:pPr>
    <w:rPr>
      <w:rFonts w:asciiTheme="minorHAnsi" w:hAnsiTheme="minorHAnsi"/>
      <w:szCs w:val="20"/>
    </w:rPr>
  </w:style>
  <w:style w:type="paragraph" w:styleId="TOC6">
    <w:name w:val="toc 6"/>
    <w:basedOn w:val="Normal"/>
    <w:next w:val="Normal"/>
    <w:autoRedefine/>
    <w:uiPriority w:val="39"/>
    <w:unhideWhenUsed/>
    <w:rsid w:val="00F3149A"/>
    <w:pPr>
      <w:ind w:left="1000"/>
      <w:jc w:val="left"/>
    </w:pPr>
    <w:rPr>
      <w:rFonts w:asciiTheme="minorHAnsi" w:hAnsiTheme="minorHAnsi"/>
      <w:szCs w:val="20"/>
    </w:rPr>
  </w:style>
  <w:style w:type="paragraph" w:styleId="TOC7">
    <w:name w:val="toc 7"/>
    <w:basedOn w:val="Normal"/>
    <w:next w:val="Normal"/>
    <w:autoRedefine/>
    <w:uiPriority w:val="39"/>
    <w:unhideWhenUsed/>
    <w:rsid w:val="00F3149A"/>
    <w:pPr>
      <w:ind w:left="1200"/>
      <w:jc w:val="left"/>
    </w:pPr>
    <w:rPr>
      <w:rFonts w:asciiTheme="minorHAnsi" w:hAnsiTheme="minorHAnsi"/>
      <w:szCs w:val="20"/>
    </w:rPr>
  </w:style>
  <w:style w:type="paragraph" w:styleId="TOC8">
    <w:name w:val="toc 8"/>
    <w:basedOn w:val="Normal"/>
    <w:next w:val="Normal"/>
    <w:autoRedefine/>
    <w:uiPriority w:val="39"/>
    <w:unhideWhenUsed/>
    <w:rsid w:val="00F3149A"/>
    <w:pPr>
      <w:ind w:left="1400"/>
      <w:jc w:val="left"/>
    </w:pPr>
    <w:rPr>
      <w:rFonts w:asciiTheme="minorHAnsi" w:hAnsiTheme="minorHAnsi"/>
      <w:szCs w:val="20"/>
    </w:rPr>
  </w:style>
  <w:style w:type="paragraph" w:styleId="TOC9">
    <w:name w:val="toc 9"/>
    <w:basedOn w:val="Normal"/>
    <w:next w:val="Normal"/>
    <w:autoRedefine/>
    <w:uiPriority w:val="39"/>
    <w:unhideWhenUsed/>
    <w:rsid w:val="00F3149A"/>
    <w:pPr>
      <w:ind w:left="1600"/>
      <w:jc w:val="left"/>
    </w:pPr>
    <w:rPr>
      <w:rFonts w:asciiTheme="minorHAnsi" w:hAnsiTheme="minorHAnsi"/>
      <w:szCs w:val="20"/>
    </w:rPr>
  </w:style>
  <w:style w:type="paragraph" w:customStyle="1" w:styleId="SectionTitle">
    <w:name w:val="Section Title"/>
    <w:basedOn w:val="Heading1"/>
    <w:next w:val="Heading1"/>
    <w:qFormat/>
    <w:rsid w:val="006054FC"/>
    <w:pPr>
      <w:numPr>
        <w:numId w:val="22"/>
      </w:numPr>
      <w:spacing w:after="480"/>
      <w:ind w:left="454" w:hanging="454"/>
    </w:pPr>
  </w:style>
  <w:style w:type="numbering" w:customStyle="1" w:styleId="CurrentList1">
    <w:name w:val="Current List1"/>
    <w:uiPriority w:val="99"/>
    <w:rsid w:val="004819A2"/>
    <w:pPr>
      <w:numPr>
        <w:numId w:val="18"/>
      </w:numPr>
    </w:pPr>
  </w:style>
  <w:style w:type="paragraph" w:styleId="Revision">
    <w:name w:val="Revision"/>
    <w:hidden/>
    <w:uiPriority w:val="99"/>
    <w:semiHidden/>
    <w:rsid w:val="00F274C9"/>
    <w:rPr>
      <w:rFonts w:ascii="Arial" w:hAnsi="Arial"/>
      <w:sz w:val="20"/>
    </w:rPr>
  </w:style>
  <w:style w:type="paragraph" w:styleId="TOCHeading">
    <w:name w:val="TOC Heading"/>
    <w:basedOn w:val="Heading1"/>
    <w:next w:val="Normal"/>
    <w:uiPriority w:val="39"/>
    <w:unhideWhenUsed/>
    <w:qFormat/>
    <w:rsid w:val="00683189"/>
    <w:pPr>
      <w:numPr>
        <w:numId w:val="0"/>
      </w:numPr>
      <w:spacing w:after="0" w:line="276" w:lineRule="auto"/>
      <w:jc w:val="left"/>
      <w:outlineLvl w:val="9"/>
    </w:pPr>
    <w:rPr>
      <w:rFonts w:asciiTheme="majorHAnsi" w:hAnsiTheme="majorHAnsi"/>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5E0"/>
    <w:pPr>
      <w:jc w:val="both"/>
    </w:pPr>
    <w:rPr>
      <w:rFonts w:ascii="Arial" w:hAnsi="Arial"/>
      <w:sz w:val="20"/>
    </w:rPr>
  </w:style>
  <w:style w:type="paragraph" w:styleId="Heading1">
    <w:name w:val="heading 1"/>
    <w:basedOn w:val="Normal"/>
    <w:next w:val="Normal"/>
    <w:link w:val="Heading1Char"/>
    <w:uiPriority w:val="9"/>
    <w:qFormat/>
    <w:rsid w:val="00665706"/>
    <w:pPr>
      <w:keepNext/>
      <w:keepLines/>
      <w:numPr>
        <w:numId w:val="5"/>
      </w:numPr>
      <w:spacing w:before="480" w:after="120"/>
      <w:ind w:left="431" w:hanging="431"/>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D07D46"/>
    <w:pPr>
      <w:keepNext/>
      <w:keepLines/>
      <w:numPr>
        <w:ilvl w:val="1"/>
        <w:numId w:val="5"/>
      </w:numPr>
      <w:spacing w:before="200" w:after="120"/>
      <w:ind w:left="578" w:hanging="578"/>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BE7F93"/>
    <w:pPr>
      <w:keepNext/>
      <w:keepLines/>
      <w:numPr>
        <w:ilvl w:val="2"/>
        <w:numId w:val="5"/>
      </w:numPr>
      <w:spacing w:before="200" w:after="120"/>
      <w:outlineLvl w:val="2"/>
    </w:pPr>
    <w:rPr>
      <w:rFonts w:eastAsiaTheme="majorEastAsia" w:cstheme="majorBidi"/>
      <w:b/>
      <w:bCs/>
      <w:color w:val="000000" w:themeColor="text1"/>
      <w:sz w:val="22"/>
      <w:szCs w:val="22"/>
    </w:rPr>
  </w:style>
  <w:style w:type="paragraph" w:styleId="Heading4">
    <w:name w:val="heading 4"/>
    <w:basedOn w:val="Normal"/>
    <w:next w:val="Normal"/>
    <w:link w:val="Heading4Char"/>
    <w:uiPriority w:val="9"/>
    <w:semiHidden/>
    <w:unhideWhenUsed/>
    <w:qFormat/>
    <w:rsid w:val="00AA42E9"/>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42E9"/>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42E9"/>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42E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42E9"/>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AA42E9"/>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B03"/>
    <w:rPr>
      <w:rFonts w:ascii="Lucida Grande" w:hAnsi="Lucida Grande"/>
      <w:sz w:val="18"/>
      <w:szCs w:val="18"/>
    </w:rPr>
  </w:style>
  <w:style w:type="character" w:customStyle="1" w:styleId="BalloonTextChar">
    <w:name w:val="Balloon Text Char"/>
    <w:basedOn w:val="DefaultParagraphFont"/>
    <w:link w:val="BalloonText"/>
    <w:uiPriority w:val="99"/>
    <w:semiHidden/>
    <w:rsid w:val="00D90B03"/>
    <w:rPr>
      <w:rFonts w:ascii="Lucida Grande" w:hAnsi="Lucida Grande"/>
      <w:sz w:val="18"/>
      <w:szCs w:val="18"/>
    </w:rPr>
  </w:style>
  <w:style w:type="paragraph" w:styleId="Footer">
    <w:name w:val="footer"/>
    <w:basedOn w:val="Normal"/>
    <w:link w:val="FooterChar"/>
    <w:uiPriority w:val="99"/>
    <w:unhideWhenUsed/>
    <w:rsid w:val="004535DB"/>
    <w:pPr>
      <w:tabs>
        <w:tab w:val="center" w:pos="4320"/>
        <w:tab w:val="right" w:pos="8640"/>
      </w:tabs>
    </w:pPr>
  </w:style>
  <w:style w:type="character" w:customStyle="1" w:styleId="FooterChar">
    <w:name w:val="Footer Char"/>
    <w:basedOn w:val="DefaultParagraphFont"/>
    <w:link w:val="Footer"/>
    <w:uiPriority w:val="99"/>
    <w:rsid w:val="004535DB"/>
  </w:style>
  <w:style w:type="character" w:styleId="PageNumber">
    <w:name w:val="page number"/>
    <w:basedOn w:val="DefaultParagraphFont"/>
    <w:uiPriority w:val="99"/>
    <w:semiHidden/>
    <w:unhideWhenUsed/>
    <w:rsid w:val="004535DB"/>
  </w:style>
  <w:style w:type="paragraph" w:customStyle="1" w:styleId="normal0">
    <w:name w:val="normal"/>
    <w:rsid w:val="00CF238B"/>
    <w:pPr>
      <w:suppressAutoHyphens/>
      <w:spacing w:line="276" w:lineRule="auto"/>
    </w:pPr>
    <w:rPr>
      <w:rFonts w:ascii="Arial" w:eastAsia="Arial" w:hAnsi="Arial" w:cs="Arial"/>
      <w:color w:val="000000"/>
      <w:kern w:val="1"/>
      <w:sz w:val="22"/>
      <w:lang w:eastAsia="ja-JP"/>
    </w:rPr>
  </w:style>
  <w:style w:type="paragraph" w:styleId="ListParagraph">
    <w:name w:val="List Paragraph"/>
    <w:basedOn w:val="Normal"/>
    <w:uiPriority w:val="34"/>
    <w:qFormat/>
    <w:rsid w:val="00665C7A"/>
    <w:pPr>
      <w:ind w:left="720"/>
      <w:contextualSpacing/>
    </w:pPr>
  </w:style>
  <w:style w:type="character" w:styleId="Hyperlink">
    <w:name w:val="Hyperlink"/>
    <w:basedOn w:val="DefaultParagraphFont"/>
    <w:uiPriority w:val="99"/>
    <w:unhideWhenUsed/>
    <w:rsid w:val="00102DE2"/>
    <w:rPr>
      <w:color w:val="0000FF" w:themeColor="hyperlink"/>
      <w:u w:val="single"/>
    </w:rPr>
  </w:style>
  <w:style w:type="character" w:styleId="CommentReference">
    <w:name w:val="annotation reference"/>
    <w:basedOn w:val="DefaultParagraphFont"/>
    <w:uiPriority w:val="99"/>
    <w:semiHidden/>
    <w:unhideWhenUsed/>
    <w:rsid w:val="00861307"/>
    <w:rPr>
      <w:sz w:val="18"/>
      <w:szCs w:val="18"/>
    </w:rPr>
  </w:style>
  <w:style w:type="paragraph" w:styleId="CommentText">
    <w:name w:val="annotation text"/>
    <w:basedOn w:val="Normal"/>
    <w:link w:val="CommentTextChar"/>
    <w:uiPriority w:val="99"/>
    <w:unhideWhenUsed/>
    <w:rsid w:val="00861307"/>
  </w:style>
  <w:style w:type="character" w:customStyle="1" w:styleId="CommentTextChar">
    <w:name w:val="Comment Text Char"/>
    <w:basedOn w:val="DefaultParagraphFont"/>
    <w:link w:val="CommentText"/>
    <w:uiPriority w:val="99"/>
    <w:rsid w:val="00861307"/>
  </w:style>
  <w:style w:type="paragraph" w:styleId="CommentSubject">
    <w:name w:val="annotation subject"/>
    <w:basedOn w:val="CommentText"/>
    <w:next w:val="CommentText"/>
    <w:link w:val="CommentSubjectChar"/>
    <w:uiPriority w:val="99"/>
    <w:semiHidden/>
    <w:unhideWhenUsed/>
    <w:rsid w:val="00861307"/>
    <w:rPr>
      <w:b/>
      <w:bCs/>
      <w:szCs w:val="20"/>
    </w:rPr>
  </w:style>
  <w:style w:type="character" w:customStyle="1" w:styleId="CommentSubjectChar">
    <w:name w:val="Comment Subject Char"/>
    <w:basedOn w:val="CommentTextChar"/>
    <w:link w:val="CommentSubject"/>
    <w:uiPriority w:val="99"/>
    <w:semiHidden/>
    <w:rsid w:val="00861307"/>
    <w:rPr>
      <w:b/>
      <w:bCs/>
      <w:sz w:val="20"/>
      <w:szCs w:val="20"/>
    </w:rPr>
  </w:style>
  <w:style w:type="paragraph" w:styleId="DocumentMap">
    <w:name w:val="Document Map"/>
    <w:basedOn w:val="Normal"/>
    <w:link w:val="DocumentMapChar"/>
    <w:uiPriority w:val="99"/>
    <w:semiHidden/>
    <w:unhideWhenUsed/>
    <w:rsid w:val="001172D6"/>
    <w:rPr>
      <w:rFonts w:ascii="Lucida Grande" w:hAnsi="Lucida Grande" w:cs="Lucida Grande"/>
    </w:rPr>
  </w:style>
  <w:style w:type="character" w:customStyle="1" w:styleId="DocumentMapChar">
    <w:name w:val="Document Map Char"/>
    <w:basedOn w:val="DefaultParagraphFont"/>
    <w:link w:val="DocumentMap"/>
    <w:uiPriority w:val="99"/>
    <w:semiHidden/>
    <w:rsid w:val="001172D6"/>
    <w:rPr>
      <w:rFonts w:ascii="Lucida Grande" w:hAnsi="Lucida Grande" w:cs="Lucida Grande"/>
    </w:rPr>
  </w:style>
  <w:style w:type="character" w:customStyle="1" w:styleId="Heading1Char">
    <w:name w:val="Heading 1 Char"/>
    <w:basedOn w:val="DefaultParagraphFont"/>
    <w:link w:val="Heading1"/>
    <w:uiPriority w:val="9"/>
    <w:rsid w:val="00665706"/>
    <w:rPr>
      <w:rFonts w:ascii="Arial" w:eastAsiaTheme="majorEastAsia" w:hAnsi="Arial" w:cstheme="majorBidi"/>
      <w:b/>
      <w:bCs/>
      <w:color w:val="000000" w:themeColor="text1"/>
      <w:sz w:val="32"/>
      <w:szCs w:val="32"/>
    </w:rPr>
  </w:style>
  <w:style w:type="character" w:customStyle="1" w:styleId="Heading2Char">
    <w:name w:val="Heading 2 Char"/>
    <w:basedOn w:val="DefaultParagraphFont"/>
    <w:link w:val="Heading2"/>
    <w:uiPriority w:val="9"/>
    <w:rsid w:val="00D07D46"/>
    <w:rPr>
      <w:rFonts w:ascii="Arial" w:eastAsiaTheme="majorEastAsia" w:hAnsi="Arial" w:cstheme="majorBidi"/>
      <w:b/>
      <w:bCs/>
      <w:color w:val="000000" w:themeColor="text1"/>
      <w:sz w:val="26"/>
      <w:szCs w:val="26"/>
    </w:rPr>
  </w:style>
  <w:style w:type="character" w:customStyle="1" w:styleId="Heading3Char">
    <w:name w:val="Heading 3 Char"/>
    <w:basedOn w:val="DefaultParagraphFont"/>
    <w:link w:val="Heading3"/>
    <w:uiPriority w:val="9"/>
    <w:rsid w:val="00BE7F93"/>
    <w:rPr>
      <w:rFonts w:ascii="Arial" w:eastAsiaTheme="majorEastAsia" w:hAnsi="Arial" w:cstheme="majorBidi"/>
      <w:b/>
      <w:bCs/>
      <w:color w:val="000000" w:themeColor="text1"/>
      <w:sz w:val="22"/>
      <w:szCs w:val="22"/>
    </w:rPr>
  </w:style>
  <w:style w:type="character" w:customStyle="1" w:styleId="Heading4Char">
    <w:name w:val="Heading 4 Char"/>
    <w:basedOn w:val="DefaultParagraphFont"/>
    <w:link w:val="Heading4"/>
    <w:uiPriority w:val="9"/>
    <w:semiHidden/>
    <w:rsid w:val="00AA42E9"/>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AA42E9"/>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AA42E9"/>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AA42E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AA42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A42E9"/>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22148B"/>
    <w:rPr>
      <w:color w:val="808080"/>
    </w:rPr>
  </w:style>
  <w:style w:type="character" w:customStyle="1" w:styleId="apple-converted-space">
    <w:name w:val="apple-converted-space"/>
    <w:basedOn w:val="DefaultParagraphFont"/>
    <w:rsid w:val="00D1400A"/>
  </w:style>
  <w:style w:type="character" w:styleId="FollowedHyperlink">
    <w:name w:val="FollowedHyperlink"/>
    <w:basedOn w:val="DefaultParagraphFont"/>
    <w:uiPriority w:val="99"/>
    <w:semiHidden/>
    <w:unhideWhenUsed/>
    <w:rsid w:val="00D1400A"/>
    <w:rPr>
      <w:color w:val="800080" w:themeColor="followedHyperlink"/>
      <w:u w:val="single"/>
    </w:rPr>
  </w:style>
  <w:style w:type="paragraph" w:styleId="Header">
    <w:name w:val="header"/>
    <w:basedOn w:val="Normal"/>
    <w:link w:val="HeaderChar"/>
    <w:uiPriority w:val="99"/>
    <w:unhideWhenUsed/>
    <w:rsid w:val="00114BDE"/>
    <w:pPr>
      <w:tabs>
        <w:tab w:val="center" w:pos="4320"/>
        <w:tab w:val="right" w:pos="8640"/>
      </w:tabs>
    </w:pPr>
  </w:style>
  <w:style w:type="character" w:customStyle="1" w:styleId="HeaderChar">
    <w:name w:val="Header Char"/>
    <w:basedOn w:val="DefaultParagraphFont"/>
    <w:link w:val="Header"/>
    <w:uiPriority w:val="99"/>
    <w:rsid w:val="00114BDE"/>
    <w:rPr>
      <w:rFonts w:ascii="Arial" w:hAnsi="Arial"/>
      <w:sz w:val="20"/>
    </w:rPr>
  </w:style>
  <w:style w:type="paragraph" w:styleId="NormalWeb">
    <w:name w:val="Normal (Web)"/>
    <w:basedOn w:val="Normal"/>
    <w:uiPriority w:val="99"/>
    <w:unhideWhenUsed/>
    <w:rsid w:val="00BC617C"/>
    <w:pPr>
      <w:spacing w:before="100" w:beforeAutospacing="1" w:after="100" w:afterAutospacing="1"/>
    </w:pPr>
    <w:rPr>
      <w:rFonts w:ascii="Times" w:hAnsi="Times" w:cs="Times New Roman"/>
      <w:szCs w:val="20"/>
    </w:rPr>
  </w:style>
  <w:style w:type="paragraph" w:styleId="TOC1">
    <w:name w:val="toc 1"/>
    <w:basedOn w:val="Normal"/>
    <w:next w:val="Normal"/>
    <w:autoRedefine/>
    <w:uiPriority w:val="39"/>
    <w:unhideWhenUsed/>
    <w:rsid w:val="00F3149A"/>
    <w:pPr>
      <w:spacing w:before="120"/>
      <w:jc w:val="left"/>
    </w:pPr>
    <w:rPr>
      <w:rFonts w:asciiTheme="minorHAnsi" w:hAnsiTheme="minorHAnsi"/>
      <w:b/>
      <w:sz w:val="24"/>
    </w:rPr>
  </w:style>
  <w:style w:type="paragraph" w:styleId="TOC2">
    <w:name w:val="toc 2"/>
    <w:basedOn w:val="Normal"/>
    <w:next w:val="Normal"/>
    <w:autoRedefine/>
    <w:uiPriority w:val="39"/>
    <w:unhideWhenUsed/>
    <w:rsid w:val="00F3149A"/>
    <w:pPr>
      <w:ind w:left="200"/>
      <w:jc w:val="left"/>
    </w:pPr>
    <w:rPr>
      <w:rFonts w:asciiTheme="minorHAnsi" w:hAnsiTheme="minorHAnsi"/>
      <w:b/>
      <w:sz w:val="22"/>
      <w:szCs w:val="22"/>
    </w:rPr>
  </w:style>
  <w:style w:type="paragraph" w:styleId="TOC3">
    <w:name w:val="toc 3"/>
    <w:basedOn w:val="Normal"/>
    <w:next w:val="Normal"/>
    <w:autoRedefine/>
    <w:uiPriority w:val="39"/>
    <w:unhideWhenUsed/>
    <w:rsid w:val="00F3149A"/>
    <w:pPr>
      <w:ind w:left="400"/>
      <w:jc w:val="left"/>
    </w:pPr>
    <w:rPr>
      <w:rFonts w:asciiTheme="minorHAnsi" w:hAnsiTheme="minorHAnsi"/>
      <w:sz w:val="22"/>
      <w:szCs w:val="22"/>
    </w:rPr>
  </w:style>
  <w:style w:type="paragraph" w:styleId="TOC4">
    <w:name w:val="toc 4"/>
    <w:basedOn w:val="Normal"/>
    <w:next w:val="Normal"/>
    <w:autoRedefine/>
    <w:uiPriority w:val="39"/>
    <w:unhideWhenUsed/>
    <w:rsid w:val="00F3149A"/>
    <w:pPr>
      <w:ind w:left="600"/>
      <w:jc w:val="left"/>
    </w:pPr>
    <w:rPr>
      <w:rFonts w:asciiTheme="minorHAnsi" w:hAnsiTheme="minorHAnsi"/>
      <w:szCs w:val="20"/>
    </w:rPr>
  </w:style>
  <w:style w:type="paragraph" w:styleId="TOC5">
    <w:name w:val="toc 5"/>
    <w:basedOn w:val="Normal"/>
    <w:next w:val="Normal"/>
    <w:autoRedefine/>
    <w:uiPriority w:val="39"/>
    <w:unhideWhenUsed/>
    <w:rsid w:val="00F3149A"/>
    <w:pPr>
      <w:ind w:left="800"/>
      <w:jc w:val="left"/>
    </w:pPr>
    <w:rPr>
      <w:rFonts w:asciiTheme="minorHAnsi" w:hAnsiTheme="minorHAnsi"/>
      <w:szCs w:val="20"/>
    </w:rPr>
  </w:style>
  <w:style w:type="paragraph" w:styleId="TOC6">
    <w:name w:val="toc 6"/>
    <w:basedOn w:val="Normal"/>
    <w:next w:val="Normal"/>
    <w:autoRedefine/>
    <w:uiPriority w:val="39"/>
    <w:unhideWhenUsed/>
    <w:rsid w:val="00F3149A"/>
    <w:pPr>
      <w:ind w:left="1000"/>
      <w:jc w:val="left"/>
    </w:pPr>
    <w:rPr>
      <w:rFonts w:asciiTheme="minorHAnsi" w:hAnsiTheme="minorHAnsi"/>
      <w:szCs w:val="20"/>
    </w:rPr>
  </w:style>
  <w:style w:type="paragraph" w:styleId="TOC7">
    <w:name w:val="toc 7"/>
    <w:basedOn w:val="Normal"/>
    <w:next w:val="Normal"/>
    <w:autoRedefine/>
    <w:uiPriority w:val="39"/>
    <w:unhideWhenUsed/>
    <w:rsid w:val="00F3149A"/>
    <w:pPr>
      <w:ind w:left="1200"/>
      <w:jc w:val="left"/>
    </w:pPr>
    <w:rPr>
      <w:rFonts w:asciiTheme="minorHAnsi" w:hAnsiTheme="minorHAnsi"/>
      <w:szCs w:val="20"/>
    </w:rPr>
  </w:style>
  <w:style w:type="paragraph" w:styleId="TOC8">
    <w:name w:val="toc 8"/>
    <w:basedOn w:val="Normal"/>
    <w:next w:val="Normal"/>
    <w:autoRedefine/>
    <w:uiPriority w:val="39"/>
    <w:unhideWhenUsed/>
    <w:rsid w:val="00F3149A"/>
    <w:pPr>
      <w:ind w:left="1400"/>
      <w:jc w:val="left"/>
    </w:pPr>
    <w:rPr>
      <w:rFonts w:asciiTheme="minorHAnsi" w:hAnsiTheme="minorHAnsi"/>
      <w:szCs w:val="20"/>
    </w:rPr>
  </w:style>
  <w:style w:type="paragraph" w:styleId="TOC9">
    <w:name w:val="toc 9"/>
    <w:basedOn w:val="Normal"/>
    <w:next w:val="Normal"/>
    <w:autoRedefine/>
    <w:uiPriority w:val="39"/>
    <w:unhideWhenUsed/>
    <w:rsid w:val="00F3149A"/>
    <w:pPr>
      <w:ind w:left="1600"/>
      <w:jc w:val="left"/>
    </w:pPr>
    <w:rPr>
      <w:rFonts w:asciiTheme="minorHAnsi" w:hAnsiTheme="minorHAnsi"/>
      <w:szCs w:val="20"/>
    </w:rPr>
  </w:style>
  <w:style w:type="paragraph" w:customStyle="1" w:styleId="SectionTitle">
    <w:name w:val="Section Title"/>
    <w:basedOn w:val="Heading1"/>
    <w:next w:val="Heading1"/>
    <w:qFormat/>
    <w:rsid w:val="006054FC"/>
    <w:pPr>
      <w:numPr>
        <w:numId w:val="22"/>
      </w:numPr>
      <w:spacing w:after="480"/>
      <w:ind w:left="454" w:hanging="454"/>
    </w:pPr>
  </w:style>
  <w:style w:type="numbering" w:customStyle="1" w:styleId="CurrentList1">
    <w:name w:val="Current List1"/>
    <w:uiPriority w:val="99"/>
    <w:rsid w:val="004819A2"/>
    <w:pPr>
      <w:numPr>
        <w:numId w:val="18"/>
      </w:numPr>
    </w:pPr>
  </w:style>
  <w:style w:type="paragraph" w:styleId="Revision">
    <w:name w:val="Revision"/>
    <w:hidden/>
    <w:uiPriority w:val="99"/>
    <w:semiHidden/>
    <w:rsid w:val="00F274C9"/>
    <w:rPr>
      <w:rFonts w:ascii="Arial" w:hAnsi="Arial"/>
      <w:sz w:val="20"/>
    </w:rPr>
  </w:style>
  <w:style w:type="paragraph" w:styleId="TOCHeading">
    <w:name w:val="TOC Heading"/>
    <w:basedOn w:val="Heading1"/>
    <w:next w:val="Normal"/>
    <w:uiPriority w:val="39"/>
    <w:unhideWhenUsed/>
    <w:qFormat/>
    <w:rsid w:val="00683189"/>
    <w:pPr>
      <w:numPr>
        <w:numId w:val="0"/>
      </w:numPr>
      <w:spacing w:after="0" w:line="276" w:lineRule="auto"/>
      <w:jc w:val="left"/>
      <w:outlineLvl w:val="9"/>
    </w:pPr>
    <w:rPr>
      <w:rFonts w:asciiTheme="majorHAnsi" w:hAnsiTheme="majorHAnsi"/>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86175">
      <w:bodyDiv w:val="1"/>
      <w:marLeft w:val="0"/>
      <w:marRight w:val="0"/>
      <w:marTop w:val="0"/>
      <w:marBottom w:val="0"/>
      <w:divBdr>
        <w:top w:val="none" w:sz="0" w:space="0" w:color="auto"/>
        <w:left w:val="none" w:sz="0" w:space="0" w:color="auto"/>
        <w:bottom w:val="none" w:sz="0" w:space="0" w:color="auto"/>
        <w:right w:val="none" w:sz="0" w:space="0" w:color="auto"/>
      </w:divBdr>
      <w:divsChild>
        <w:div w:id="425227756">
          <w:marLeft w:val="0"/>
          <w:marRight w:val="0"/>
          <w:marTop w:val="0"/>
          <w:marBottom w:val="0"/>
          <w:divBdr>
            <w:top w:val="none" w:sz="0" w:space="0" w:color="auto"/>
            <w:left w:val="none" w:sz="0" w:space="0" w:color="auto"/>
            <w:bottom w:val="none" w:sz="0" w:space="0" w:color="auto"/>
            <w:right w:val="none" w:sz="0" w:space="0" w:color="auto"/>
          </w:divBdr>
          <w:divsChild>
            <w:div w:id="737509133">
              <w:marLeft w:val="0"/>
              <w:marRight w:val="0"/>
              <w:marTop w:val="0"/>
              <w:marBottom w:val="0"/>
              <w:divBdr>
                <w:top w:val="none" w:sz="0" w:space="0" w:color="auto"/>
                <w:left w:val="none" w:sz="0" w:space="0" w:color="auto"/>
                <w:bottom w:val="none" w:sz="0" w:space="0" w:color="auto"/>
                <w:right w:val="none" w:sz="0" w:space="0" w:color="auto"/>
              </w:divBdr>
              <w:divsChild>
                <w:div w:id="1263029545">
                  <w:marLeft w:val="0"/>
                  <w:marRight w:val="0"/>
                  <w:marTop w:val="0"/>
                  <w:marBottom w:val="0"/>
                  <w:divBdr>
                    <w:top w:val="none" w:sz="0" w:space="0" w:color="auto"/>
                    <w:left w:val="none" w:sz="0" w:space="0" w:color="auto"/>
                    <w:bottom w:val="none" w:sz="0" w:space="0" w:color="auto"/>
                    <w:right w:val="none" w:sz="0" w:space="0" w:color="auto"/>
                  </w:divBdr>
                  <w:divsChild>
                    <w:div w:id="10502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581">
      <w:bodyDiv w:val="1"/>
      <w:marLeft w:val="0"/>
      <w:marRight w:val="0"/>
      <w:marTop w:val="0"/>
      <w:marBottom w:val="0"/>
      <w:divBdr>
        <w:top w:val="none" w:sz="0" w:space="0" w:color="auto"/>
        <w:left w:val="none" w:sz="0" w:space="0" w:color="auto"/>
        <w:bottom w:val="none" w:sz="0" w:space="0" w:color="auto"/>
        <w:right w:val="none" w:sz="0" w:space="0" w:color="auto"/>
      </w:divBdr>
    </w:div>
    <w:div w:id="857740789">
      <w:bodyDiv w:val="1"/>
      <w:marLeft w:val="0"/>
      <w:marRight w:val="0"/>
      <w:marTop w:val="0"/>
      <w:marBottom w:val="0"/>
      <w:divBdr>
        <w:top w:val="none" w:sz="0" w:space="0" w:color="auto"/>
        <w:left w:val="none" w:sz="0" w:space="0" w:color="auto"/>
        <w:bottom w:val="none" w:sz="0" w:space="0" w:color="auto"/>
        <w:right w:val="none" w:sz="0" w:space="0" w:color="auto"/>
      </w:divBdr>
    </w:div>
    <w:div w:id="1005401064">
      <w:bodyDiv w:val="1"/>
      <w:marLeft w:val="0"/>
      <w:marRight w:val="0"/>
      <w:marTop w:val="0"/>
      <w:marBottom w:val="0"/>
      <w:divBdr>
        <w:top w:val="none" w:sz="0" w:space="0" w:color="auto"/>
        <w:left w:val="none" w:sz="0" w:space="0" w:color="auto"/>
        <w:bottom w:val="none" w:sz="0" w:space="0" w:color="auto"/>
        <w:right w:val="none" w:sz="0" w:space="0" w:color="auto"/>
      </w:divBdr>
    </w:div>
    <w:div w:id="1372800651">
      <w:bodyDiv w:val="1"/>
      <w:marLeft w:val="0"/>
      <w:marRight w:val="0"/>
      <w:marTop w:val="0"/>
      <w:marBottom w:val="0"/>
      <w:divBdr>
        <w:top w:val="none" w:sz="0" w:space="0" w:color="auto"/>
        <w:left w:val="none" w:sz="0" w:space="0" w:color="auto"/>
        <w:bottom w:val="none" w:sz="0" w:space="0" w:color="auto"/>
        <w:right w:val="none" w:sz="0" w:space="0" w:color="auto"/>
      </w:divBdr>
    </w:div>
    <w:div w:id="1431505375">
      <w:bodyDiv w:val="1"/>
      <w:marLeft w:val="0"/>
      <w:marRight w:val="0"/>
      <w:marTop w:val="0"/>
      <w:marBottom w:val="0"/>
      <w:divBdr>
        <w:top w:val="none" w:sz="0" w:space="0" w:color="auto"/>
        <w:left w:val="none" w:sz="0" w:space="0" w:color="auto"/>
        <w:bottom w:val="none" w:sz="0" w:space="0" w:color="auto"/>
        <w:right w:val="none" w:sz="0" w:space="0" w:color="auto"/>
      </w:divBdr>
    </w:div>
    <w:div w:id="1459956435">
      <w:bodyDiv w:val="1"/>
      <w:marLeft w:val="0"/>
      <w:marRight w:val="0"/>
      <w:marTop w:val="0"/>
      <w:marBottom w:val="0"/>
      <w:divBdr>
        <w:top w:val="none" w:sz="0" w:space="0" w:color="auto"/>
        <w:left w:val="none" w:sz="0" w:space="0" w:color="auto"/>
        <w:bottom w:val="none" w:sz="0" w:space="0" w:color="auto"/>
        <w:right w:val="none" w:sz="0" w:space="0" w:color="auto"/>
      </w:divBdr>
      <w:divsChild>
        <w:div w:id="762336425">
          <w:marLeft w:val="0"/>
          <w:marRight w:val="0"/>
          <w:marTop w:val="0"/>
          <w:marBottom w:val="0"/>
          <w:divBdr>
            <w:top w:val="none" w:sz="0" w:space="0" w:color="auto"/>
            <w:left w:val="none" w:sz="0" w:space="0" w:color="auto"/>
            <w:bottom w:val="none" w:sz="0" w:space="0" w:color="auto"/>
            <w:right w:val="none" w:sz="0" w:space="0" w:color="auto"/>
          </w:divBdr>
          <w:divsChild>
            <w:div w:id="601766195">
              <w:marLeft w:val="0"/>
              <w:marRight w:val="0"/>
              <w:marTop w:val="0"/>
              <w:marBottom w:val="0"/>
              <w:divBdr>
                <w:top w:val="none" w:sz="0" w:space="0" w:color="auto"/>
                <w:left w:val="none" w:sz="0" w:space="0" w:color="auto"/>
                <w:bottom w:val="none" w:sz="0" w:space="0" w:color="auto"/>
                <w:right w:val="none" w:sz="0" w:space="0" w:color="auto"/>
              </w:divBdr>
              <w:divsChild>
                <w:div w:id="509180388">
                  <w:marLeft w:val="0"/>
                  <w:marRight w:val="0"/>
                  <w:marTop w:val="0"/>
                  <w:marBottom w:val="0"/>
                  <w:divBdr>
                    <w:top w:val="none" w:sz="0" w:space="0" w:color="auto"/>
                    <w:left w:val="none" w:sz="0" w:space="0" w:color="auto"/>
                    <w:bottom w:val="none" w:sz="0" w:space="0" w:color="auto"/>
                    <w:right w:val="none" w:sz="0" w:space="0" w:color="auto"/>
                  </w:divBdr>
                  <w:divsChild>
                    <w:div w:id="1429615718">
                      <w:marLeft w:val="0"/>
                      <w:marRight w:val="0"/>
                      <w:marTop w:val="0"/>
                      <w:marBottom w:val="0"/>
                      <w:divBdr>
                        <w:top w:val="none" w:sz="0" w:space="0" w:color="auto"/>
                        <w:left w:val="none" w:sz="0" w:space="0" w:color="auto"/>
                        <w:bottom w:val="none" w:sz="0" w:space="0" w:color="auto"/>
                        <w:right w:val="none" w:sz="0" w:space="0" w:color="auto"/>
                      </w:divBdr>
                      <w:divsChild>
                        <w:div w:id="1747342319">
                          <w:marLeft w:val="0"/>
                          <w:marRight w:val="0"/>
                          <w:marTop w:val="0"/>
                          <w:marBottom w:val="0"/>
                          <w:divBdr>
                            <w:top w:val="none" w:sz="0" w:space="0" w:color="auto"/>
                            <w:left w:val="none" w:sz="0" w:space="0" w:color="auto"/>
                            <w:bottom w:val="none" w:sz="0" w:space="0" w:color="auto"/>
                            <w:right w:val="none" w:sz="0" w:space="0" w:color="auto"/>
                          </w:divBdr>
                          <w:divsChild>
                            <w:div w:id="1544711105">
                              <w:marLeft w:val="0"/>
                              <w:marRight w:val="0"/>
                              <w:marTop w:val="0"/>
                              <w:marBottom w:val="0"/>
                              <w:divBdr>
                                <w:top w:val="none" w:sz="0" w:space="0" w:color="auto"/>
                                <w:left w:val="none" w:sz="0" w:space="0" w:color="auto"/>
                                <w:bottom w:val="none" w:sz="0" w:space="0" w:color="auto"/>
                                <w:right w:val="none" w:sz="0" w:space="0" w:color="auto"/>
                              </w:divBdr>
                              <w:divsChild>
                                <w:div w:id="683097585">
                                  <w:marLeft w:val="0"/>
                                  <w:marRight w:val="0"/>
                                  <w:marTop w:val="0"/>
                                  <w:marBottom w:val="0"/>
                                  <w:divBdr>
                                    <w:top w:val="none" w:sz="0" w:space="0" w:color="auto"/>
                                    <w:left w:val="none" w:sz="0" w:space="0" w:color="auto"/>
                                    <w:bottom w:val="none" w:sz="0" w:space="0" w:color="auto"/>
                                    <w:right w:val="none" w:sz="0" w:space="0" w:color="auto"/>
                                  </w:divBdr>
                                  <w:divsChild>
                                    <w:div w:id="156385456">
                                      <w:marLeft w:val="0"/>
                                      <w:marRight w:val="0"/>
                                      <w:marTop w:val="0"/>
                                      <w:marBottom w:val="0"/>
                                      <w:divBdr>
                                        <w:top w:val="none" w:sz="0" w:space="0" w:color="auto"/>
                                        <w:left w:val="none" w:sz="0" w:space="0" w:color="auto"/>
                                        <w:bottom w:val="none" w:sz="0" w:space="0" w:color="auto"/>
                                        <w:right w:val="none" w:sz="0" w:space="0" w:color="auto"/>
                                      </w:divBdr>
                                    </w:div>
                                    <w:div w:id="1842311756">
                                      <w:marLeft w:val="0"/>
                                      <w:marRight w:val="0"/>
                                      <w:marTop w:val="0"/>
                                      <w:marBottom w:val="0"/>
                                      <w:divBdr>
                                        <w:top w:val="none" w:sz="0" w:space="0" w:color="auto"/>
                                        <w:left w:val="none" w:sz="0" w:space="0" w:color="auto"/>
                                        <w:bottom w:val="none" w:sz="0" w:space="0" w:color="auto"/>
                                        <w:right w:val="none" w:sz="0" w:space="0" w:color="auto"/>
                                      </w:divBdr>
                                      <w:divsChild>
                                        <w:div w:id="940642534">
                                          <w:marLeft w:val="0"/>
                                          <w:marRight w:val="0"/>
                                          <w:marTop w:val="0"/>
                                          <w:marBottom w:val="0"/>
                                          <w:divBdr>
                                            <w:top w:val="none" w:sz="0" w:space="0" w:color="auto"/>
                                            <w:left w:val="none" w:sz="0" w:space="0" w:color="auto"/>
                                            <w:bottom w:val="none" w:sz="0" w:space="0" w:color="auto"/>
                                            <w:right w:val="none" w:sz="0" w:space="0" w:color="auto"/>
                                          </w:divBdr>
                                          <w:divsChild>
                                            <w:div w:id="354818695">
                                              <w:marLeft w:val="0"/>
                                              <w:marRight w:val="0"/>
                                              <w:marTop w:val="0"/>
                                              <w:marBottom w:val="0"/>
                                              <w:divBdr>
                                                <w:top w:val="none" w:sz="0" w:space="0" w:color="auto"/>
                                                <w:left w:val="none" w:sz="0" w:space="0" w:color="auto"/>
                                                <w:bottom w:val="none" w:sz="0" w:space="0" w:color="auto"/>
                                                <w:right w:val="none" w:sz="0" w:space="0" w:color="auto"/>
                                              </w:divBdr>
                                              <w:divsChild>
                                                <w:div w:id="876434515">
                                                  <w:marLeft w:val="0"/>
                                                  <w:marRight w:val="0"/>
                                                  <w:marTop w:val="0"/>
                                                  <w:marBottom w:val="0"/>
                                                  <w:divBdr>
                                                    <w:top w:val="none" w:sz="0" w:space="0" w:color="auto"/>
                                                    <w:left w:val="none" w:sz="0" w:space="0" w:color="auto"/>
                                                    <w:bottom w:val="none" w:sz="0" w:space="0" w:color="auto"/>
                                                    <w:right w:val="none" w:sz="0" w:space="0" w:color="auto"/>
                                                  </w:divBdr>
                                                  <w:divsChild>
                                                    <w:div w:id="2078043360">
                                                      <w:marLeft w:val="0"/>
                                                      <w:marRight w:val="0"/>
                                                      <w:marTop w:val="0"/>
                                                      <w:marBottom w:val="0"/>
                                                      <w:divBdr>
                                                        <w:top w:val="none" w:sz="0" w:space="0" w:color="auto"/>
                                                        <w:left w:val="none" w:sz="0" w:space="0" w:color="auto"/>
                                                        <w:bottom w:val="none" w:sz="0" w:space="0" w:color="auto"/>
                                                        <w:right w:val="none" w:sz="0" w:space="0" w:color="auto"/>
                                                      </w:divBdr>
                                                      <w:divsChild>
                                                        <w:div w:id="979921306">
                                                          <w:marLeft w:val="0"/>
                                                          <w:marRight w:val="0"/>
                                                          <w:marTop w:val="0"/>
                                                          <w:marBottom w:val="0"/>
                                                          <w:divBdr>
                                                            <w:top w:val="none" w:sz="0" w:space="0" w:color="auto"/>
                                                            <w:left w:val="none" w:sz="0" w:space="0" w:color="auto"/>
                                                            <w:bottom w:val="none" w:sz="0" w:space="0" w:color="auto"/>
                                                            <w:right w:val="none" w:sz="0" w:space="0" w:color="auto"/>
                                                          </w:divBdr>
                                                          <w:divsChild>
                                                            <w:div w:id="1531798436">
                                                              <w:marLeft w:val="0"/>
                                                              <w:marRight w:val="0"/>
                                                              <w:marTop w:val="0"/>
                                                              <w:marBottom w:val="0"/>
                                                              <w:divBdr>
                                                                <w:top w:val="none" w:sz="0" w:space="0" w:color="auto"/>
                                                                <w:left w:val="none" w:sz="0" w:space="0" w:color="auto"/>
                                                                <w:bottom w:val="none" w:sz="0" w:space="0" w:color="auto"/>
                                                                <w:right w:val="none" w:sz="0" w:space="0" w:color="auto"/>
                                                              </w:divBdr>
                                                              <w:divsChild>
                                                                <w:div w:id="1951431546">
                                                                  <w:marLeft w:val="0"/>
                                                                  <w:marRight w:val="0"/>
                                                                  <w:marTop w:val="0"/>
                                                                  <w:marBottom w:val="0"/>
                                                                  <w:divBdr>
                                                                    <w:top w:val="none" w:sz="0" w:space="0" w:color="auto"/>
                                                                    <w:left w:val="none" w:sz="0" w:space="0" w:color="auto"/>
                                                                    <w:bottom w:val="none" w:sz="0" w:space="0" w:color="auto"/>
                                                                    <w:right w:val="none" w:sz="0" w:space="0" w:color="auto"/>
                                                                  </w:divBdr>
                                                                  <w:divsChild>
                                                                    <w:div w:id="2025356658">
                                                                      <w:marLeft w:val="0"/>
                                                                      <w:marRight w:val="0"/>
                                                                      <w:marTop w:val="0"/>
                                                                      <w:marBottom w:val="0"/>
                                                                      <w:divBdr>
                                                                        <w:top w:val="none" w:sz="0" w:space="0" w:color="auto"/>
                                                                        <w:left w:val="none" w:sz="0" w:space="0" w:color="auto"/>
                                                                        <w:bottom w:val="none" w:sz="0" w:space="0" w:color="auto"/>
                                                                        <w:right w:val="none" w:sz="0" w:space="0" w:color="auto"/>
                                                                      </w:divBdr>
                                                                      <w:divsChild>
                                                                        <w:div w:id="632171405">
                                                                          <w:marLeft w:val="0"/>
                                                                          <w:marRight w:val="0"/>
                                                                          <w:marTop w:val="0"/>
                                                                          <w:marBottom w:val="0"/>
                                                                          <w:divBdr>
                                                                            <w:top w:val="none" w:sz="0" w:space="0" w:color="auto"/>
                                                                            <w:left w:val="none" w:sz="0" w:space="0" w:color="auto"/>
                                                                            <w:bottom w:val="none" w:sz="0" w:space="0" w:color="auto"/>
                                                                            <w:right w:val="none" w:sz="0" w:space="0" w:color="auto"/>
                                                                          </w:divBdr>
                                                                          <w:divsChild>
                                                                            <w:div w:id="1515149439">
                                                                              <w:marLeft w:val="0"/>
                                                                              <w:marRight w:val="0"/>
                                                                              <w:marTop w:val="0"/>
                                                                              <w:marBottom w:val="0"/>
                                                                              <w:divBdr>
                                                                                <w:top w:val="none" w:sz="0" w:space="0" w:color="auto"/>
                                                                                <w:left w:val="none" w:sz="0" w:space="0" w:color="auto"/>
                                                                                <w:bottom w:val="none" w:sz="0" w:space="0" w:color="auto"/>
                                                                                <w:right w:val="none" w:sz="0" w:space="0" w:color="auto"/>
                                                                              </w:divBdr>
                                                                              <w:divsChild>
                                                                                <w:div w:id="1740513682">
                                                                                  <w:marLeft w:val="0"/>
                                                                                  <w:marRight w:val="0"/>
                                                                                  <w:marTop w:val="0"/>
                                                                                  <w:marBottom w:val="0"/>
                                                                                  <w:divBdr>
                                                                                    <w:top w:val="none" w:sz="0" w:space="0" w:color="auto"/>
                                                                                    <w:left w:val="none" w:sz="0" w:space="0" w:color="auto"/>
                                                                                    <w:bottom w:val="none" w:sz="0" w:space="0" w:color="auto"/>
                                                                                    <w:right w:val="none" w:sz="0" w:space="0" w:color="auto"/>
                                                                                  </w:divBdr>
                                                                                  <w:divsChild>
                                                                                    <w:div w:id="1926498499">
                                                                                      <w:marLeft w:val="0"/>
                                                                                      <w:marRight w:val="0"/>
                                                                                      <w:marTop w:val="0"/>
                                                                                      <w:marBottom w:val="0"/>
                                                                                      <w:divBdr>
                                                                                        <w:top w:val="none" w:sz="0" w:space="0" w:color="auto"/>
                                                                                        <w:left w:val="none" w:sz="0" w:space="0" w:color="auto"/>
                                                                                        <w:bottom w:val="none" w:sz="0" w:space="0" w:color="auto"/>
                                                                                        <w:right w:val="none" w:sz="0" w:space="0" w:color="auto"/>
                                                                                      </w:divBdr>
                                                                                      <w:divsChild>
                                                                                        <w:div w:id="732895630">
                                                                                          <w:marLeft w:val="0"/>
                                                                                          <w:marRight w:val="0"/>
                                                                                          <w:marTop w:val="0"/>
                                                                                          <w:marBottom w:val="0"/>
                                                                                          <w:divBdr>
                                                                                            <w:top w:val="none" w:sz="0" w:space="0" w:color="auto"/>
                                                                                            <w:left w:val="none" w:sz="0" w:space="0" w:color="auto"/>
                                                                                            <w:bottom w:val="none" w:sz="0" w:space="0" w:color="auto"/>
                                                                                            <w:right w:val="none" w:sz="0" w:space="0" w:color="auto"/>
                                                                                          </w:divBdr>
                                                                                          <w:divsChild>
                                                                                            <w:div w:id="2141723777">
                                                                                              <w:marLeft w:val="0"/>
                                                                                              <w:marRight w:val="0"/>
                                                                                              <w:marTop w:val="0"/>
                                                                                              <w:marBottom w:val="0"/>
                                                                                              <w:divBdr>
                                                                                                <w:top w:val="none" w:sz="0" w:space="0" w:color="auto"/>
                                                                                                <w:left w:val="none" w:sz="0" w:space="0" w:color="auto"/>
                                                                                                <w:bottom w:val="none" w:sz="0" w:space="0" w:color="auto"/>
                                                                                                <w:right w:val="none" w:sz="0" w:space="0" w:color="auto"/>
                                                                                              </w:divBdr>
                                                                                              <w:divsChild>
                                                                                                <w:div w:id="282688013">
                                                                                                  <w:marLeft w:val="0"/>
                                                                                                  <w:marRight w:val="0"/>
                                                                                                  <w:marTop w:val="0"/>
                                                                                                  <w:marBottom w:val="0"/>
                                                                                                  <w:divBdr>
                                                                                                    <w:top w:val="none" w:sz="0" w:space="0" w:color="auto"/>
                                                                                                    <w:left w:val="none" w:sz="0" w:space="0" w:color="auto"/>
                                                                                                    <w:bottom w:val="none" w:sz="0" w:space="0" w:color="auto"/>
                                                                                                    <w:right w:val="none" w:sz="0" w:space="0" w:color="auto"/>
                                                                                                  </w:divBdr>
                                                                                                  <w:divsChild>
                                                                                                    <w:div w:id="1210385196">
                                                                                                      <w:marLeft w:val="0"/>
                                                                                                      <w:marRight w:val="0"/>
                                                                                                      <w:marTop w:val="0"/>
                                                                                                      <w:marBottom w:val="0"/>
                                                                                                      <w:divBdr>
                                                                                                        <w:top w:val="none" w:sz="0" w:space="0" w:color="auto"/>
                                                                                                        <w:left w:val="none" w:sz="0" w:space="0" w:color="auto"/>
                                                                                                        <w:bottom w:val="none" w:sz="0" w:space="0" w:color="auto"/>
                                                                                                        <w:right w:val="none" w:sz="0" w:space="0" w:color="auto"/>
                                                                                                      </w:divBdr>
                                                                                                      <w:divsChild>
                                                                                                        <w:div w:id="54163757">
                                                                                                          <w:marLeft w:val="0"/>
                                                                                                          <w:marRight w:val="0"/>
                                                                                                          <w:marTop w:val="0"/>
                                                                                                          <w:marBottom w:val="0"/>
                                                                                                          <w:divBdr>
                                                                                                            <w:top w:val="none" w:sz="0" w:space="0" w:color="auto"/>
                                                                                                            <w:left w:val="none" w:sz="0" w:space="0" w:color="auto"/>
                                                                                                            <w:bottom w:val="none" w:sz="0" w:space="0" w:color="auto"/>
                                                                                                            <w:right w:val="none" w:sz="0" w:space="0" w:color="auto"/>
                                                                                                          </w:divBdr>
                                                                                                          <w:divsChild>
                                                                                                            <w:div w:id="503210566">
                                                                                                              <w:marLeft w:val="0"/>
                                                                                                              <w:marRight w:val="0"/>
                                                                                                              <w:marTop w:val="0"/>
                                                                                                              <w:marBottom w:val="0"/>
                                                                                                              <w:divBdr>
                                                                                                                <w:top w:val="none" w:sz="0" w:space="0" w:color="auto"/>
                                                                                                                <w:left w:val="none" w:sz="0" w:space="0" w:color="auto"/>
                                                                                                                <w:bottom w:val="none" w:sz="0" w:space="0" w:color="auto"/>
                                                                                                                <w:right w:val="none" w:sz="0" w:space="0" w:color="auto"/>
                                                                                                              </w:divBdr>
                                                                                                              <w:divsChild>
                                                                                                                <w:div w:id="352341041">
                                                                                                                  <w:marLeft w:val="0"/>
                                                                                                                  <w:marRight w:val="0"/>
                                                                                                                  <w:marTop w:val="0"/>
                                                                                                                  <w:marBottom w:val="0"/>
                                                                                                                  <w:divBdr>
                                                                                                                    <w:top w:val="none" w:sz="0" w:space="0" w:color="auto"/>
                                                                                                                    <w:left w:val="none" w:sz="0" w:space="0" w:color="auto"/>
                                                                                                                    <w:bottom w:val="none" w:sz="0" w:space="0" w:color="auto"/>
                                                                                                                    <w:right w:val="none" w:sz="0" w:space="0" w:color="auto"/>
                                                                                                                  </w:divBdr>
                                                                                                                  <w:divsChild>
                                                                                                                    <w:div w:id="1348211864">
                                                                                                                      <w:marLeft w:val="0"/>
                                                                                                                      <w:marRight w:val="0"/>
                                                                                                                      <w:marTop w:val="0"/>
                                                                                                                      <w:marBottom w:val="0"/>
                                                                                                                      <w:divBdr>
                                                                                                                        <w:top w:val="none" w:sz="0" w:space="0" w:color="auto"/>
                                                                                                                        <w:left w:val="none" w:sz="0" w:space="0" w:color="auto"/>
                                                                                                                        <w:bottom w:val="none" w:sz="0" w:space="0" w:color="auto"/>
                                                                                                                        <w:right w:val="none" w:sz="0" w:space="0" w:color="auto"/>
                                                                                                                      </w:divBdr>
                                                                                                                      <w:divsChild>
                                                                                                                        <w:div w:id="1557740606">
                                                                                                                          <w:marLeft w:val="0"/>
                                                                                                                          <w:marRight w:val="0"/>
                                                                                                                          <w:marTop w:val="0"/>
                                                                                                                          <w:marBottom w:val="0"/>
                                                                                                                          <w:divBdr>
                                                                                                                            <w:top w:val="none" w:sz="0" w:space="0" w:color="auto"/>
                                                                                                                            <w:left w:val="none" w:sz="0" w:space="0" w:color="auto"/>
                                                                                                                            <w:bottom w:val="none" w:sz="0" w:space="0" w:color="auto"/>
                                                                                                                            <w:right w:val="none" w:sz="0" w:space="0" w:color="auto"/>
                                                                                                                          </w:divBdr>
                                                                                                                          <w:divsChild>
                                                                                                                            <w:div w:id="1912815234">
                                                                                                                              <w:marLeft w:val="0"/>
                                                                                                                              <w:marRight w:val="0"/>
                                                                                                                              <w:marTop w:val="0"/>
                                                                                                                              <w:marBottom w:val="0"/>
                                                                                                                              <w:divBdr>
                                                                                                                                <w:top w:val="none" w:sz="0" w:space="0" w:color="auto"/>
                                                                                                                                <w:left w:val="none" w:sz="0" w:space="0" w:color="auto"/>
                                                                                                                                <w:bottom w:val="none" w:sz="0" w:space="0" w:color="auto"/>
                                                                                                                                <w:right w:val="none" w:sz="0" w:space="0" w:color="auto"/>
                                                                                                                              </w:divBdr>
                                                                                                                              <w:divsChild>
                                                                                                                                <w:div w:id="1750079461">
                                                                                                                                  <w:marLeft w:val="0"/>
                                                                                                                                  <w:marRight w:val="0"/>
                                                                                                                                  <w:marTop w:val="0"/>
                                                                                                                                  <w:marBottom w:val="0"/>
                                                                                                                                  <w:divBdr>
                                                                                                                                    <w:top w:val="none" w:sz="0" w:space="0" w:color="auto"/>
                                                                                                                                    <w:left w:val="none" w:sz="0" w:space="0" w:color="auto"/>
                                                                                                                                    <w:bottom w:val="none" w:sz="0" w:space="0" w:color="auto"/>
                                                                                                                                    <w:right w:val="none" w:sz="0" w:space="0" w:color="auto"/>
                                                                                                                                  </w:divBdr>
                                                                                                                                  <w:divsChild>
                                                                                                                                    <w:div w:id="1276399228">
                                                                                                                                      <w:marLeft w:val="0"/>
                                                                                                                                      <w:marRight w:val="0"/>
                                                                                                                                      <w:marTop w:val="0"/>
                                                                                                                                      <w:marBottom w:val="0"/>
                                                                                                                                      <w:divBdr>
                                                                                                                                        <w:top w:val="none" w:sz="0" w:space="0" w:color="auto"/>
                                                                                                                                        <w:left w:val="none" w:sz="0" w:space="0" w:color="auto"/>
                                                                                                                                        <w:bottom w:val="none" w:sz="0" w:space="0" w:color="auto"/>
                                                                                                                                        <w:right w:val="none" w:sz="0" w:space="0" w:color="auto"/>
                                                                                                                                      </w:divBdr>
                                                                                                                                      <w:divsChild>
                                                                                                                                        <w:div w:id="101000336">
                                                                                                                                          <w:marLeft w:val="0"/>
                                                                                                                                          <w:marRight w:val="0"/>
                                                                                                                                          <w:marTop w:val="0"/>
                                                                                                                                          <w:marBottom w:val="0"/>
                                                                                                                                          <w:divBdr>
                                                                                                                                            <w:top w:val="none" w:sz="0" w:space="0" w:color="auto"/>
                                                                                                                                            <w:left w:val="none" w:sz="0" w:space="0" w:color="auto"/>
                                                                                                                                            <w:bottom w:val="none" w:sz="0" w:space="0" w:color="auto"/>
                                                                                                                                            <w:right w:val="none" w:sz="0" w:space="0" w:color="auto"/>
                                                                                                                                          </w:divBdr>
                                                                                                                                          <w:divsChild>
                                                                                                                                            <w:div w:id="405300507">
                                                                                                                                              <w:marLeft w:val="0"/>
                                                                                                                                              <w:marRight w:val="0"/>
                                                                                                                                              <w:marTop w:val="0"/>
                                                                                                                                              <w:marBottom w:val="0"/>
                                                                                                                                              <w:divBdr>
                                                                                                                                                <w:top w:val="none" w:sz="0" w:space="0" w:color="auto"/>
                                                                                                                                                <w:left w:val="none" w:sz="0" w:space="0" w:color="auto"/>
                                                                                                                                                <w:bottom w:val="none" w:sz="0" w:space="0" w:color="auto"/>
                                                                                                                                                <w:right w:val="none" w:sz="0" w:space="0" w:color="auto"/>
                                                                                                                                              </w:divBdr>
                                                                                                                                              <w:divsChild>
                                                                                                                                                <w:div w:id="1982299753">
                                                                                                                                                  <w:marLeft w:val="0"/>
                                                                                                                                                  <w:marRight w:val="0"/>
                                                                                                                                                  <w:marTop w:val="0"/>
                                                                                                                                                  <w:marBottom w:val="0"/>
                                                                                                                                                  <w:divBdr>
                                                                                                                                                    <w:top w:val="none" w:sz="0" w:space="0" w:color="auto"/>
                                                                                                                                                    <w:left w:val="none" w:sz="0" w:space="0" w:color="auto"/>
                                                                                                                                                    <w:bottom w:val="none" w:sz="0" w:space="0" w:color="auto"/>
                                                                                                                                                    <w:right w:val="none" w:sz="0" w:space="0" w:color="auto"/>
                                                                                                                                                  </w:divBdr>
                                                                                                                                                  <w:divsChild>
                                                                                                                                                    <w:div w:id="1570381148">
                                                                                                                                                      <w:marLeft w:val="0"/>
                                                                                                                                                      <w:marRight w:val="0"/>
                                                                                                                                                      <w:marTop w:val="0"/>
                                                                                                                                                      <w:marBottom w:val="0"/>
                                                                                                                                                      <w:divBdr>
                                                                                                                                                        <w:top w:val="none" w:sz="0" w:space="0" w:color="auto"/>
                                                                                                                                                        <w:left w:val="none" w:sz="0" w:space="0" w:color="auto"/>
                                                                                                                                                        <w:bottom w:val="none" w:sz="0" w:space="0" w:color="auto"/>
                                                                                                                                                        <w:right w:val="none" w:sz="0" w:space="0" w:color="auto"/>
                                                                                                                                                      </w:divBdr>
                                                                                                                                                      <w:divsChild>
                                                                                                                                                        <w:div w:id="387268948">
                                                                                                                                                          <w:marLeft w:val="0"/>
                                                                                                                                                          <w:marRight w:val="0"/>
                                                                                                                                                          <w:marTop w:val="0"/>
                                                                                                                                                          <w:marBottom w:val="0"/>
                                                                                                                                                          <w:divBdr>
                                                                                                                                                            <w:top w:val="none" w:sz="0" w:space="0" w:color="auto"/>
                                                                                                                                                            <w:left w:val="none" w:sz="0" w:space="0" w:color="auto"/>
                                                                                                                                                            <w:bottom w:val="none" w:sz="0" w:space="0" w:color="auto"/>
                                                                                                                                                            <w:right w:val="none" w:sz="0" w:space="0" w:color="auto"/>
                                                                                                                                                          </w:divBdr>
                                                                                                                                                          <w:divsChild>
                                                                                                                                                            <w:div w:id="198665524">
                                                                                                                                                              <w:marLeft w:val="0"/>
                                                                                                                                                              <w:marRight w:val="0"/>
                                                                                                                                                              <w:marTop w:val="0"/>
                                                                                                                                                              <w:marBottom w:val="0"/>
                                                                                                                                                              <w:divBdr>
                                                                                                                                                                <w:top w:val="none" w:sz="0" w:space="0" w:color="auto"/>
                                                                                                                                                                <w:left w:val="none" w:sz="0" w:space="0" w:color="auto"/>
                                                                                                                                                                <w:bottom w:val="none" w:sz="0" w:space="0" w:color="auto"/>
                                                                                                                                                                <w:right w:val="none" w:sz="0" w:space="0" w:color="auto"/>
                                                                                                                                                              </w:divBdr>
                                                                                                                                                              <w:divsChild>
                                                                                                                                                                <w:div w:id="5597277">
                                                                                                                                                                  <w:marLeft w:val="0"/>
                                                                                                                                                                  <w:marRight w:val="0"/>
                                                                                                                                                                  <w:marTop w:val="0"/>
                                                                                                                                                                  <w:marBottom w:val="0"/>
                                                                                                                                                                  <w:divBdr>
                                                                                                                                                                    <w:top w:val="none" w:sz="0" w:space="0" w:color="auto"/>
                                                                                                                                                                    <w:left w:val="none" w:sz="0" w:space="0" w:color="auto"/>
                                                                                                                                                                    <w:bottom w:val="none" w:sz="0" w:space="0" w:color="auto"/>
                                                                                                                                                                    <w:right w:val="none" w:sz="0" w:space="0" w:color="auto"/>
                                                                                                                                                                  </w:divBdr>
                                                                                                                                                                  <w:divsChild>
                                                                                                                                                                    <w:div w:id="626160033">
                                                                                                                                                                      <w:marLeft w:val="0"/>
                                                                                                                                                                      <w:marRight w:val="0"/>
                                                                                                                                                                      <w:marTop w:val="0"/>
                                                                                                                                                                      <w:marBottom w:val="0"/>
                                                                                                                                                                      <w:divBdr>
                                                                                                                                                                        <w:top w:val="none" w:sz="0" w:space="0" w:color="auto"/>
                                                                                                                                                                        <w:left w:val="none" w:sz="0" w:space="0" w:color="auto"/>
                                                                                                                                                                        <w:bottom w:val="none" w:sz="0" w:space="0" w:color="auto"/>
                                                                                                                                                                        <w:right w:val="none" w:sz="0" w:space="0" w:color="auto"/>
                                                                                                                                                                      </w:divBdr>
                                                                                                                                                                      <w:divsChild>
                                                                                                                                                                        <w:div w:id="1213350402">
                                                                                                                                                                          <w:marLeft w:val="0"/>
                                                                                                                                                                          <w:marRight w:val="0"/>
                                                                                                                                                                          <w:marTop w:val="0"/>
                                                                                                                                                                          <w:marBottom w:val="0"/>
                                                                                                                                                                          <w:divBdr>
                                                                                                                                                                            <w:top w:val="none" w:sz="0" w:space="0" w:color="auto"/>
                                                                                                                                                                            <w:left w:val="none" w:sz="0" w:space="0" w:color="auto"/>
                                                                                                                                                                            <w:bottom w:val="none" w:sz="0" w:space="0" w:color="auto"/>
                                                                                                                                                                            <w:right w:val="none" w:sz="0" w:space="0" w:color="auto"/>
                                                                                                                                                                          </w:divBdr>
                                                                                                                                                                          <w:divsChild>
                                                                                                                                                                            <w:div w:id="262343428">
                                                                                                                                                                              <w:marLeft w:val="0"/>
                                                                                                                                                                              <w:marRight w:val="0"/>
                                                                                                                                                                              <w:marTop w:val="0"/>
                                                                                                                                                                              <w:marBottom w:val="0"/>
                                                                                                                                                                              <w:divBdr>
                                                                                                                                                                                <w:top w:val="none" w:sz="0" w:space="0" w:color="auto"/>
                                                                                                                                                                                <w:left w:val="none" w:sz="0" w:space="0" w:color="auto"/>
                                                                                                                                                                                <w:bottom w:val="none" w:sz="0" w:space="0" w:color="auto"/>
                                                                                                                                                                                <w:right w:val="none" w:sz="0" w:space="0" w:color="auto"/>
                                                                                                                                                                              </w:divBdr>
                                                                                                                                                                              <w:divsChild>
                                                                                                                                                                                <w:div w:id="115374909">
                                                                                                                                                                                  <w:marLeft w:val="0"/>
                                                                                                                                                                                  <w:marRight w:val="0"/>
                                                                                                                                                                                  <w:marTop w:val="0"/>
                                                                                                                                                                                  <w:marBottom w:val="0"/>
                                                                                                                                                                                  <w:divBdr>
                                                                                                                                                                                    <w:top w:val="none" w:sz="0" w:space="0" w:color="auto"/>
                                                                                                                                                                                    <w:left w:val="none" w:sz="0" w:space="0" w:color="auto"/>
                                                                                                                                                                                    <w:bottom w:val="none" w:sz="0" w:space="0" w:color="auto"/>
                                                                                                                                                                                    <w:right w:val="none" w:sz="0" w:space="0" w:color="auto"/>
                                                                                                                                                                                  </w:divBdr>
                                                                                                                                                                                  <w:divsChild>
                                                                                                                                                                                    <w:div w:id="1729499363">
                                                                                                                                                                                      <w:marLeft w:val="0"/>
                                                                                                                                                                                      <w:marRight w:val="0"/>
                                                                                                                                                                                      <w:marTop w:val="0"/>
                                                                                                                                                                                      <w:marBottom w:val="0"/>
                                                                                                                                                                                      <w:divBdr>
                                                                                                                                                                                        <w:top w:val="none" w:sz="0" w:space="0" w:color="auto"/>
                                                                                                                                                                                        <w:left w:val="none" w:sz="0" w:space="0" w:color="auto"/>
                                                                                                                                                                                        <w:bottom w:val="none" w:sz="0" w:space="0" w:color="auto"/>
                                                                                                                                                                                        <w:right w:val="none" w:sz="0" w:space="0" w:color="auto"/>
                                                                                                                                                                                      </w:divBdr>
                                                                                                                                                                                      <w:divsChild>
                                                                                                                                                                                        <w:div w:id="1029067004">
                                                                                                                                                                                          <w:marLeft w:val="0"/>
                                                                                                                                                                                          <w:marRight w:val="0"/>
                                                                                                                                                                                          <w:marTop w:val="0"/>
                                                                                                                                                                                          <w:marBottom w:val="0"/>
                                                                                                                                                                                          <w:divBdr>
                                                                                                                                                                                            <w:top w:val="none" w:sz="0" w:space="0" w:color="auto"/>
                                                                                                                                                                                            <w:left w:val="none" w:sz="0" w:space="0" w:color="auto"/>
                                                                                                                                                                                            <w:bottom w:val="none" w:sz="0" w:space="0" w:color="auto"/>
                                                                                                                                                                                            <w:right w:val="none" w:sz="0" w:space="0" w:color="auto"/>
                                                                                                                                                                                          </w:divBdr>
                                                                                                                                                                                          <w:divsChild>
                                                                                                                                                                                            <w:div w:id="1909723800">
                                                                                                                                                                                              <w:marLeft w:val="0"/>
                                                                                                                                                                                              <w:marRight w:val="0"/>
                                                                                                                                                                                              <w:marTop w:val="0"/>
                                                                                                                                                                                              <w:marBottom w:val="0"/>
                                                                                                                                                                                              <w:divBdr>
                                                                                                                                                                                                <w:top w:val="none" w:sz="0" w:space="0" w:color="auto"/>
                                                                                                                                                                                                <w:left w:val="none" w:sz="0" w:space="0" w:color="auto"/>
                                                                                                                                                                                                <w:bottom w:val="none" w:sz="0" w:space="0" w:color="auto"/>
                                                                                                                                                                                                <w:right w:val="none" w:sz="0" w:space="0" w:color="auto"/>
                                                                                                                                                                                              </w:divBdr>
                                                                                                                                                                                              <w:divsChild>
                                                                                                                                                                                                <w:div w:id="492380391">
                                                                                                                                                                                                  <w:marLeft w:val="0"/>
                                                                                                                                                                                                  <w:marRight w:val="0"/>
                                                                                                                                                                                                  <w:marTop w:val="0"/>
                                                                                                                                                                                                  <w:marBottom w:val="0"/>
                                                                                                                                                                                                  <w:divBdr>
                                                                                                                                                                                                    <w:top w:val="none" w:sz="0" w:space="0" w:color="auto"/>
                                                                                                                                                                                                    <w:left w:val="none" w:sz="0" w:space="0" w:color="auto"/>
                                                                                                                                                                                                    <w:bottom w:val="none" w:sz="0" w:space="0" w:color="auto"/>
                                                                                                                                                                                                    <w:right w:val="none" w:sz="0" w:space="0" w:color="auto"/>
                                                                                                                                                                                                  </w:divBdr>
                                                                                                                                                                                                  <w:divsChild>
                                                                                                                                                                                                    <w:div w:id="1126386841">
                                                                                                                                                                                                      <w:marLeft w:val="0"/>
                                                                                                                                                                                                      <w:marRight w:val="0"/>
                                                                                                                                                                                                      <w:marTop w:val="0"/>
                                                                                                                                                                                                      <w:marBottom w:val="0"/>
                                                                                                                                                                                                      <w:divBdr>
                                                                                                                                                                                                        <w:top w:val="none" w:sz="0" w:space="0" w:color="auto"/>
                                                                                                                                                                                                        <w:left w:val="none" w:sz="0" w:space="0" w:color="auto"/>
                                                                                                                                                                                                        <w:bottom w:val="none" w:sz="0" w:space="0" w:color="auto"/>
                                                                                                                                                                                                        <w:right w:val="none" w:sz="0" w:space="0" w:color="auto"/>
                                                                                                                                                                                                      </w:divBdr>
                                                                                                                                                                                                      <w:divsChild>
                                                                                                                                                                                                        <w:div w:id="940603614">
                                                                                                                                                                                                          <w:marLeft w:val="0"/>
                                                                                                                                                                                                          <w:marRight w:val="0"/>
                                                                                                                                                                                                          <w:marTop w:val="0"/>
                                                                                                                                                                                                          <w:marBottom w:val="0"/>
                                                                                                                                                                                                          <w:divBdr>
                                                                                                                                                                                                            <w:top w:val="none" w:sz="0" w:space="0" w:color="auto"/>
                                                                                                                                                                                                            <w:left w:val="none" w:sz="0" w:space="0" w:color="auto"/>
                                                                                                                                                                                                            <w:bottom w:val="none" w:sz="0" w:space="0" w:color="auto"/>
                                                                                                                                                                                                            <w:right w:val="none" w:sz="0" w:space="0" w:color="auto"/>
                                                                                                                                                                                                          </w:divBdr>
                                                                                                                                                                                                          <w:divsChild>
                                                                                                                                                                                                            <w:div w:id="43069752">
                                                                                                                                                                                                              <w:marLeft w:val="0"/>
                                                                                                                                                                                                              <w:marRight w:val="0"/>
                                                                                                                                                                                                              <w:marTop w:val="0"/>
                                                                                                                                                                                                              <w:marBottom w:val="0"/>
                                                                                                                                                                                                              <w:divBdr>
                                                                                                                                                                                                                <w:top w:val="none" w:sz="0" w:space="0" w:color="auto"/>
                                                                                                                                                                                                                <w:left w:val="none" w:sz="0" w:space="0" w:color="auto"/>
                                                                                                                                                                                                                <w:bottom w:val="none" w:sz="0" w:space="0" w:color="auto"/>
                                                                                                                                                                                                                <w:right w:val="none" w:sz="0" w:space="0" w:color="auto"/>
                                                                                                                                                                                                              </w:divBdr>
                                                                                                                                                                                                              <w:divsChild>
                                                                                                                                                                                                                <w:div w:id="1381051842">
                                                                                                                                                                                                                  <w:marLeft w:val="0"/>
                                                                                                                                                                                                                  <w:marRight w:val="0"/>
                                                                                                                                                                                                                  <w:marTop w:val="0"/>
                                                                                                                                                                                                                  <w:marBottom w:val="0"/>
                                                                                                                                                                                                                  <w:divBdr>
                                                                                                                                                                                                                    <w:top w:val="none" w:sz="0" w:space="0" w:color="auto"/>
                                                                                                                                                                                                                    <w:left w:val="none" w:sz="0" w:space="0" w:color="auto"/>
                                                                                                                                                                                                                    <w:bottom w:val="none" w:sz="0" w:space="0" w:color="auto"/>
                                                                                                                                                                                                                    <w:right w:val="none" w:sz="0" w:space="0" w:color="auto"/>
                                                                                                                                                                                                                  </w:divBdr>
                                                                                                                                                                                                                  <w:divsChild>
                                                                                                                                                                                                                    <w:div w:id="16752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5398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tools.genomes.nl/123sv.html"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ye@genome.wustl.edu" TargetMode="External"/><Relationship Id="rId10" Type="http://schemas.openxmlformats.org/officeDocument/2006/relationships/hyperlink" Target="mailto:v.guryev@umcg.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AF18C-AF91-4D4A-B56A-87E95D9B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20</Pages>
  <Words>30898</Words>
  <Characters>163763</Characters>
  <Application>Microsoft Macintosh Word</Application>
  <DocSecurity>0</DocSecurity>
  <Lines>2729</Lines>
  <Paragraphs>718</Paragraphs>
  <ScaleCrop>false</ScaleCrop>
  <Company>UMCU</Company>
  <LinksUpToDate>false</LinksUpToDate>
  <CharactersWithSpaces>193943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Wigard Kloosterman</dc:creator>
  <cp:keywords/>
  <dc:description/>
  <cp:lastModifiedBy>Victor Guryev</cp:lastModifiedBy>
  <cp:revision>41</cp:revision>
  <cp:lastPrinted>2015-03-31T09:45:00Z</cp:lastPrinted>
  <dcterms:created xsi:type="dcterms:W3CDTF">2015-03-28T20:05:00Z</dcterms:created>
  <dcterms:modified xsi:type="dcterms:W3CDTF">2015-03-31T10:25:00Z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id="http://www.zotero.org/styles/nature"/&gt;&lt;format class="21"/&gt;&lt;count citations="18" publications="16"/&gt;&lt;/info&gt;PAPERS2_INFO_END</vt:lpwstr>
  </property>
  <property fmtid="{D5CDD505-2E9C-101B-9397-08002B2CF9AE}" pid="3" name="Mendeley Document_1">
    <vt:lpwstr>True</vt:lpwstr>
  </property>
  <property fmtid="{D5CDD505-2E9C-101B-9397-08002B2CF9AE}" pid="4" name="Mendeley User Name_1">
    <vt:lpwstr>laurent.francioli@gmail.com@www.mendeley.com</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http://www.zotero.org/styles/genome-research</vt:lpwstr>
  </property>
  <property fmtid="{D5CDD505-2E9C-101B-9397-08002B2CF9AE}" pid="14" name="Mendeley Recent Style Name 4_1">
    <vt:lpwstr>Genome Research</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http://www.zotero.org/styles/nature-genetics</vt:lpwstr>
  </property>
  <property fmtid="{D5CDD505-2E9C-101B-9397-08002B2CF9AE}" pid="20" name="Mendeley Recent Style Name 7_1">
    <vt:lpwstr>Nature Genetics</vt:lpwstr>
  </property>
  <property fmtid="{D5CDD505-2E9C-101B-9397-08002B2CF9AE}" pid="21" name="Mendeley Recent Style Id 8_1">
    <vt:lpwstr>http://www.zotero.org/styles/science</vt:lpwstr>
  </property>
  <property fmtid="{D5CDD505-2E9C-101B-9397-08002B2CF9AE}" pid="22" name="Mendeley Recent Style Name 8_1">
    <vt:lpwstr>Science</vt:lpwstr>
  </property>
  <property fmtid="{D5CDD505-2E9C-101B-9397-08002B2CF9AE}" pid="23" name="Mendeley Recent Style Id 9_1">
    <vt:lpwstr>http://www.zotero.org/styles/science-without-titles</vt:lpwstr>
  </property>
  <property fmtid="{D5CDD505-2E9C-101B-9397-08002B2CF9AE}" pid="24" name="Mendeley Recent Style Name 9_1">
    <vt:lpwstr>Science (without titles)</vt:lpwstr>
  </property>
  <property fmtid="{D5CDD505-2E9C-101B-9397-08002B2CF9AE}" pid="25" name="Mendeley Citation Style_1">
    <vt:lpwstr>http://www.zotero.org/styles/genome-research</vt:lpwstr>
  </property>
</Properties>
</file>