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A0" w:rsidRPr="007D62A0" w:rsidRDefault="007D62A0" w:rsidP="007D62A0">
      <w:pPr>
        <w:spacing w:line="480" w:lineRule="auto"/>
        <w:jc w:val="center"/>
        <w:rPr>
          <w:b/>
          <w:sz w:val="28"/>
        </w:rPr>
      </w:pPr>
      <w:r w:rsidRPr="007D62A0">
        <w:rPr>
          <w:b/>
          <w:sz w:val="28"/>
        </w:rPr>
        <w:t>Legends for Supplemental Tables and Figures</w:t>
      </w:r>
    </w:p>
    <w:p w:rsidR="007D62A0" w:rsidRDefault="007D62A0" w:rsidP="007D62A0">
      <w:pPr>
        <w:spacing w:line="360" w:lineRule="auto"/>
        <w:rPr>
          <w:b/>
        </w:rPr>
      </w:pPr>
    </w:p>
    <w:p w:rsidR="007D62A0" w:rsidRPr="00FD16B0" w:rsidRDefault="007D62A0" w:rsidP="007D62A0">
      <w:pPr>
        <w:spacing w:line="360" w:lineRule="auto"/>
        <w:rPr>
          <w:b/>
        </w:rPr>
      </w:pPr>
      <w:r w:rsidRPr="00FD16B0">
        <w:rPr>
          <w:b/>
        </w:rPr>
        <w:t xml:space="preserve">A large-scale, </w:t>
      </w:r>
      <w:r w:rsidRPr="00FD16B0">
        <w:rPr>
          <w:b/>
          <w:i/>
        </w:rPr>
        <w:t>in vivo</w:t>
      </w:r>
      <w:r w:rsidRPr="00FD16B0">
        <w:rPr>
          <w:b/>
        </w:rPr>
        <w:t xml:space="preserve"> transcription factor screen defines bivalent chromatin as a key property of regulatory factors mediating </w:t>
      </w:r>
      <w:r w:rsidRPr="00FD16B0">
        <w:rPr>
          <w:b/>
          <w:i/>
        </w:rPr>
        <w:t>Drosophila</w:t>
      </w:r>
      <w:r w:rsidRPr="00FD16B0">
        <w:rPr>
          <w:b/>
        </w:rPr>
        <w:t xml:space="preserve"> wing development</w:t>
      </w:r>
    </w:p>
    <w:p w:rsidR="007D62A0" w:rsidRPr="00FD16B0" w:rsidRDefault="007D62A0" w:rsidP="007D62A0">
      <w:pPr>
        <w:spacing w:line="360" w:lineRule="auto"/>
        <w:rPr>
          <w:b/>
        </w:rPr>
      </w:pPr>
    </w:p>
    <w:p w:rsidR="007D62A0" w:rsidRDefault="007D62A0" w:rsidP="007D62A0">
      <w:pPr>
        <w:spacing w:line="360" w:lineRule="auto"/>
        <w:rPr>
          <w:vertAlign w:val="superscript"/>
        </w:rPr>
      </w:pPr>
      <w:r w:rsidRPr="00FD16B0">
        <w:t>Claus Schertel</w:t>
      </w:r>
      <w:r w:rsidRPr="00FD16B0">
        <w:rPr>
          <w:vertAlign w:val="superscript"/>
        </w:rPr>
        <w:t>1,*</w:t>
      </w:r>
      <w:r w:rsidRPr="00FD16B0">
        <w:rPr>
          <w:b/>
        </w:rPr>
        <w:t xml:space="preserve">, </w:t>
      </w:r>
      <w:r w:rsidRPr="00FD16B0">
        <w:t>Monica Albarca</w:t>
      </w:r>
      <w:r w:rsidRPr="00FD16B0">
        <w:rPr>
          <w:vertAlign w:val="superscript"/>
        </w:rPr>
        <w:t>2,*</w:t>
      </w:r>
      <w:r w:rsidRPr="00FD16B0">
        <w:rPr>
          <w:b/>
        </w:rPr>
        <w:t xml:space="preserve">, </w:t>
      </w:r>
      <w:r w:rsidRPr="00FD16B0">
        <w:t>Claudia Rockel-Bauer</w:t>
      </w:r>
      <w:r w:rsidRPr="00FD16B0">
        <w:rPr>
          <w:vertAlign w:val="superscript"/>
        </w:rPr>
        <w:t>1</w:t>
      </w:r>
      <w:r w:rsidRPr="00FD16B0">
        <w:rPr>
          <w:lang w:val="es-ES"/>
        </w:rPr>
        <w:t>, Nicholas W. Kelley</w:t>
      </w:r>
      <w:r w:rsidRPr="00FD16B0">
        <w:rPr>
          <w:vertAlign w:val="superscript"/>
          <w:lang w:val="es-ES"/>
        </w:rPr>
        <w:t>3</w:t>
      </w:r>
      <w:r w:rsidRPr="00FD16B0">
        <w:rPr>
          <w:lang w:val="es-ES"/>
        </w:rPr>
        <w:t xml:space="preserve">, </w:t>
      </w:r>
      <w:r w:rsidRPr="00FD16B0">
        <w:t>Johannes Bischof</w:t>
      </w:r>
      <w:r w:rsidRPr="00FD16B0">
        <w:rPr>
          <w:vertAlign w:val="superscript"/>
        </w:rPr>
        <w:t>1</w:t>
      </w:r>
      <w:r w:rsidRPr="00FD16B0">
        <w:t>, Korneel Hens</w:t>
      </w:r>
      <w:r w:rsidRPr="00FD16B0">
        <w:rPr>
          <w:vertAlign w:val="superscript"/>
        </w:rPr>
        <w:t>2, 4</w:t>
      </w:r>
      <w:r w:rsidRPr="00FD16B0">
        <w:rPr>
          <w:lang w:val="es-ES"/>
        </w:rPr>
        <w:t>, Erik van Nimwegen</w:t>
      </w:r>
      <w:r w:rsidRPr="00FD16B0">
        <w:rPr>
          <w:vertAlign w:val="superscript"/>
          <w:lang w:val="es-ES"/>
        </w:rPr>
        <w:t>3</w:t>
      </w:r>
      <w:r w:rsidRPr="00FD16B0">
        <w:rPr>
          <w:vertAlign w:val="superscript"/>
        </w:rPr>
        <w:t>,**</w:t>
      </w:r>
      <w:r w:rsidRPr="00FD16B0">
        <w:t>, Konrad Basler</w:t>
      </w:r>
      <w:r w:rsidRPr="00FD16B0">
        <w:rPr>
          <w:vertAlign w:val="superscript"/>
        </w:rPr>
        <w:t>1,**</w:t>
      </w:r>
      <w:r w:rsidRPr="00FD16B0">
        <w:t>, Bart Deplancke</w:t>
      </w:r>
      <w:r w:rsidRPr="00FD16B0">
        <w:rPr>
          <w:vertAlign w:val="superscript"/>
        </w:rPr>
        <w:t>2,**</w:t>
      </w:r>
    </w:p>
    <w:p w:rsidR="007D62A0" w:rsidRPr="00FD16B0" w:rsidRDefault="007D62A0" w:rsidP="007D62A0">
      <w:pPr>
        <w:spacing w:line="360" w:lineRule="auto"/>
        <w:rPr>
          <w:vertAlign w:val="superscript"/>
        </w:rPr>
      </w:pPr>
    </w:p>
    <w:p w:rsidR="007D62A0" w:rsidRPr="00FD16B0" w:rsidRDefault="007D62A0" w:rsidP="007D62A0">
      <w:pPr>
        <w:spacing w:line="360" w:lineRule="auto"/>
        <w:rPr>
          <w:lang w:val="es-ES"/>
        </w:rPr>
      </w:pPr>
      <w:r w:rsidRPr="00FD16B0">
        <w:rPr>
          <w:lang w:val="es-ES"/>
        </w:rPr>
        <w:t>*equal contribution</w:t>
      </w:r>
    </w:p>
    <w:p w:rsidR="007D62A0" w:rsidRPr="00FD16B0" w:rsidRDefault="007D62A0" w:rsidP="007D62A0">
      <w:pPr>
        <w:spacing w:line="360" w:lineRule="auto"/>
        <w:rPr>
          <w:lang w:val="es-ES"/>
        </w:rPr>
      </w:pPr>
      <w:r w:rsidRPr="00FD16B0">
        <w:rPr>
          <w:lang w:val="es-ES"/>
        </w:rPr>
        <w:t>**corresponding authors</w:t>
      </w:r>
    </w:p>
    <w:p w:rsidR="007D62A0" w:rsidRPr="00FD16B0" w:rsidRDefault="007D62A0" w:rsidP="007D62A0">
      <w:pPr>
        <w:spacing w:line="360" w:lineRule="auto"/>
        <w:rPr>
          <w:lang w:val="es-ES"/>
        </w:rPr>
      </w:pPr>
    </w:p>
    <w:p w:rsidR="007D62A0" w:rsidRPr="00FD16B0" w:rsidRDefault="007D62A0" w:rsidP="007D62A0">
      <w:pPr>
        <w:spacing w:line="360" w:lineRule="auto"/>
      </w:pPr>
      <w:r w:rsidRPr="00FD16B0">
        <w:t>Affiliations:</w:t>
      </w:r>
    </w:p>
    <w:p w:rsidR="007D62A0" w:rsidRPr="00FD16B0" w:rsidRDefault="007D62A0" w:rsidP="007D62A0">
      <w:pPr>
        <w:spacing w:line="360" w:lineRule="auto"/>
      </w:pPr>
      <w:r w:rsidRPr="00FD16B0">
        <w:rPr>
          <w:vertAlign w:val="superscript"/>
        </w:rPr>
        <w:t>1</w:t>
      </w:r>
      <w:r w:rsidRPr="00FD16B0">
        <w:t>Institute of Molecular Life Sciences, University of Zurich, Switzerland</w:t>
      </w:r>
    </w:p>
    <w:p w:rsidR="007D62A0" w:rsidRPr="00FD16B0" w:rsidRDefault="007D62A0" w:rsidP="007D62A0">
      <w:pPr>
        <w:pStyle w:val="NormalWeb"/>
        <w:spacing w:before="0" w:beforeAutospacing="0" w:after="0" w:afterAutospacing="0" w:line="360" w:lineRule="auto"/>
        <w:rPr>
          <w:rFonts w:ascii="Times New Roman" w:hAnsi="Times New Roman"/>
          <w:sz w:val="24"/>
          <w:szCs w:val="24"/>
        </w:rPr>
      </w:pPr>
      <w:r w:rsidRPr="00FD16B0">
        <w:rPr>
          <w:rFonts w:ascii="Times New Roman" w:hAnsi="Times New Roman"/>
          <w:sz w:val="24"/>
          <w:szCs w:val="24"/>
          <w:vertAlign w:val="superscript"/>
        </w:rPr>
        <w:t>2</w:t>
      </w:r>
      <w:r w:rsidRPr="00FD16B0">
        <w:rPr>
          <w:rFonts w:ascii="Times New Roman" w:hAnsi="Times New Roman"/>
          <w:sz w:val="24"/>
          <w:szCs w:val="24"/>
        </w:rPr>
        <w:t xml:space="preserve">Laboratory of Systems Biology and Genetics, Institute of Bioengineering, School of Life Sciences, Ecole Polytechnique Fédérale de Lausanne </w:t>
      </w:r>
      <w:r w:rsidRPr="00FD16B0">
        <w:rPr>
          <w:sz w:val="24"/>
          <w:szCs w:val="24"/>
        </w:rPr>
        <w:t>and Swiss Institute of Bioinformatics,</w:t>
      </w:r>
      <w:r w:rsidRPr="00FD16B0">
        <w:rPr>
          <w:rFonts w:ascii="Times New Roman" w:hAnsi="Times New Roman"/>
          <w:sz w:val="24"/>
          <w:szCs w:val="24"/>
        </w:rPr>
        <w:t xml:space="preserve"> Lausanne, Switzerland</w:t>
      </w:r>
    </w:p>
    <w:p w:rsidR="007D62A0" w:rsidRPr="00FD16B0" w:rsidRDefault="007D62A0" w:rsidP="007D62A0">
      <w:pPr>
        <w:spacing w:line="360" w:lineRule="auto"/>
      </w:pPr>
      <w:r w:rsidRPr="00FD16B0">
        <w:rPr>
          <w:vertAlign w:val="superscript"/>
        </w:rPr>
        <w:t>3</w:t>
      </w:r>
      <w:r w:rsidRPr="00FD16B0">
        <w:t>Biozentrum, University of Basel and Swiss Institute of Bioinformatics, Basel, Switzerland</w:t>
      </w:r>
    </w:p>
    <w:p w:rsidR="007D62A0" w:rsidRPr="00FD16B0" w:rsidRDefault="007D62A0" w:rsidP="007D62A0">
      <w:pPr>
        <w:spacing w:line="360" w:lineRule="auto"/>
      </w:pPr>
      <w:r w:rsidRPr="00FD16B0">
        <w:rPr>
          <w:vertAlign w:val="superscript"/>
        </w:rPr>
        <w:t>4</w:t>
      </w:r>
      <w:r w:rsidRPr="00FD16B0">
        <w:t>current address: Centre for Neural Circuits and Behavior, University of Oxford, United Kingdom</w:t>
      </w:r>
    </w:p>
    <w:p w:rsidR="007D62A0" w:rsidRPr="00FD16B0" w:rsidRDefault="007D62A0" w:rsidP="007D62A0">
      <w:pPr>
        <w:spacing w:line="360" w:lineRule="auto"/>
        <w:rPr>
          <w:lang w:eastAsia="zh-CN"/>
        </w:rPr>
      </w:pPr>
    </w:p>
    <w:p w:rsidR="007D62A0" w:rsidRPr="00FD16B0" w:rsidRDefault="007D62A0" w:rsidP="007D62A0">
      <w:pPr>
        <w:spacing w:line="360" w:lineRule="auto"/>
        <w:rPr>
          <w:lang w:eastAsia="zh-CN"/>
        </w:rPr>
      </w:pPr>
      <w:r w:rsidRPr="00FD16B0">
        <w:rPr>
          <w:lang w:eastAsia="zh-CN"/>
        </w:rPr>
        <w:t xml:space="preserve">Correspondence: </w:t>
      </w:r>
      <w:r w:rsidRPr="00FD16B0">
        <w:rPr>
          <w:lang w:eastAsia="zh-CN"/>
        </w:rPr>
        <w:tab/>
      </w:r>
      <w:hyperlink r:id="rId7" w:history="1">
        <w:r w:rsidRPr="00FD16B0">
          <w:rPr>
            <w:rStyle w:val="Hyperlink"/>
            <w:lang w:eastAsia="zh-CN"/>
          </w:rPr>
          <w:t>erik.vannimwegen@unibas.ch</w:t>
        </w:r>
      </w:hyperlink>
      <w:r>
        <w:rPr>
          <w:rStyle w:val="Hyperlink"/>
          <w:lang w:eastAsia="zh-CN"/>
        </w:rPr>
        <w:t xml:space="preserve">, </w:t>
      </w:r>
    </w:p>
    <w:p w:rsidR="007D62A0" w:rsidRPr="00FD16B0" w:rsidRDefault="007D62A0" w:rsidP="007D62A0">
      <w:pPr>
        <w:spacing w:line="360" w:lineRule="auto"/>
        <w:ind w:left="1440" w:firstLine="720"/>
        <w:rPr>
          <w:lang w:eastAsia="zh-CN"/>
        </w:rPr>
      </w:pPr>
      <w:hyperlink r:id="rId8" w:history="1">
        <w:r w:rsidRPr="00FD16B0">
          <w:rPr>
            <w:rStyle w:val="Hyperlink"/>
            <w:lang w:eastAsia="zh-CN"/>
          </w:rPr>
          <w:t>konrad.basler@imls.uzh.ch</w:t>
        </w:r>
      </w:hyperlink>
    </w:p>
    <w:p w:rsidR="007D62A0" w:rsidRDefault="007D62A0" w:rsidP="007D62A0">
      <w:pPr>
        <w:spacing w:line="360" w:lineRule="auto"/>
        <w:ind w:left="1440" w:firstLine="720"/>
        <w:rPr>
          <w:rStyle w:val="Hyperlink"/>
          <w:lang w:eastAsia="zh-CN"/>
        </w:rPr>
      </w:pPr>
      <w:hyperlink r:id="rId9" w:history="1">
        <w:r w:rsidRPr="00FD16B0">
          <w:rPr>
            <w:rStyle w:val="Hyperlink"/>
            <w:lang w:eastAsia="zh-CN"/>
          </w:rPr>
          <w:t>bart.deplancke@epfl.ch</w:t>
        </w:r>
      </w:hyperlink>
    </w:p>
    <w:p w:rsidR="007D62A0" w:rsidRPr="007D62A0" w:rsidRDefault="007D62A0" w:rsidP="007D62A0">
      <w:pPr>
        <w:spacing w:line="360" w:lineRule="auto"/>
        <w:ind w:left="1440" w:firstLine="720"/>
        <w:rPr>
          <w:color w:val="0000FF"/>
          <w:u w:val="single"/>
          <w:lang w:eastAsia="zh-CN"/>
        </w:rPr>
      </w:pPr>
    </w:p>
    <w:p w:rsidR="007D62A0" w:rsidRPr="00FD16B0" w:rsidRDefault="007D62A0" w:rsidP="007D62A0">
      <w:pPr>
        <w:spacing w:line="360" w:lineRule="auto"/>
        <w:rPr>
          <w:lang w:eastAsia="zh-CN"/>
        </w:rPr>
      </w:pPr>
      <w:r w:rsidRPr="00FD16B0">
        <w:rPr>
          <w:b/>
          <w:lang w:eastAsia="zh-CN"/>
        </w:rPr>
        <w:t>Running Title:</w:t>
      </w:r>
      <w:r w:rsidRPr="00FD16B0">
        <w:rPr>
          <w:lang w:eastAsia="zh-CN"/>
        </w:rPr>
        <w:t xml:space="preserve"> Bivalently marked TFs regulate wing development</w:t>
      </w:r>
    </w:p>
    <w:p w:rsidR="007D62A0" w:rsidRDefault="007D62A0" w:rsidP="007D62A0">
      <w:pPr>
        <w:spacing w:line="360" w:lineRule="auto"/>
        <w:rPr>
          <w:b/>
        </w:rPr>
      </w:pPr>
      <w:r w:rsidRPr="00FD16B0">
        <w:rPr>
          <w:b/>
        </w:rPr>
        <w:t>Key words</w:t>
      </w:r>
      <w:r w:rsidRPr="00FD16B0">
        <w:t>: Drosophila / transcription factor / chromatin / bivalent histone marks</w:t>
      </w:r>
    </w:p>
    <w:p w:rsidR="007D62A0" w:rsidRDefault="007D62A0">
      <w:pPr>
        <w:rPr>
          <w:b/>
        </w:rPr>
      </w:pPr>
      <w:r>
        <w:rPr>
          <w:b/>
        </w:rPr>
        <w:br w:type="page"/>
      </w:r>
    </w:p>
    <w:p w:rsidR="007D62A0" w:rsidRDefault="007D62A0" w:rsidP="007D62A0">
      <w:pPr>
        <w:spacing w:line="480" w:lineRule="auto"/>
        <w:rPr>
          <w:b/>
        </w:rPr>
      </w:pPr>
      <w:r>
        <w:rPr>
          <w:b/>
        </w:rPr>
        <w:lastRenderedPageBreak/>
        <w:t xml:space="preserve">Legends for </w:t>
      </w:r>
      <w:r w:rsidRPr="00FD16B0">
        <w:rPr>
          <w:b/>
        </w:rPr>
        <w:t xml:space="preserve">Supplemental </w:t>
      </w:r>
      <w:r>
        <w:rPr>
          <w:b/>
        </w:rPr>
        <w:t>Tables</w:t>
      </w:r>
    </w:p>
    <w:p w:rsidR="007D62A0" w:rsidRPr="00FD16B0" w:rsidRDefault="007D62A0" w:rsidP="007D62A0">
      <w:pPr>
        <w:spacing w:line="480" w:lineRule="auto"/>
      </w:pPr>
      <w:r w:rsidRPr="00FD16B0">
        <w:rPr>
          <w:b/>
        </w:rPr>
        <w:t xml:space="preserve">Supplemental Table S1: (Sheet 1) </w:t>
      </w:r>
      <w:r w:rsidRPr="00FD16B0">
        <w:t xml:space="preserve">Complete list of TF transgenes and accompanying phenotypes in the wing (misexpression and RNAi knock-down). Location in any of the six chromatin clusters is indicated. TF loci that are enriched for both activating and repressive chromatin marks in clusters 4 and 5 are indicated with 4b and 5b, respectively. </w:t>
      </w:r>
      <w:r w:rsidRPr="00FD16B0">
        <w:rPr>
          <w:b/>
        </w:rPr>
        <w:t xml:space="preserve">(Sheet 2) </w:t>
      </w:r>
      <w:r w:rsidRPr="00FD16B0">
        <w:t>TF genes that were only tested by RNAi.</w:t>
      </w:r>
      <w:r w:rsidRPr="00FD16B0">
        <w:rPr>
          <w:b/>
        </w:rPr>
        <w:t xml:space="preserve"> (Sheet 3) </w:t>
      </w:r>
      <w:r w:rsidRPr="00FD16B0">
        <w:t>Previously uncharacterized TFs that induced misexpression or RNAi phenotypes.</w:t>
      </w:r>
      <w:r w:rsidRPr="00FD16B0">
        <w:rPr>
          <w:b/>
        </w:rPr>
        <w:t xml:space="preserve"> (Sheet 4) </w:t>
      </w:r>
      <w:r w:rsidRPr="00FD16B0">
        <w:t xml:space="preserve">Phenotypes induced by TFs after induction at </w:t>
      </w:r>
      <w:r w:rsidRPr="00FD16B0">
        <w:rPr>
          <w:rFonts w:ascii="Times" w:hAnsi="Times"/>
        </w:rPr>
        <w:t>18</w:t>
      </w:r>
      <w:r w:rsidRPr="00FD16B0">
        <w:rPr>
          <w:rFonts w:ascii="Times" w:hAnsi="Times" w:cs="Lucida Grande"/>
        </w:rPr>
        <w:t>°C</w:t>
      </w:r>
      <w:r w:rsidRPr="00FD16B0">
        <w:t xml:space="preserve"> that caused lethality at 25</w:t>
      </w:r>
      <w:r w:rsidRPr="00FD16B0">
        <w:rPr>
          <w:rFonts w:ascii="Times" w:hAnsi="Times" w:cs="Lucida Grande"/>
        </w:rPr>
        <w:t>°C</w:t>
      </w:r>
      <w:r w:rsidRPr="00FD16B0">
        <w:t>.</w:t>
      </w:r>
    </w:p>
    <w:p w:rsidR="007D62A0" w:rsidRPr="00FD16B0" w:rsidRDefault="007D62A0" w:rsidP="007D62A0">
      <w:pPr>
        <w:spacing w:line="480" w:lineRule="auto"/>
        <w:rPr>
          <w:b/>
        </w:rPr>
      </w:pPr>
    </w:p>
    <w:p w:rsidR="007D62A0" w:rsidRPr="00FD16B0" w:rsidRDefault="007D62A0" w:rsidP="007D62A0">
      <w:pPr>
        <w:spacing w:line="480" w:lineRule="auto"/>
        <w:rPr>
          <w:b/>
        </w:rPr>
      </w:pPr>
      <w:r w:rsidRPr="00FD16B0">
        <w:rPr>
          <w:b/>
        </w:rPr>
        <w:t xml:space="preserve">Supplemental Table S2: </w:t>
      </w:r>
      <w:r w:rsidRPr="00FD16B0">
        <w:t>Complete list of genes in clusters 4a, 4b, 5a, and 5b.</w:t>
      </w:r>
    </w:p>
    <w:p w:rsidR="007D62A0" w:rsidRPr="00FD16B0" w:rsidRDefault="007D62A0" w:rsidP="007D62A0">
      <w:pPr>
        <w:spacing w:line="480" w:lineRule="auto"/>
        <w:rPr>
          <w:b/>
        </w:rPr>
      </w:pPr>
    </w:p>
    <w:p w:rsidR="007D62A0" w:rsidRPr="00FD16B0" w:rsidRDefault="007D62A0" w:rsidP="007D62A0">
      <w:pPr>
        <w:spacing w:line="480" w:lineRule="auto"/>
        <w:rPr>
          <w:b/>
        </w:rPr>
      </w:pPr>
      <w:r w:rsidRPr="00FD16B0">
        <w:rPr>
          <w:b/>
        </w:rPr>
        <w:t xml:space="preserve">Supplemental Table S3: </w:t>
      </w:r>
      <w:r w:rsidRPr="00FD16B0">
        <w:t>GO enrichment for each of the chromatin clusters. Analysis was performed using the AmiGO 2 algorithm (http://amigo2.geneontology.org/amigo)</w:t>
      </w:r>
    </w:p>
    <w:p w:rsidR="007D62A0" w:rsidRDefault="007D62A0">
      <w:pPr>
        <w:rPr>
          <w:b/>
        </w:rPr>
      </w:pPr>
      <w:r>
        <w:rPr>
          <w:b/>
        </w:rPr>
        <w:br w:type="page"/>
      </w:r>
    </w:p>
    <w:p w:rsidR="007D62A0" w:rsidRDefault="007D62A0" w:rsidP="007D62A0">
      <w:pPr>
        <w:spacing w:line="480" w:lineRule="auto"/>
        <w:rPr>
          <w:b/>
        </w:rPr>
      </w:pPr>
      <w:r>
        <w:rPr>
          <w:b/>
        </w:rPr>
        <w:t xml:space="preserve">Legends for </w:t>
      </w:r>
      <w:r w:rsidRPr="00FD16B0">
        <w:rPr>
          <w:b/>
        </w:rPr>
        <w:t xml:space="preserve">Supplemental </w:t>
      </w:r>
      <w:r>
        <w:rPr>
          <w:b/>
        </w:rPr>
        <w:t>Figures</w:t>
      </w:r>
    </w:p>
    <w:p w:rsidR="007D62A0" w:rsidRPr="00FD16B0" w:rsidRDefault="007D62A0" w:rsidP="007D62A0">
      <w:pPr>
        <w:rPr>
          <w:b/>
        </w:rPr>
      </w:pPr>
    </w:p>
    <w:p w:rsidR="007D62A0" w:rsidRPr="00FD16B0" w:rsidRDefault="007D62A0" w:rsidP="007D62A0">
      <w:pPr>
        <w:spacing w:line="480" w:lineRule="auto"/>
        <w:jc w:val="both"/>
      </w:pPr>
      <w:r w:rsidRPr="00FD16B0">
        <w:rPr>
          <w:b/>
        </w:rPr>
        <w:t>Supplemental Figure S1: Validation of transgene expression</w:t>
      </w:r>
      <w:r w:rsidRPr="00FD16B0">
        <w:t xml:space="preserve"> (</w:t>
      </w:r>
      <w:r w:rsidRPr="00FD16B0">
        <w:rPr>
          <w:b/>
        </w:rPr>
        <w:t>A, B</w:t>
      </w:r>
      <w:r w:rsidRPr="00FD16B0">
        <w:t xml:space="preserve">) qRT-PCR for the indicated target genes following misexpression of </w:t>
      </w:r>
      <w:r w:rsidRPr="00FD16B0">
        <w:rPr>
          <w:i/>
        </w:rPr>
        <w:t>dl</w:t>
      </w:r>
      <w:r w:rsidRPr="00FD16B0">
        <w:t xml:space="preserve"> (A) and </w:t>
      </w:r>
      <w:r w:rsidRPr="00FD16B0">
        <w:rPr>
          <w:i/>
        </w:rPr>
        <w:t>brk</w:t>
      </w:r>
      <w:r w:rsidRPr="00FD16B0">
        <w:t xml:space="preserve"> (B) in wing discs. Data shows one representative experiment (three technical replicates, error bars indicate standard deviation), normalized to three housekeeping genes (</w:t>
      </w:r>
      <w:r w:rsidRPr="00FD16B0">
        <w:rPr>
          <w:i/>
        </w:rPr>
        <w:t>actin</w:t>
      </w:r>
      <w:r w:rsidRPr="00FD16B0">
        <w:t xml:space="preserve">, </w:t>
      </w:r>
      <w:r w:rsidRPr="00FD16B0">
        <w:rPr>
          <w:i/>
        </w:rPr>
        <w:t>tubulin</w:t>
      </w:r>
      <w:r w:rsidRPr="00FD16B0">
        <w:t xml:space="preserve"> and </w:t>
      </w:r>
      <w:r w:rsidRPr="00FD16B0">
        <w:rPr>
          <w:i/>
        </w:rPr>
        <w:t>GAPDH</w:t>
      </w:r>
      <w:r w:rsidRPr="00FD16B0">
        <w:t xml:space="preserve">). As expected, expression of </w:t>
      </w:r>
      <w:r w:rsidRPr="00FD16B0">
        <w:rPr>
          <w:i/>
        </w:rPr>
        <w:t>dorsal</w:t>
      </w:r>
      <w:r w:rsidRPr="00FD16B0">
        <w:t xml:space="preserve"> (</w:t>
      </w:r>
      <w:r w:rsidRPr="00FD16B0">
        <w:rPr>
          <w:i/>
        </w:rPr>
        <w:t>dl</w:t>
      </w:r>
      <w:r w:rsidRPr="00FD16B0">
        <w:t xml:space="preserve">) induced </w:t>
      </w:r>
      <w:r w:rsidRPr="00FD16B0">
        <w:rPr>
          <w:i/>
        </w:rPr>
        <w:t xml:space="preserve">reaper </w:t>
      </w:r>
      <w:r w:rsidRPr="00FD16B0">
        <w:t>(p-value:</w:t>
      </w:r>
      <w:r w:rsidRPr="00FD16B0">
        <w:rPr>
          <w:i/>
        </w:rPr>
        <w:t xml:space="preserve"> </w:t>
      </w:r>
      <w:r w:rsidRPr="00FD16B0">
        <w:t xml:space="preserve">4.8e-6, t-test), while repressing </w:t>
      </w:r>
      <w:r w:rsidRPr="00FD16B0">
        <w:rPr>
          <w:i/>
        </w:rPr>
        <w:t>hid</w:t>
      </w:r>
      <w:r w:rsidRPr="00FD16B0">
        <w:t xml:space="preserve"> </w:t>
      </w:r>
      <w:r w:rsidRPr="00FD16B0">
        <w:fldChar w:fldCharType="begin"/>
      </w:r>
      <w:r w:rsidRPr="00FD16B0">
        <w:instrText xml:space="preserve"> ADDIN ZOTERO_ITEM CSL_CITATION {"citationID":"NzzbEYVD","properties":{"formattedCitation":"(Meyer et al., 2014)","plainCitation":"(Meyer et al., 2014)"},"citationItems":[{"id":416,"uris":["http://zotero.org/users/local/TL9od1Jm/items/P4AKWWIT"],"uri":["http://zotero.org/users/local/TL9od1Jm/items/P4AKWWIT"],"itemData":{"id":416,"type":"article-journal","title":"An ancient defense system eliminates unfit cells from developing tissues during cell competition","container-title":"Science (New York, N.Y.)","page":"1258236","volume":"346","issue":"6214","source":"NCBI PubMed","abstract":"Developing tissues that contain mutant or compromised cells present risks to animal health. Accordingly, the appearance of a population of suboptimal cells in a tissue elicits cellular interactions that prevent their contribution to the adult. Here we report that this quality control process, cell competition, uses specific components of the evolutionarily ancient and conserved innate immune system to eliminate Drosophila cells perceived as unfit. We find that Toll-related receptors (TRRs) and the cytokine Spätzle (Spz) lead to NFκB-dependent apoptosis. Diverse \"loser\" cells require different TRRs and NFκB factors and activate distinct pro-death genes, implying that the particular response is stipulated by the competitive context. Our findings demonstrate a functional repurposing of components of TRRs and NFκB signaling modules in the surveillance of cell fitness during development.","DOI":"10.1126/science.1258236","ISSN":"1095-9203","note":"PMID: 25477468","journalAbbreviation":"Science","language":"eng","author":[{"family":"Meyer","given":"S. N."},{"family":"Amoyel","given":"M."},{"family":"Bergantiños","given":"C."},{"family":"de la Cova","given":"C."},{"family":"Schertel","given":"C."},{"family":"Basler","given":"K."},{"family":"Johnston","given":"L. A."}],"issued":{"date-parts":[["2014",12,5]]},"PMID":"25477468"}}],"schema":"https://github.com/citation-style-language/schema/raw/master/csl-citation.json"} </w:instrText>
      </w:r>
      <w:r w:rsidRPr="00FD16B0">
        <w:fldChar w:fldCharType="separate"/>
      </w:r>
      <w:r w:rsidRPr="00FD16B0">
        <w:rPr>
          <w:noProof/>
        </w:rPr>
        <w:t>(Meyer et al., 2014)</w:t>
      </w:r>
      <w:r w:rsidRPr="00FD16B0">
        <w:fldChar w:fldCharType="end"/>
      </w:r>
      <w:r w:rsidRPr="00FD16B0">
        <w:t xml:space="preserve">, and expression of </w:t>
      </w:r>
      <w:r w:rsidRPr="00FD16B0">
        <w:rPr>
          <w:i/>
        </w:rPr>
        <w:t>brinker</w:t>
      </w:r>
      <w:r w:rsidRPr="00FD16B0">
        <w:t xml:space="preserve"> (</w:t>
      </w:r>
      <w:r w:rsidRPr="00FD16B0">
        <w:rPr>
          <w:i/>
        </w:rPr>
        <w:t>brk)</w:t>
      </w:r>
      <w:r w:rsidRPr="00FD16B0">
        <w:t xml:space="preserve"> repressed its target </w:t>
      </w:r>
      <w:r w:rsidRPr="00FD16B0">
        <w:rPr>
          <w:i/>
        </w:rPr>
        <w:t xml:space="preserve">omb </w:t>
      </w:r>
      <w:r w:rsidRPr="00FD16B0">
        <w:t>(p-value:</w:t>
      </w:r>
      <w:r w:rsidRPr="00FD16B0">
        <w:rPr>
          <w:i/>
        </w:rPr>
        <w:t xml:space="preserve"> </w:t>
      </w:r>
      <w:r w:rsidRPr="00FD16B0">
        <w:t>9.6e-6)</w:t>
      </w:r>
      <w:r w:rsidRPr="00FD16B0">
        <w:rPr>
          <w:i/>
        </w:rPr>
        <w:t>.</w:t>
      </w:r>
      <w:r w:rsidRPr="00FD16B0">
        <w:t xml:space="preserve"> (</w:t>
      </w:r>
      <w:r w:rsidRPr="00FD16B0">
        <w:rPr>
          <w:b/>
        </w:rPr>
        <w:t>C</w:t>
      </w:r>
      <w:r w:rsidRPr="00FD16B0">
        <w:t xml:space="preserve">) qRT-PCR after anti-HA ChIP of </w:t>
      </w:r>
      <w:r w:rsidRPr="00FD16B0">
        <w:rPr>
          <w:i/>
        </w:rPr>
        <w:t>UAS-pangolin</w:t>
      </w:r>
      <w:r w:rsidRPr="00FD16B0">
        <w:t xml:space="preserve"> shows enrichment of a </w:t>
      </w:r>
      <w:r w:rsidRPr="00FD16B0">
        <w:rPr>
          <w:i/>
        </w:rPr>
        <w:t>bona fide</w:t>
      </w:r>
      <w:r w:rsidRPr="00FD16B0">
        <w:t xml:space="preserve"> Pan binding site at the </w:t>
      </w:r>
      <w:r w:rsidRPr="00FD16B0">
        <w:rPr>
          <w:i/>
        </w:rPr>
        <w:t>nkd</w:t>
      </w:r>
      <w:r w:rsidRPr="00FD16B0">
        <w:t xml:space="preserve"> locus </w:t>
      </w:r>
      <w:r w:rsidRPr="00FD16B0">
        <w:fldChar w:fldCharType="begin"/>
      </w:r>
      <w:r w:rsidRPr="00FD16B0">
        <w:instrText xml:space="preserve"> ADDIN ZOTERO_ITEM CSL_CITATION {"citationID":"umpMMkKA","properties":{"formattedCitation":"(Fang et al., 2006)","plainCitation":"(Fang et al., 2006)"},"citationItems":[{"id":392,"uris":["http://zotero.org/users/local/TL9od1Jm/items/S43ABSBM"],"uri":["http://zotero.org/users/local/TL9od1Jm/items/S43ABSBM"],"itemData":{"id":392,"type":"article-journal","title":"C-terminal-binding protein directly activates and represses Wnt transcriptional targets in Drosophila","container-title":"The EMBO journal","page":"2735-2745","volume":"25","issue":"12","source":"NCBI PubMed","abstract":"Regulation of Wnt transcriptional targets is thought to occur by a transcriptional switch. In the absence of Wnt signaling, sequence-specific DNA-binding proteins of the TCF family repress Wnt target genes. Upon Wnt stimulation, stabilized beta-catenin binds to TCFs, converting them into transcriptional activators. C-terminal-binding protein (CtBP) is a transcriptional corepressor that has been reported to inhibit Wnt signaling by binding to TCFs or by preventing beta-catenin from binding to TCF. Here, we show that CtBP is also required for the activation of some Wnt targets in Drosophila. CtBP is recruited to Wnt-regulated enhancers in a Wnt-dependent manner, where it augments Armadillo (the fly beta-catenin) transcriptional activation. We also found that CtBP is required for repression of a subset of Wnt targets in the absence of Wnt stimulation, but in a manner distinct from previously reported mechanisms. CtBP binds to Wnt-regulated enhancers in a TCF-independent manner and represses target genes in parallel with TCF. Our data indicate dual roles for CtBP as a gene-specific activator and repressor of Wnt target gene transcription.","DOI":"10.1038/sj.emboj.7601153","ISSN":"0261-4189","note":"PMID: 16710294 \nPMCID: PMC1500853","journalAbbreviation":"EMBO J.","language":"eng","author":[{"family":"Fang","given":"Ming"},{"family":"Li","given":"Jiong"},{"family":"Blauwkamp","given":"Timothy"},{"family":"Bhambhani","given":"Chandan"},{"family":"Campbell","given":"Nathan"},{"family":"Cadigan","given":"Ken M."}],"issued":{"date-parts":[["2006",6,21]]},"PMID":"16710294","PMCID":"PMC1500853"}}],"schema":"https://github.com/citation-style-language/schema/raw/master/csl-citation.json"} </w:instrText>
      </w:r>
      <w:r w:rsidRPr="00FD16B0">
        <w:fldChar w:fldCharType="separate"/>
      </w:r>
      <w:r w:rsidRPr="00FD16B0">
        <w:rPr>
          <w:noProof/>
        </w:rPr>
        <w:t>(Fang et al., 2006)</w:t>
      </w:r>
      <w:r w:rsidRPr="00FD16B0">
        <w:fldChar w:fldCharType="end"/>
      </w:r>
      <w:r w:rsidRPr="00FD16B0">
        <w:t xml:space="preserve"> while a control region remains unbound (p-value:</w:t>
      </w:r>
      <w:r w:rsidRPr="00FD16B0">
        <w:rPr>
          <w:i/>
        </w:rPr>
        <w:t xml:space="preserve"> </w:t>
      </w:r>
      <w:r w:rsidRPr="00FD16B0">
        <w:t xml:space="preserve">0.0015).  </w:t>
      </w:r>
      <w:r w:rsidRPr="00FD16B0">
        <w:rPr>
          <w:b/>
        </w:rPr>
        <w:t>(D and E)</w:t>
      </w:r>
      <w:r w:rsidRPr="00FD16B0">
        <w:t xml:space="preserve"> </w:t>
      </w:r>
      <w:r w:rsidRPr="00FD16B0">
        <w:rPr>
          <w:i/>
        </w:rPr>
        <w:t>MS1096-Gal4</w:t>
      </w:r>
      <w:r w:rsidRPr="00FD16B0">
        <w:t xml:space="preserve">-driven </w:t>
      </w:r>
      <w:r w:rsidRPr="00FD16B0">
        <w:rPr>
          <w:i/>
        </w:rPr>
        <w:t>UAS-GFP</w:t>
      </w:r>
      <w:r w:rsidRPr="00FD16B0">
        <w:t xml:space="preserve"> in early (D and D`) and late (E and E`) L3 larvae and an entire animal. </w:t>
      </w:r>
      <w:r w:rsidRPr="00FD16B0">
        <w:rPr>
          <w:b/>
        </w:rPr>
        <w:t xml:space="preserve">(F) </w:t>
      </w:r>
      <w:r w:rsidRPr="00FD16B0">
        <w:t xml:space="preserve">The wing pouch region is indicated by dashed lines, the arrow points toward one of the two wing discs, the asterisk indicates unspecific background fluorescence. </w:t>
      </w:r>
    </w:p>
    <w:p w:rsidR="007D62A0" w:rsidRPr="00FD16B0" w:rsidRDefault="007D62A0" w:rsidP="007D62A0">
      <w:pPr>
        <w:spacing w:line="480" w:lineRule="auto"/>
      </w:pPr>
    </w:p>
    <w:p w:rsidR="007D62A0" w:rsidRPr="00FD16B0" w:rsidRDefault="007D62A0" w:rsidP="007D62A0">
      <w:pPr>
        <w:spacing w:line="480" w:lineRule="auto"/>
      </w:pPr>
      <w:r w:rsidRPr="00FD16B0">
        <w:rPr>
          <w:b/>
        </w:rPr>
        <w:t>Supplemental Figure S2: Direct comparison of RNAi knock-down phenotypes and misexpression phenotypes</w:t>
      </w:r>
      <w:r w:rsidRPr="00FD16B0">
        <w:t xml:space="preserve">. </w:t>
      </w:r>
      <w:r w:rsidRPr="00FD16B0">
        <w:rPr>
          <w:b/>
        </w:rPr>
        <w:t>(A)</w:t>
      </w:r>
      <w:r w:rsidRPr="00FD16B0">
        <w:t xml:space="preserve"> The RNAi phenotype distributions of TFs belonging to specific RNA pol II occupancy bins (from the lowest to the highest 20% RNA pol II occupancy) are compared. RNA pol II DNA occupancy was used here as a proxy for the extent of TF expression.</w:t>
      </w:r>
      <w:r w:rsidRPr="00FD16B0">
        <w:rPr>
          <w:b/>
        </w:rPr>
        <w:t xml:space="preserve"> (B)</w:t>
      </w:r>
      <w:r w:rsidRPr="00FD16B0">
        <w:t xml:space="preserve"> TF misexpression versus knock-down of the same TF. Identical classes for both methods are boxed in red. Color-coding of the bars applies also to panel C.</w:t>
      </w:r>
      <w:r w:rsidRPr="00FD16B0">
        <w:rPr>
          <w:b/>
        </w:rPr>
        <w:t xml:space="preserve"> (C) </w:t>
      </w:r>
      <w:r w:rsidRPr="00FD16B0">
        <w:t xml:space="preserve">Converse presentation of the data shown in B. </w:t>
      </w:r>
    </w:p>
    <w:p w:rsidR="007D62A0" w:rsidRPr="00FD16B0" w:rsidRDefault="007D62A0" w:rsidP="007D62A0">
      <w:pPr>
        <w:spacing w:line="480" w:lineRule="auto"/>
      </w:pPr>
    </w:p>
    <w:p w:rsidR="007D62A0" w:rsidRPr="00FD16B0" w:rsidRDefault="007D62A0" w:rsidP="007D62A0">
      <w:pPr>
        <w:tabs>
          <w:tab w:val="left" w:pos="2923"/>
        </w:tabs>
        <w:spacing w:line="480" w:lineRule="auto"/>
        <w:rPr>
          <w:lang w:eastAsia="ja-JP"/>
        </w:rPr>
      </w:pPr>
      <w:r w:rsidRPr="00FD16B0">
        <w:rPr>
          <w:b/>
        </w:rPr>
        <w:t>Supplemental Figure S3: Evaluation of ChIP-seq data sets</w:t>
      </w:r>
      <w:r w:rsidRPr="00FD16B0">
        <w:rPr>
          <w:lang w:eastAsia="ja-JP"/>
        </w:rPr>
        <w:t xml:space="preserve"> </w:t>
      </w:r>
      <w:r w:rsidRPr="00FD16B0">
        <w:rPr>
          <w:b/>
          <w:bCs/>
          <w:lang w:eastAsia="ja-JP"/>
        </w:rPr>
        <w:t xml:space="preserve">(A) </w:t>
      </w:r>
      <w:r w:rsidRPr="00FD16B0">
        <w:rPr>
          <w:bCs/>
          <w:lang w:eastAsia="ja-JP"/>
        </w:rPr>
        <w:t xml:space="preserve">Gene expression based on RNA-seq data correlates well with RNA pol II DNA occupancy values: Pearson’s r for </w:t>
      </w:r>
      <w:r w:rsidRPr="00FD16B0">
        <w:t>RNA pol II gene promoter – RNA, RNA pol II gene body – RNA, and RNA pol II gene promoter – RNA pol II gene body was respectively 0.60, 0.69, and 0.58</w:t>
      </w:r>
      <w:r w:rsidRPr="00FD16B0">
        <w:rPr>
          <w:bCs/>
          <w:lang w:eastAsia="ja-JP"/>
        </w:rPr>
        <w:t>.</w:t>
      </w:r>
      <w:r w:rsidRPr="00FD16B0">
        <w:rPr>
          <w:b/>
          <w:bCs/>
          <w:lang w:eastAsia="ja-JP"/>
        </w:rPr>
        <w:t xml:space="preserve"> </w:t>
      </w:r>
      <w:r w:rsidRPr="00FD16B0">
        <w:rPr>
          <w:lang w:eastAsia="ja-JP"/>
        </w:rPr>
        <w:t xml:space="preserve">RNA pol II ChIP-seq and RNA-seq dot plots showing correlation between the two kinds of data types were generated as described in the Materials and Methods section. </w:t>
      </w:r>
      <w:r w:rsidRPr="00FD16B0">
        <w:rPr>
          <w:b/>
        </w:rPr>
        <w:t xml:space="preserve">(B) </w:t>
      </w:r>
      <w:r w:rsidRPr="00FD16B0">
        <w:rPr>
          <w:lang w:eastAsia="ja-JP"/>
        </w:rPr>
        <w:t xml:space="preserve">Heat map representing the </w:t>
      </w:r>
      <w:r w:rsidRPr="00FD16B0">
        <w:rPr>
          <w:lang w:val="uz-Cyrl-UZ"/>
        </w:rPr>
        <w:t>Pearson’s correlations between tag density of histone marks and RNA pol II</w:t>
      </w:r>
      <w:r w:rsidRPr="00FD16B0">
        <w:rPr>
          <w:lang w:eastAsia="ja-JP"/>
        </w:rPr>
        <w:t xml:space="preserve">, revealing that the profiles have the expected characteristics in that active marks tend to cluster together. The heat map was generated as described in Materials and Methods. </w:t>
      </w:r>
    </w:p>
    <w:p w:rsidR="007D62A0" w:rsidRPr="00FD16B0" w:rsidRDefault="007D62A0" w:rsidP="007D6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bCs/>
          <w:lang w:eastAsia="ja-JP"/>
        </w:rPr>
      </w:pPr>
    </w:p>
    <w:p w:rsidR="007D62A0" w:rsidRPr="00FD16B0" w:rsidRDefault="007D62A0" w:rsidP="007D62A0">
      <w:pPr>
        <w:widowControl w:val="0"/>
        <w:autoSpaceDE w:val="0"/>
        <w:autoSpaceDN w:val="0"/>
        <w:adjustRightInd w:val="0"/>
        <w:spacing w:line="480" w:lineRule="auto"/>
      </w:pPr>
      <w:r w:rsidRPr="00FD16B0">
        <w:rPr>
          <w:b/>
        </w:rPr>
        <w:t>Supplemental Figure S4: Additional histone modification clustering examples</w:t>
      </w:r>
      <w:r w:rsidRPr="00FD16B0">
        <w:t>.</w:t>
      </w:r>
      <w:r w:rsidRPr="00FD16B0">
        <w:rPr>
          <w:b/>
        </w:rPr>
        <w:t xml:space="preserve"> </w:t>
      </w:r>
      <w:r w:rsidRPr="00FD16B0">
        <w:t xml:space="preserve">Genome browser view of indicated histone modifications for representative genes in clusters 1, 2, 3 and 6. The scale for all tracks represents </w:t>
      </w:r>
      <w:r w:rsidRPr="00FD16B0">
        <w:rPr>
          <w:rFonts w:eastAsiaTheme="minorEastAsia"/>
        </w:rPr>
        <w:t>the tag depth per bp, except for the RNA-seq data for which the log</w:t>
      </w:r>
      <w:r w:rsidRPr="00FD16B0">
        <w:rPr>
          <w:rFonts w:eastAsiaTheme="minorEastAsia"/>
          <w:vertAlign w:val="subscript"/>
        </w:rPr>
        <w:t>2</w:t>
      </w:r>
      <w:r w:rsidRPr="00FD16B0">
        <w:rPr>
          <w:rFonts w:eastAsiaTheme="minorEastAsia"/>
        </w:rPr>
        <w:t xml:space="preserve"> of (FPKM+1) is plotted.</w:t>
      </w:r>
      <w:r w:rsidRPr="00FD16B0">
        <w:t xml:space="preserve"> The black rectangle highlights the gene belonging to cluster 6. We further note that </w:t>
      </w:r>
      <w:r w:rsidRPr="00FD16B0">
        <w:rPr>
          <w:lang w:eastAsia="ja-JP"/>
        </w:rPr>
        <w:t xml:space="preserve">while certain regions appear to be enriched for H3K27me3, they are in fact too small to constitute actual H3K27me3 enrichment. Indeed, the particularity of the H3K27me3 mark is that it extends over large domains, which is why the </w:t>
      </w:r>
      <w:r w:rsidRPr="00FD16B0">
        <w:t>findPeaks option was set to 5000 bp for H3K27me3 instead of the 500 bp used for all the other histone modification marks and RNA pol II.</w:t>
      </w:r>
    </w:p>
    <w:p w:rsidR="007D62A0" w:rsidRPr="00FD16B0" w:rsidRDefault="007D62A0" w:rsidP="007D62A0">
      <w:pPr>
        <w:spacing w:line="480" w:lineRule="auto"/>
        <w:rPr>
          <w:rFonts w:cs="Courier"/>
          <w:b/>
        </w:rPr>
      </w:pPr>
    </w:p>
    <w:p w:rsidR="007D62A0" w:rsidRPr="00FD16B0" w:rsidRDefault="007D62A0" w:rsidP="007D62A0">
      <w:pPr>
        <w:spacing w:line="480" w:lineRule="auto"/>
        <w:rPr>
          <w:rFonts w:cs="Courier"/>
          <w:b/>
        </w:rPr>
      </w:pPr>
      <w:r w:rsidRPr="00FD16B0">
        <w:rPr>
          <w:rFonts w:cs="Courier"/>
          <w:b/>
        </w:rPr>
        <w:t>Supplemental Figure 5: H3K4me1 distribution around genes (A)</w:t>
      </w:r>
      <w:r w:rsidRPr="00FD16B0">
        <w:rPr>
          <w:rFonts w:cs="Courier"/>
        </w:rPr>
        <w:t xml:space="preserve"> The relative enrichment of H3K4me1 in each gene feature in relation to the whole genome is shown, revealing that </w:t>
      </w:r>
      <w:r w:rsidRPr="00FD16B0">
        <w:rPr>
          <w:rFonts w:ascii="Times" w:hAnsi="Times" w:cs="Courier"/>
          <w:lang w:val="uz-Cyrl-UZ"/>
        </w:rPr>
        <w:t>H3K4me1 is depleted in exonic and enriched in intronic regions, consistent with the literature.</w:t>
      </w:r>
      <w:r w:rsidRPr="00FD16B0">
        <w:rPr>
          <w:rFonts w:cs="Courier"/>
        </w:rPr>
        <w:t xml:space="preserve"> The CEAS tool was used to derive significance values (shown between parentheses). </w:t>
      </w:r>
      <w:r w:rsidRPr="00FD16B0">
        <w:rPr>
          <w:rFonts w:cs="Courier"/>
          <w:b/>
        </w:rPr>
        <w:t>(B)</w:t>
      </w:r>
      <w:r w:rsidRPr="00FD16B0">
        <w:rPr>
          <w:rFonts w:cs="Courier"/>
        </w:rPr>
        <w:t xml:space="preserve"> Pie chart showing the distribution of H3K4me1-enriched regions over specific gene-related categories: “Promoter” (i.e. regions upstream of the TSS) and “Downstream” (i.e. regions downstream of the TES). Distances are shown between parentheses. Gene bodies are then divided into “UTR” regions (untranslated regions 3’ and 5’ UTRs), coding exons and introns. Enriched regions that do not fit into any of the categories are assigned to the “distal intergenic” group. </w:t>
      </w:r>
    </w:p>
    <w:p w:rsidR="007D62A0" w:rsidRPr="00FD16B0" w:rsidRDefault="007D62A0" w:rsidP="007D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b/>
        </w:rPr>
      </w:pPr>
      <w:r w:rsidRPr="00FD16B0">
        <w:rPr>
          <w:b/>
        </w:rPr>
        <w:tab/>
      </w:r>
    </w:p>
    <w:p w:rsidR="007D62A0" w:rsidRPr="00FD16B0" w:rsidRDefault="007D62A0" w:rsidP="007D62A0">
      <w:pPr>
        <w:tabs>
          <w:tab w:val="left" w:pos="2923"/>
        </w:tabs>
        <w:spacing w:line="480" w:lineRule="auto"/>
        <w:rPr>
          <w:b/>
        </w:rPr>
      </w:pPr>
      <w:r w:rsidRPr="00FD16B0">
        <w:rPr>
          <w:b/>
        </w:rPr>
        <w:t>Supplemental Figure S6: Comparison of wing disc and S2 cell data sets and correlation with chromatin states (A)</w:t>
      </w:r>
      <w:r w:rsidRPr="00FD16B0">
        <w:t xml:space="preserve"> Clustering of all detected genes according to the distribution of four histone marks and RNA pol II in S2 cells based on data derived from </w:t>
      </w:r>
      <w:r>
        <w:t xml:space="preserve">the </w:t>
      </w:r>
      <w:r w:rsidRPr="00FD16B0">
        <w:t xml:space="preserve">modENCODE </w:t>
      </w:r>
      <w:r>
        <w:t xml:space="preserve">Consortium </w:t>
      </w:r>
      <w:r w:rsidRPr="00FD16B0">
        <w:fldChar w:fldCharType="begin"/>
      </w:r>
      <w:r w:rsidRPr="00FD16B0">
        <w:instrText xml:space="preserve"> ADDIN ZOTERO_ITEM CSL_CITATION {"citationID":"aRHYzBDM","properties":{"formattedCitation":"(Kharchenko et al., 2011)","plainCitation":"(Kharchenko et al., 2011)"},"citationItems":[{"id":398,"uris":["http://zotero.org/users/local/TL9od1Jm/items/UKVP5AMW"],"uri":["http://zotero.org/users/local/TL9od1Jm/items/UKVP5AMW"],"itemData":{"id":398,"type":"article-journal","title":"Comprehensive analysis of the chromatin landscape in Drosophila melanogaster","container-title":"Nature","page":"480-485","volume":"471","issue":"7339","source":"NCBI PubMed","abstract":"Chromatin is composed of DNA and a variety of modified histones and non-histone proteins, which have an impact on cell differentiation, gene regulation and other key cellular processes. Here we present a genome-wide chromatin landscape for Drosophila melanogaster based on eighteen histone modifications, summarized by nine prevalent combinatorial patterns. Integrative analysis with other data (non-histone chromatin proteins, DNase I hypersensitivity, GRO-Seq reads produced by engaged polymerase, short/long RNA products) reveals discrete characteristics of chromosomes, genes, regulatory elements and other functional domains. We find that active genes display distinct chromatin signatures that are correlated with disparate gene lengths, exon patterns, regulatory functions and genomic contexts. We also demonstrate a diversity of signatures among Polycomb targets that include a subset with paused polymerase. This systematic profiling and integrative analysis of chromatin signatures provides insights into how genomic elements are regulated, and will serve as a resource for future experimental investigations of genome structure and function.","DOI":"10.1038/nature09725","ISSN":"1476-4687","note":"PMID: 21179089 \nPMCID: PMC3109908","journalAbbreviation":"Nature","language":"eng","author":[{"family":"Kharchenko","given":"Peter V."},{"family":"Alekseyenko","given":"Artyom A."},{"family":"Schwartz","given":"Yuri B."},{"family":"Minoda","given":"Aki"},{"family":"Riddle","given":"Nicole C."},{"family":"Ernst","given":"Jason"},{"family":"Sabo","given":"Peter J."},{"family":"Larschan","given":"Erica"},{"family":"Gorchakov","given":"Andrey A."},{"family":"Gu","given":"Tingting"},{"family":"Linder-Basso","given":"Daniela"},{"family":"Plachetka","given":"Annette"},{"family":"Shanower","given":"Gregory"},{"family":"Tolstorukov","given":"Michael Y."},{"family":"Luquette","given":"Lovelace J."},{"family":"Xi","given":"Ruibin"},{"family":"Jung","given":"Youngsook L."},{"family":"Park","given":"Richard W."},{"family":"Bishop","given":"Eric P."},{"family":"Canfield","given":"Theresa K."},{"family":"Sandstrom","given":"Richard"},{"family":"Thurman","given":"Robert E."},{"family":"MacAlpine","given":"David M."},{"family":"Stamatoyannopoulos","given":"John A."},{"family":"Kellis","given":"Manolis"},{"family":"Elgin","given":"Sarah C. R."},{"family":"Kuroda","given":"Mitzi I."},{"family":"Pirrotta","given":"Vincenzo"},{"family":"Karpen","given":"Gary H."},{"family":"Park","given":"Peter J."}],"issued":{"date-parts":[["2011",3,24]]},"PMID":"21179089","PMCID":"PMC3109908"}}],"schema":"https://github.com/citation-style-language/schema/raw/master/csl-citation.json"} </w:instrText>
      </w:r>
      <w:r w:rsidRPr="00FD16B0">
        <w:fldChar w:fldCharType="separate"/>
      </w:r>
      <w:r w:rsidRPr="00FD16B0">
        <w:rPr>
          <w:noProof/>
        </w:rPr>
        <w:t>(Kharchenko et al., 2011)</w:t>
      </w:r>
      <w:r w:rsidRPr="00FD16B0">
        <w:fldChar w:fldCharType="end"/>
      </w:r>
      <w:r w:rsidRPr="00FD16B0">
        <w:t xml:space="preserve">. </w:t>
      </w:r>
      <w:r w:rsidRPr="00FD16B0">
        <w:rPr>
          <w:lang w:val="uz-Cyrl-UZ"/>
        </w:rPr>
        <w:t xml:space="preserve">We again found two clusters (also numbers 4 and 5) containing bivalently marked genes, indicating that this property is not restricted to complex tissues such as the wing disc. </w:t>
      </w:r>
      <w:r w:rsidRPr="00FD16B0">
        <w:rPr>
          <w:b/>
        </w:rPr>
        <w:t>(B)</w:t>
      </w:r>
      <w:r w:rsidRPr="00FD16B0">
        <w:t xml:space="preserve"> Number of genes common among the wing disc (WD) and S2 cell clusters (S2). </w:t>
      </w:r>
      <w:r w:rsidRPr="00FD16B0">
        <w:rPr>
          <w:lang w:val="uz-Cyrl-UZ"/>
        </w:rPr>
        <w:t>We found in general high gene overlap between each of the corresponding wing disc- and S2 cells-derived clusters. For example, respectively 87%, 70%, and 43% of genes belonging to wing disc clusters 1, 2, and 6 are located in the corresponding S2 clusters. As could be expected, the largest differences were observed for bivalently marked genes (clusters 4 and 5) which distributed somewhat evenly over the 6 S2 clusters. This result suggests that genes under tight regulatory control in the wing disc tend to be less restricted in S2 cells, consistent with the fact that wing discs contain almost double the number of transcriptionally silenced genes than S2 cells (based on the number of genes in cluster 6 for each), including many bivalently marked genes in S2 cells (clusters 4 and 5).</w:t>
      </w:r>
      <w:r w:rsidRPr="00FD16B0">
        <w:rPr>
          <w:b/>
        </w:rPr>
        <w:t xml:space="preserve"> (C) </w:t>
      </w:r>
      <w:r w:rsidRPr="00FD16B0">
        <w:rPr>
          <w:lang w:eastAsia="ja-JP"/>
        </w:rPr>
        <w:t xml:space="preserve">Bar plot representing the percentage of genes in each cluster covered by each of the “chromatin colors” as previously defined </w:t>
      </w:r>
      <w:r w:rsidRPr="00FD16B0">
        <w:rPr>
          <w:lang w:eastAsia="ja-JP"/>
        </w:rPr>
        <w:fldChar w:fldCharType="begin"/>
      </w:r>
      <w:r w:rsidRPr="00FD16B0">
        <w:rPr>
          <w:lang w:eastAsia="ja-JP"/>
        </w:rPr>
        <w:instrText xml:space="preserve"> ADDIN ZOTERO_ITEM CSL_CITATION {"citationID":"fW6cTe4X","properties":{"formattedCitation":"(Filion et al., 2010)","plainCitation":"(Filion et al., 2010)"},"citationItems":[{"id":394,"uris":["http://zotero.org/users/local/TL9od1Jm/items/UDFNV8ED"],"uri":["http://zotero.org/users/local/TL9od1Jm/items/UDFNV8ED"],"itemData":{"id":394,"type":"article-journal","title":"Systematic protein location mapping reveals five principal chromatin types in Drosophila cells","container-title":"Cell","page":"212-224","volume":"143","issue":"2","source":"NCBI PubMed","abstract":"Chromatin is important for the regulation of transcription and other functions, yet the diversity of chromatin composition and the distribution along chromosomes are still poorly characterized. By integrative analysis of genome-wide binding maps of 53 broadly selected chromatin components in Drosophila cells, we show that the genome is segmented into five principal chromatin types that are defined by unique yet overlapping combinations of proteins and form domains that can extend over &gt; 100 kb. We identify a repressive chromatin type that covers about half of the genome and lacks classic heterochromatin markers. Furthermore, transcriptionally active euchromatin consists of two types that differ in molecular organization and H3K36 methylation and regulate distinct classes of genes. Finally, we provide evidence that the different chromatin types help to target DNA-binding factors to specific genomic regions. These results provide a global view of chromatin diversity and domain organization in a metazoan cell.","DOI":"10.1016/j.cell.2010.09.009","ISSN":"1097-4172","note":"PMID: 20888037 \nPMCID: PMC3119929","journalAbbreviation":"Cell","language":"eng","author":[{"family":"Filion","given":"Guillaume J."},{"family":"van Bemmel","given":"Joke G."},{"family":"Braunschweig","given":"Ulrich"},{"family":"Talhout","given":"Wendy"},{"family":"Kind","given":"Jop"},{"family":"Ward","given":"Lucas D."},{"family":"Brugman","given":"Wim"},{"family":"de Castro","given":"Inês J."},{"family":"Kerkhoven","given":"Ron M."},{"family":"Bussemaker","given":"Harmen J."},{"family":"van Steensel","given":"Bas"}],"issued":{"date-parts":[["2010",10,15]]},"PMID":"20888037","PMCID":"PMC3119929"}}],"schema":"https://github.com/citation-style-language/schema/raw/master/csl-citation.json"} </w:instrText>
      </w:r>
      <w:r w:rsidRPr="00FD16B0">
        <w:rPr>
          <w:lang w:eastAsia="ja-JP"/>
        </w:rPr>
        <w:fldChar w:fldCharType="separate"/>
      </w:r>
      <w:r w:rsidRPr="00FD16B0">
        <w:rPr>
          <w:noProof/>
          <w:lang w:eastAsia="ja-JP"/>
        </w:rPr>
        <w:t>(Filion et al., 2010)</w:t>
      </w:r>
      <w:r w:rsidRPr="00FD16B0">
        <w:rPr>
          <w:lang w:eastAsia="ja-JP"/>
        </w:rPr>
        <w:fldChar w:fldCharType="end"/>
      </w:r>
      <w:r w:rsidRPr="00FD16B0">
        <w:rPr>
          <w:lang w:eastAsia="ja-JP"/>
        </w:rPr>
        <w:t xml:space="preserve">. </w:t>
      </w:r>
      <w:r w:rsidRPr="00FD16B0">
        <w:t xml:space="preserve">If a gene was covered by more than one color, then only the color covering the largest part of the gene was retained. The resulting data are in line with expectations, further validating our clustering approach. Specifically, we found that the number of genes marked by yellow (i.e. housekeeping state) tend to decrease from clusters 1 to 6 with the number of genes falling in the black category (abundant repressive state) following the opposite pattern. In addition, clusters 4 and 5 contain the highest number of blue (Polycomb)-labeled genes with a further distinction between the subclusters with or without “H3K27me3” (a greater proportion of blue in the “with” subclusters), consistent with the involvement of Polycomb in establishing this repressive mark. </w:t>
      </w:r>
    </w:p>
    <w:p w:rsidR="007D62A0" w:rsidRPr="00FD16B0" w:rsidRDefault="007D62A0" w:rsidP="007D6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rPr>
      </w:pPr>
    </w:p>
    <w:p w:rsidR="00364694" w:rsidRDefault="007D62A0" w:rsidP="007D62A0">
      <w:pPr>
        <w:spacing w:line="480" w:lineRule="auto"/>
      </w:pPr>
      <w:r w:rsidRPr="00FD16B0">
        <w:rPr>
          <w:b/>
        </w:rPr>
        <w:t>Supplemental Figure S7:</w:t>
      </w:r>
      <w:r w:rsidRPr="00FD16B0">
        <w:t xml:space="preserve"> </w:t>
      </w:r>
      <w:r w:rsidRPr="00FD16B0">
        <w:rPr>
          <w:b/>
        </w:rPr>
        <w:t>Comparison of histone modifications in whole larvae and wing discs at the third instar larval stage</w:t>
      </w:r>
      <w:r w:rsidRPr="00FD16B0">
        <w:t>.</w:t>
      </w:r>
      <w:r w:rsidRPr="00FD16B0">
        <w:rPr>
          <w:b/>
        </w:rPr>
        <w:t xml:space="preserve"> (A) </w:t>
      </w:r>
      <w:r w:rsidRPr="00FD16B0">
        <w:t xml:space="preserve">Peaks of the indicated histone marks visualized by the USCS genome browser at the </w:t>
      </w:r>
      <w:r w:rsidRPr="00FD16B0">
        <w:rPr>
          <w:i/>
        </w:rPr>
        <w:t>ara</w:t>
      </w:r>
      <w:r w:rsidRPr="00FD16B0">
        <w:t xml:space="preserve"> and </w:t>
      </w:r>
      <w:r w:rsidRPr="00FD16B0">
        <w:rPr>
          <w:i/>
        </w:rPr>
        <w:t>caup</w:t>
      </w:r>
      <w:r w:rsidRPr="00FD16B0">
        <w:t xml:space="preserve"> loci (indicated on the bottom) representative for the bivalent gene class and </w:t>
      </w:r>
      <w:r w:rsidRPr="00FD16B0">
        <w:rPr>
          <w:b/>
        </w:rPr>
        <w:t>(B)</w:t>
      </w:r>
      <w:r w:rsidRPr="00FD16B0">
        <w:t xml:space="preserve"> the silenced </w:t>
      </w:r>
      <w:r w:rsidRPr="00FD16B0">
        <w:rPr>
          <w:i/>
        </w:rPr>
        <w:t>Ubx-Abd-B</w:t>
      </w:r>
      <w:r w:rsidRPr="00FD16B0">
        <w:t xml:space="preserve"> gene region. </w:t>
      </w:r>
      <w:r>
        <w:t xml:space="preserve">The </w:t>
      </w:r>
      <w:r w:rsidRPr="00FD16B0">
        <w:t xml:space="preserve">modENCODE </w:t>
      </w:r>
      <w:r>
        <w:t xml:space="preserve">Consortium </w:t>
      </w:r>
      <w:r w:rsidRPr="00FD16B0">
        <w:t xml:space="preserve">data from entire larvae is displayed on top, our wing disc-specific data below. The H3K4me1, H3K27ac, and H3K79me1-2-3 histone modifications are specifically enriched in the wing disc samples for actively transcribed genes, whereas the converse is true for repressed genes. </w:t>
      </w:r>
      <w:r w:rsidRPr="00FD16B0">
        <w:rPr>
          <w:b/>
        </w:rPr>
        <w:t>(C</w:t>
      </w:r>
      <w:r w:rsidRPr="00FD16B0">
        <w:t xml:space="preserve">, </w:t>
      </w:r>
      <w:r w:rsidRPr="00FD16B0">
        <w:rPr>
          <w:b/>
        </w:rPr>
        <w:t>D)</w:t>
      </w:r>
      <w:r w:rsidRPr="00FD16B0">
        <w:t xml:space="preserve"> Global analysis of chromatin mark distribution around genes in cluster 4b in the wing disc (this study) and entire larvae (</w:t>
      </w:r>
      <w:r>
        <w:t xml:space="preserve">the </w:t>
      </w:r>
      <w:r w:rsidRPr="00FD16B0">
        <w:t>modENCODE</w:t>
      </w:r>
      <w:r>
        <w:t xml:space="preserve"> Consortium</w:t>
      </w:r>
      <w:r w:rsidRPr="00FD16B0">
        <w:t>). The transcription start site (TSS) is at 0 on the X-axis with 1kb upstream and downstream occupancy plotted and with the X-axis representing the distance in bp from the TSS and the Y-axis representing the tag depth per bp.</w:t>
      </w:r>
      <w:bookmarkStart w:id="0" w:name="_GoBack"/>
      <w:bookmarkEnd w:id="0"/>
    </w:p>
    <w:sectPr w:rsidR="00364694" w:rsidSect="00A16B83">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2A0" w:rsidRDefault="007D62A0" w:rsidP="007D62A0">
      <w:r>
        <w:separator/>
      </w:r>
    </w:p>
  </w:endnote>
  <w:endnote w:type="continuationSeparator" w:id="0">
    <w:p w:rsidR="007D62A0" w:rsidRDefault="007D62A0" w:rsidP="007D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A0" w:rsidRDefault="007D62A0" w:rsidP="00E33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62A0" w:rsidRDefault="007D62A0" w:rsidP="007D62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A0" w:rsidRDefault="007D62A0" w:rsidP="00E33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62A0" w:rsidRDefault="007D62A0" w:rsidP="007D62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2A0" w:rsidRDefault="007D62A0" w:rsidP="007D62A0">
      <w:r>
        <w:separator/>
      </w:r>
    </w:p>
  </w:footnote>
  <w:footnote w:type="continuationSeparator" w:id="0">
    <w:p w:rsidR="007D62A0" w:rsidRDefault="007D62A0" w:rsidP="007D6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A0"/>
    <w:rsid w:val="00364694"/>
    <w:rsid w:val="007D62A0"/>
    <w:rsid w:val="00A16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7116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62A0"/>
    <w:pPr>
      <w:spacing w:before="100" w:beforeAutospacing="1" w:after="100" w:afterAutospacing="1"/>
    </w:pPr>
    <w:rPr>
      <w:rFonts w:ascii="Times" w:hAnsi="Times"/>
      <w:sz w:val="20"/>
      <w:szCs w:val="20"/>
    </w:rPr>
  </w:style>
  <w:style w:type="character" w:styleId="Hyperlink">
    <w:name w:val="Hyperlink"/>
    <w:basedOn w:val="DefaultParagraphFont"/>
    <w:uiPriority w:val="99"/>
    <w:rsid w:val="007D62A0"/>
    <w:rPr>
      <w:rFonts w:cs="Times New Roman"/>
      <w:color w:val="0000FF"/>
      <w:u w:val="single"/>
    </w:rPr>
  </w:style>
  <w:style w:type="paragraph" w:styleId="Footer">
    <w:name w:val="footer"/>
    <w:basedOn w:val="Normal"/>
    <w:link w:val="FooterChar"/>
    <w:uiPriority w:val="99"/>
    <w:unhideWhenUsed/>
    <w:rsid w:val="007D62A0"/>
    <w:pPr>
      <w:tabs>
        <w:tab w:val="center" w:pos="4320"/>
        <w:tab w:val="right" w:pos="8640"/>
      </w:tabs>
    </w:pPr>
  </w:style>
  <w:style w:type="character" w:customStyle="1" w:styleId="FooterChar">
    <w:name w:val="Footer Char"/>
    <w:basedOn w:val="DefaultParagraphFont"/>
    <w:link w:val="Footer"/>
    <w:uiPriority w:val="99"/>
    <w:rsid w:val="007D62A0"/>
    <w:rPr>
      <w:rFonts w:ascii="Times New Roman" w:eastAsia="Times New Roman" w:hAnsi="Times New Roman" w:cs="Times New Roman"/>
    </w:rPr>
  </w:style>
  <w:style w:type="character" w:styleId="PageNumber">
    <w:name w:val="page number"/>
    <w:basedOn w:val="DefaultParagraphFont"/>
    <w:uiPriority w:val="99"/>
    <w:semiHidden/>
    <w:unhideWhenUsed/>
    <w:rsid w:val="007D62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62A0"/>
    <w:pPr>
      <w:spacing w:before="100" w:beforeAutospacing="1" w:after="100" w:afterAutospacing="1"/>
    </w:pPr>
    <w:rPr>
      <w:rFonts w:ascii="Times" w:hAnsi="Times"/>
      <w:sz w:val="20"/>
      <w:szCs w:val="20"/>
    </w:rPr>
  </w:style>
  <w:style w:type="character" w:styleId="Hyperlink">
    <w:name w:val="Hyperlink"/>
    <w:basedOn w:val="DefaultParagraphFont"/>
    <w:uiPriority w:val="99"/>
    <w:rsid w:val="007D62A0"/>
    <w:rPr>
      <w:rFonts w:cs="Times New Roman"/>
      <w:color w:val="0000FF"/>
      <w:u w:val="single"/>
    </w:rPr>
  </w:style>
  <w:style w:type="paragraph" w:styleId="Footer">
    <w:name w:val="footer"/>
    <w:basedOn w:val="Normal"/>
    <w:link w:val="FooterChar"/>
    <w:uiPriority w:val="99"/>
    <w:unhideWhenUsed/>
    <w:rsid w:val="007D62A0"/>
    <w:pPr>
      <w:tabs>
        <w:tab w:val="center" w:pos="4320"/>
        <w:tab w:val="right" w:pos="8640"/>
      </w:tabs>
    </w:pPr>
  </w:style>
  <w:style w:type="character" w:customStyle="1" w:styleId="FooterChar">
    <w:name w:val="Footer Char"/>
    <w:basedOn w:val="DefaultParagraphFont"/>
    <w:link w:val="Footer"/>
    <w:uiPriority w:val="99"/>
    <w:rsid w:val="007D62A0"/>
    <w:rPr>
      <w:rFonts w:ascii="Times New Roman" w:eastAsia="Times New Roman" w:hAnsi="Times New Roman" w:cs="Times New Roman"/>
    </w:rPr>
  </w:style>
  <w:style w:type="character" w:styleId="PageNumber">
    <w:name w:val="page number"/>
    <w:basedOn w:val="DefaultParagraphFont"/>
    <w:uiPriority w:val="99"/>
    <w:semiHidden/>
    <w:unhideWhenUsed/>
    <w:rsid w:val="007D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rik.vannimwegen@unibas.ch" TargetMode="External"/><Relationship Id="rId8" Type="http://schemas.openxmlformats.org/officeDocument/2006/relationships/hyperlink" Target="mailto:konrad.basler@imls.uzh.ch" TargetMode="External"/><Relationship Id="rId9" Type="http://schemas.openxmlformats.org/officeDocument/2006/relationships/hyperlink" Target="mailto:bart.deplancke@epfl.ch"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2884</Words>
  <Characters>16439</Characters>
  <Application>Microsoft Macintosh Word</Application>
  <DocSecurity>0</DocSecurity>
  <Lines>136</Lines>
  <Paragraphs>38</Paragraphs>
  <ScaleCrop>false</ScaleCrop>
  <Company>EPFL</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Deplancke</dc:creator>
  <cp:keywords/>
  <dc:description/>
  <cp:lastModifiedBy>Bart Deplancke</cp:lastModifiedBy>
  <cp:revision>1</cp:revision>
  <dcterms:created xsi:type="dcterms:W3CDTF">2015-01-07T09:06:00Z</dcterms:created>
  <dcterms:modified xsi:type="dcterms:W3CDTF">2015-01-07T09:14:00Z</dcterms:modified>
</cp:coreProperties>
</file>