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AE91D" w14:textId="77777777" w:rsidR="00877A12" w:rsidRPr="009D1176" w:rsidRDefault="00877A12" w:rsidP="00877A12">
      <w:pPr>
        <w:rPr>
          <w:rFonts w:ascii="Calibri" w:hAnsi="Calibri"/>
          <w:b/>
          <w:color w:val="4F81BD" w:themeColor="accent1"/>
          <w:sz w:val="32"/>
        </w:rPr>
      </w:pPr>
      <w:r w:rsidRPr="009D1176">
        <w:rPr>
          <w:rFonts w:ascii="Calibri" w:hAnsi="Calibri"/>
          <w:b/>
          <w:color w:val="4F81BD" w:themeColor="accent1"/>
          <w:sz w:val="32"/>
        </w:rPr>
        <w:t>Single haplotype assembly of the human genome from a hydatidiform mole</w:t>
      </w:r>
    </w:p>
    <w:p w14:paraId="421DCDC9" w14:textId="77777777" w:rsidR="00877A12" w:rsidRPr="009D1176" w:rsidRDefault="00877A12" w:rsidP="00877A12">
      <w:pPr>
        <w:rPr>
          <w:rFonts w:ascii="Calibri" w:hAnsi="Calibri"/>
        </w:rPr>
      </w:pPr>
    </w:p>
    <w:p w14:paraId="0C6C601B" w14:textId="77777777" w:rsidR="00877A12" w:rsidRPr="009D1176" w:rsidRDefault="00877A12" w:rsidP="00877A12">
      <w:pPr>
        <w:rPr>
          <w:rFonts w:ascii="Calibri" w:hAnsi="Calibri"/>
        </w:rPr>
      </w:pPr>
      <w:r w:rsidRPr="009D1176">
        <w:rPr>
          <w:rFonts w:ascii="Calibri" w:hAnsi="Calibri"/>
        </w:rPr>
        <w:t>Karyn Meltz Steinberg</w:t>
      </w:r>
      <w:r w:rsidRPr="009D1176">
        <w:rPr>
          <w:rFonts w:ascii="Calibri" w:hAnsi="Calibri"/>
          <w:vertAlign w:val="superscript"/>
        </w:rPr>
        <w:t>1</w:t>
      </w:r>
      <w:r w:rsidRPr="009D1176">
        <w:rPr>
          <w:rFonts w:ascii="Calibri" w:hAnsi="Calibri"/>
        </w:rPr>
        <w:t>, Valerie A. Schneider</w:t>
      </w:r>
      <w:r w:rsidRPr="009D1176">
        <w:rPr>
          <w:rFonts w:ascii="Calibri" w:hAnsi="Calibri"/>
          <w:vertAlign w:val="superscript"/>
        </w:rPr>
        <w:t>2</w:t>
      </w:r>
      <w:r w:rsidRPr="009D1176">
        <w:rPr>
          <w:rFonts w:ascii="Calibri" w:hAnsi="Calibri"/>
        </w:rPr>
        <w:t>, Tina A. Graves-Lindsay</w:t>
      </w:r>
      <w:r w:rsidRPr="009D1176">
        <w:rPr>
          <w:rFonts w:ascii="Calibri" w:hAnsi="Calibri"/>
          <w:vertAlign w:val="superscript"/>
        </w:rPr>
        <w:t>1</w:t>
      </w:r>
      <w:r w:rsidRPr="009D1176">
        <w:rPr>
          <w:rFonts w:ascii="Calibri" w:hAnsi="Calibri"/>
        </w:rPr>
        <w:t>, Robert S.  Fulton</w:t>
      </w:r>
      <w:r w:rsidRPr="009D1176">
        <w:rPr>
          <w:rFonts w:ascii="Calibri" w:hAnsi="Calibri"/>
          <w:vertAlign w:val="superscript"/>
        </w:rPr>
        <w:t>1</w:t>
      </w:r>
      <w:r w:rsidRPr="009D1176">
        <w:rPr>
          <w:rFonts w:ascii="Calibri" w:hAnsi="Calibri"/>
        </w:rPr>
        <w:t xml:space="preserve">, </w:t>
      </w:r>
      <w:proofErr w:type="spellStart"/>
      <w:r w:rsidRPr="009D1176">
        <w:rPr>
          <w:rFonts w:ascii="Calibri" w:hAnsi="Calibri"/>
        </w:rPr>
        <w:t>Richa</w:t>
      </w:r>
      <w:proofErr w:type="spellEnd"/>
      <w:r w:rsidRPr="009D1176">
        <w:rPr>
          <w:rFonts w:ascii="Calibri" w:hAnsi="Calibri"/>
        </w:rPr>
        <w:t xml:space="preserve"> Agarwala</w:t>
      </w:r>
      <w:r w:rsidRPr="009D1176">
        <w:rPr>
          <w:rFonts w:ascii="Calibri" w:hAnsi="Calibri"/>
          <w:vertAlign w:val="superscript"/>
        </w:rPr>
        <w:t>2</w:t>
      </w:r>
      <w:r w:rsidRPr="009D1176">
        <w:rPr>
          <w:rFonts w:ascii="Calibri" w:hAnsi="Calibri"/>
        </w:rPr>
        <w:t>, John Huddleston</w:t>
      </w:r>
      <w:r w:rsidRPr="009D1176">
        <w:rPr>
          <w:rFonts w:ascii="Calibri" w:hAnsi="Calibri"/>
          <w:vertAlign w:val="superscript"/>
        </w:rPr>
        <w:t>3</w:t>
      </w:r>
      <w:proofErr w:type="gramStart"/>
      <w:r w:rsidRPr="009D1176">
        <w:rPr>
          <w:rFonts w:ascii="Calibri" w:hAnsi="Calibri"/>
          <w:vertAlign w:val="superscript"/>
        </w:rPr>
        <w:t>,4</w:t>
      </w:r>
      <w:proofErr w:type="gramEnd"/>
      <w:r w:rsidRPr="009D1176">
        <w:rPr>
          <w:rFonts w:ascii="Calibri" w:hAnsi="Calibri"/>
        </w:rPr>
        <w:t>, Sergey A. Shiryev</w:t>
      </w:r>
      <w:r w:rsidRPr="009D1176">
        <w:rPr>
          <w:rFonts w:ascii="Calibri" w:hAnsi="Calibri"/>
          <w:vertAlign w:val="superscript"/>
        </w:rPr>
        <w:t>2</w:t>
      </w:r>
      <w:r w:rsidRPr="009D1176">
        <w:rPr>
          <w:rFonts w:ascii="Calibri" w:hAnsi="Calibri"/>
        </w:rPr>
        <w:t xml:space="preserve">, </w:t>
      </w:r>
      <w:proofErr w:type="spellStart"/>
      <w:r w:rsidRPr="009D1176">
        <w:rPr>
          <w:rFonts w:ascii="Calibri" w:hAnsi="Calibri"/>
        </w:rPr>
        <w:t>Aleksandr</w:t>
      </w:r>
      <w:proofErr w:type="spellEnd"/>
      <w:r w:rsidRPr="009D1176">
        <w:rPr>
          <w:rFonts w:ascii="Calibri" w:hAnsi="Calibri"/>
        </w:rPr>
        <w:t xml:space="preserve"> Morgulis</w:t>
      </w:r>
      <w:r w:rsidRPr="009D1176">
        <w:rPr>
          <w:rFonts w:ascii="Calibri" w:hAnsi="Calibri"/>
          <w:vertAlign w:val="superscript"/>
        </w:rPr>
        <w:t>2</w:t>
      </w:r>
      <w:r w:rsidRPr="009D1176">
        <w:rPr>
          <w:rFonts w:ascii="Calibri" w:hAnsi="Calibri"/>
        </w:rPr>
        <w:t xml:space="preserve">, </w:t>
      </w:r>
      <w:proofErr w:type="spellStart"/>
      <w:r w:rsidRPr="009D1176">
        <w:rPr>
          <w:rFonts w:ascii="Calibri" w:hAnsi="Calibri"/>
        </w:rPr>
        <w:t>Urvashi</w:t>
      </w:r>
      <w:proofErr w:type="spellEnd"/>
      <w:r w:rsidRPr="009D1176">
        <w:rPr>
          <w:rFonts w:ascii="Calibri" w:hAnsi="Calibri"/>
        </w:rPr>
        <w:t xml:space="preserve"> Surti</w:t>
      </w:r>
      <w:r w:rsidRPr="009D1176">
        <w:rPr>
          <w:rFonts w:ascii="Calibri" w:hAnsi="Calibri"/>
          <w:vertAlign w:val="superscript"/>
        </w:rPr>
        <w:t>5</w:t>
      </w:r>
      <w:r w:rsidRPr="009D1176">
        <w:rPr>
          <w:rFonts w:ascii="Calibri" w:hAnsi="Calibri"/>
        </w:rPr>
        <w:t>, Wesley C. Warren</w:t>
      </w:r>
      <w:r w:rsidRPr="009D1176">
        <w:rPr>
          <w:rFonts w:ascii="Calibri" w:hAnsi="Calibri"/>
          <w:vertAlign w:val="superscript"/>
        </w:rPr>
        <w:t>1</w:t>
      </w:r>
      <w:r w:rsidRPr="009D1176">
        <w:rPr>
          <w:rFonts w:ascii="Calibri" w:hAnsi="Calibri"/>
        </w:rPr>
        <w:t>, Deanna M. Church</w:t>
      </w:r>
      <w:r w:rsidRPr="009D1176">
        <w:rPr>
          <w:rFonts w:ascii="Calibri" w:hAnsi="Calibri"/>
          <w:vertAlign w:val="superscript"/>
        </w:rPr>
        <w:t>6</w:t>
      </w:r>
      <w:r w:rsidRPr="009D1176">
        <w:rPr>
          <w:rFonts w:ascii="Calibri" w:hAnsi="Calibri"/>
        </w:rPr>
        <w:t>, Evan E. Eichler</w:t>
      </w:r>
      <w:r w:rsidRPr="009D1176">
        <w:rPr>
          <w:rFonts w:ascii="Calibri" w:hAnsi="Calibri"/>
          <w:vertAlign w:val="superscript"/>
        </w:rPr>
        <w:t>3,4</w:t>
      </w:r>
      <w:r w:rsidRPr="009D1176">
        <w:rPr>
          <w:rFonts w:ascii="Calibri" w:hAnsi="Calibri"/>
        </w:rPr>
        <w:t>, Richard K. Wilson</w:t>
      </w:r>
      <w:r w:rsidRPr="009D1176">
        <w:rPr>
          <w:rFonts w:ascii="Calibri" w:hAnsi="Calibri"/>
          <w:vertAlign w:val="superscript"/>
        </w:rPr>
        <w:t>1</w:t>
      </w:r>
    </w:p>
    <w:p w14:paraId="34AF953F" w14:textId="77777777" w:rsidR="00877A12" w:rsidRPr="009D1176" w:rsidRDefault="00877A12" w:rsidP="00877A12">
      <w:pPr>
        <w:rPr>
          <w:rFonts w:ascii="Calibri" w:hAnsi="Calibri"/>
          <w:vertAlign w:val="superscript"/>
        </w:rPr>
      </w:pPr>
    </w:p>
    <w:p w14:paraId="4EFD5685" w14:textId="77777777" w:rsidR="00877A12" w:rsidRPr="009D1176" w:rsidRDefault="00877A12" w:rsidP="00877A12">
      <w:pPr>
        <w:rPr>
          <w:rFonts w:ascii="Calibri" w:hAnsi="Calibri"/>
        </w:rPr>
      </w:pPr>
      <w:r w:rsidRPr="009D1176">
        <w:rPr>
          <w:rFonts w:ascii="Calibri" w:hAnsi="Calibri"/>
          <w:vertAlign w:val="superscript"/>
        </w:rPr>
        <w:t>1</w:t>
      </w:r>
      <w:r w:rsidRPr="009D1176">
        <w:rPr>
          <w:rFonts w:ascii="Calibri" w:hAnsi="Calibri"/>
        </w:rPr>
        <w:t xml:space="preserve">The Genome Institute at Washington University, St. Louis, MO; </w:t>
      </w:r>
      <w:r w:rsidRPr="009D1176">
        <w:rPr>
          <w:rFonts w:ascii="Calibri" w:hAnsi="Calibri"/>
          <w:vertAlign w:val="superscript"/>
        </w:rPr>
        <w:t>2</w:t>
      </w:r>
      <w:r w:rsidRPr="009D1176">
        <w:rPr>
          <w:rFonts w:ascii="Calibri" w:hAnsi="Calibri"/>
        </w:rPr>
        <w:t xml:space="preserve">National Center for Biotechnology Information, National Library of Medicine, National Institutes of Health, Bethesda, MD; </w:t>
      </w:r>
      <w:r w:rsidRPr="009D1176">
        <w:rPr>
          <w:rFonts w:ascii="Calibri" w:hAnsi="Calibri"/>
          <w:vertAlign w:val="superscript"/>
        </w:rPr>
        <w:t>3</w:t>
      </w:r>
      <w:r w:rsidRPr="009D1176">
        <w:rPr>
          <w:rFonts w:ascii="Calibri" w:hAnsi="Calibri"/>
        </w:rPr>
        <w:t xml:space="preserve">Department of Genome Sciences, University of Washington, Seattle, WA; </w:t>
      </w:r>
      <w:r w:rsidRPr="009D1176">
        <w:rPr>
          <w:rFonts w:ascii="Calibri" w:hAnsi="Calibri"/>
          <w:vertAlign w:val="superscript"/>
        </w:rPr>
        <w:t>4</w:t>
      </w:r>
      <w:r w:rsidRPr="009D1176">
        <w:rPr>
          <w:rFonts w:ascii="Calibri" w:hAnsi="Calibri"/>
        </w:rPr>
        <w:t>Howard Hughes Medical Institute, University of Washington, Seattle, Washington 98195, USA;</w:t>
      </w:r>
      <w:r w:rsidRPr="009D1176">
        <w:rPr>
          <w:rFonts w:ascii="Calibri" w:hAnsi="Calibri"/>
          <w:vertAlign w:val="superscript"/>
        </w:rPr>
        <w:t xml:space="preserve"> 5</w:t>
      </w:r>
      <w:r w:rsidRPr="009D1176">
        <w:rPr>
          <w:rFonts w:ascii="Calibri" w:hAnsi="Calibri"/>
        </w:rPr>
        <w:t xml:space="preserve">University of Pittsburgh, Pittsburgh, PA; </w:t>
      </w:r>
      <w:r w:rsidRPr="009D1176">
        <w:rPr>
          <w:rFonts w:ascii="Calibri" w:hAnsi="Calibri"/>
          <w:vertAlign w:val="superscript"/>
        </w:rPr>
        <w:t>6</w:t>
      </w:r>
      <w:r w:rsidRPr="009D1176">
        <w:rPr>
          <w:rFonts w:ascii="Calibri" w:hAnsi="Calibri"/>
        </w:rPr>
        <w:t>Personalis, Inc. Menlo Park, CA</w:t>
      </w:r>
    </w:p>
    <w:p w14:paraId="726584A7" w14:textId="77777777" w:rsidR="001F6F65" w:rsidRDefault="001F6F65">
      <w:pPr>
        <w:rPr>
          <w:rFonts w:asciiTheme="majorHAnsi" w:hAnsiTheme="majorHAnsi"/>
          <w:b/>
          <w:color w:val="4F81BD" w:themeColor="accent1"/>
          <w:sz w:val="32"/>
        </w:rPr>
      </w:pPr>
      <w:r>
        <w:rPr>
          <w:rFonts w:asciiTheme="majorHAnsi" w:hAnsiTheme="majorHAnsi"/>
          <w:b/>
          <w:color w:val="4F81BD" w:themeColor="accent1"/>
          <w:sz w:val="32"/>
        </w:rPr>
        <w:br w:type="page"/>
      </w:r>
    </w:p>
    <w:p w14:paraId="094C4816" w14:textId="2F3DD6C8" w:rsidR="00DF748B" w:rsidRDefault="00DF748B" w:rsidP="00DF748B">
      <w:pPr>
        <w:rPr>
          <w:rFonts w:asciiTheme="majorHAnsi" w:hAnsiTheme="majorHAnsi"/>
          <w:b/>
          <w:color w:val="4F81BD" w:themeColor="accent1"/>
          <w:sz w:val="32"/>
        </w:rPr>
      </w:pPr>
      <w:r w:rsidRPr="00A8587F">
        <w:rPr>
          <w:rFonts w:asciiTheme="majorHAnsi" w:hAnsiTheme="majorHAnsi"/>
          <w:b/>
          <w:color w:val="4F81BD" w:themeColor="accent1"/>
          <w:sz w:val="32"/>
        </w:rPr>
        <w:lastRenderedPageBreak/>
        <w:t>SUPPLEMENTA</w:t>
      </w:r>
      <w:r>
        <w:rPr>
          <w:rFonts w:asciiTheme="majorHAnsi" w:hAnsiTheme="majorHAnsi"/>
          <w:b/>
          <w:color w:val="4F81BD" w:themeColor="accent1"/>
          <w:sz w:val="32"/>
        </w:rPr>
        <w:t>L DATA</w:t>
      </w:r>
    </w:p>
    <w:p w14:paraId="2359B4D9" w14:textId="77777777" w:rsidR="00DF748B" w:rsidRDefault="00DF748B" w:rsidP="00DF748B">
      <w:pPr>
        <w:rPr>
          <w:rFonts w:asciiTheme="majorHAnsi" w:hAnsiTheme="majorHAnsi"/>
          <w:b/>
          <w:color w:val="4F81BD" w:themeColor="accent1"/>
          <w:sz w:val="32"/>
        </w:rPr>
      </w:pPr>
    </w:p>
    <w:p w14:paraId="19902FAD" w14:textId="20721A81" w:rsidR="00DF748B" w:rsidRPr="00DF748B" w:rsidRDefault="00F72E90" w:rsidP="00DF748B">
      <w:pPr>
        <w:rPr>
          <w:rFonts w:asciiTheme="majorHAnsi" w:hAnsiTheme="majorHAnsi"/>
          <w:b/>
          <w:color w:val="4F81BD" w:themeColor="accent1"/>
          <w:sz w:val="26"/>
          <w:szCs w:val="26"/>
        </w:rPr>
      </w:pPr>
      <w:r>
        <w:rPr>
          <w:rFonts w:asciiTheme="majorHAnsi" w:hAnsiTheme="majorHAnsi"/>
          <w:b/>
          <w:color w:val="4F81BD" w:themeColor="accent1"/>
          <w:sz w:val="26"/>
          <w:szCs w:val="26"/>
        </w:rPr>
        <w:t>Figures</w:t>
      </w:r>
    </w:p>
    <w:p w14:paraId="6AD1E31E" w14:textId="77777777" w:rsidR="00DF748B" w:rsidRDefault="00DF748B" w:rsidP="00DF748B"/>
    <w:p w14:paraId="4B81AF21" w14:textId="3B9F2134" w:rsidR="00DF748B" w:rsidRDefault="00DF748B" w:rsidP="00DF748B">
      <w:r>
        <w:t xml:space="preserve">Figure S1. a) Total number of base pairs for </w:t>
      </w:r>
      <w:proofErr w:type="spellStart"/>
      <w:r>
        <w:t>interchromosomal</w:t>
      </w:r>
      <w:proofErr w:type="spellEnd"/>
      <w:r>
        <w:t xml:space="preserve"> and </w:t>
      </w:r>
      <w:proofErr w:type="spellStart"/>
      <w:r>
        <w:t>intrachromosomal</w:t>
      </w:r>
      <w:proofErr w:type="spellEnd"/>
      <w:r>
        <w:t xml:space="preserve"> WGAC duplication events with sizes between 1 </w:t>
      </w:r>
      <w:proofErr w:type="spellStart"/>
      <w:r>
        <w:t>Kbp</w:t>
      </w:r>
      <w:proofErr w:type="spellEnd"/>
      <w:r>
        <w:t xml:space="preserve"> and 50 </w:t>
      </w:r>
      <w:proofErr w:type="spellStart"/>
      <w:r>
        <w:t>Kbp</w:t>
      </w:r>
      <w:proofErr w:type="spellEnd"/>
      <w:r>
        <w:t xml:space="preserve">. </w:t>
      </w:r>
    </w:p>
    <w:p w14:paraId="49285011" w14:textId="61E770E1" w:rsidR="00DF748B" w:rsidRDefault="00F72E90" w:rsidP="00DF748B">
      <w:r>
        <w:rPr>
          <w:noProof/>
        </w:rPr>
        <w:drawing>
          <wp:inline distT="0" distB="0" distL="0" distR="0" wp14:anchorId="5718FBEC" wp14:editId="351B4EFA">
            <wp:extent cx="3999653" cy="2999740"/>
            <wp:effectExtent l="0" t="0" r="0" b="0"/>
            <wp:docPr id="1" name="Picture 1" descr="Macintosh HD:Users:kmeltzst:Documents:chm1:manuscript:figures:Figure_S1a_seg_du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meltzst:Documents:chm1:manuscript:figures:Figure_S1a_seg_dups.pd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9653" cy="2999740"/>
                    </a:xfrm>
                    <a:prstGeom prst="rect">
                      <a:avLst/>
                    </a:prstGeom>
                    <a:noFill/>
                    <a:ln>
                      <a:noFill/>
                    </a:ln>
                  </pic:spPr>
                </pic:pic>
              </a:graphicData>
            </a:graphic>
          </wp:inline>
        </w:drawing>
      </w:r>
    </w:p>
    <w:p w14:paraId="7DE0A06C" w14:textId="77777777" w:rsidR="00F72E90" w:rsidRDefault="00F72E90" w:rsidP="00F72E90"/>
    <w:p w14:paraId="62C98DF2" w14:textId="77777777" w:rsidR="00F72E90" w:rsidRDefault="00F72E90" w:rsidP="00F72E90">
      <w:r>
        <w:t xml:space="preserve">b) Total number of aligned base pairs for </w:t>
      </w:r>
      <w:proofErr w:type="spellStart"/>
      <w:r>
        <w:t>interchromosomal</w:t>
      </w:r>
      <w:proofErr w:type="spellEnd"/>
      <w:r>
        <w:t xml:space="preserve"> and </w:t>
      </w:r>
      <w:proofErr w:type="spellStart"/>
      <w:r>
        <w:t>intrachromosomal</w:t>
      </w:r>
      <w:proofErr w:type="spellEnd"/>
      <w:r>
        <w:t xml:space="preserve"> WGAC duplication events based on sequence identities between 0.9 and 1 in intervals of 0.005.</w:t>
      </w:r>
    </w:p>
    <w:p w14:paraId="35AC2661" w14:textId="77777777" w:rsidR="00F72E90" w:rsidRDefault="00F72E90" w:rsidP="00DF748B"/>
    <w:p w14:paraId="28493460" w14:textId="57A2505C" w:rsidR="00F72E90" w:rsidRDefault="00F72E90" w:rsidP="00DF748B">
      <w:r>
        <w:rPr>
          <w:noProof/>
        </w:rPr>
        <w:drawing>
          <wp:inline distT="0" distB="0" distL="0" distR="0" wp14:anchorId="768E0CC3" wp14:editId="57F9DFC7">
            <wp:extent cx="3979333" cy="2984500"/>
            <wp:effectExtent l="0" t="0" r="8890" b="0"/>
            <wp:docPr id="2" name="Picture 2" descr="Macintosh HD:Users:kmeltzst:Documents:chm1:manuscript:figures:Figure_S1b_seg_du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meltzst:Documents:chm1:manuscript:figures:Figure_S1b_seg_dups.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9333" cy="2984500"/>
                    </a:xfrm>
                    <a:prstGeom prst="rect">
                      <a:avLst/>
                    </a:prstGeom>
                    <a:noFill/>
                    <a:ln>
                      <a:noFill/>
                    </a:ln>
                  </pic:spPr>
                </pic:pic>
              </a:graphicData>
            </a:graphic>
          </wp:inline>
        </w:drawing>
      </w:r>
    </w:p>
    <w:p w14:paraId="2D774360" w14:textId="77777777" w:rsidR="00F72E90" w:rsidRDefault="00F72E90" w:rsidP="00DF748B"/>
    <w:p w14:paraId="53608254" w14:textId="77777777" w:rsidR="00F72E90" w:rsidRDefault="00F72E90" w:rsidP="00DF748B"/>
    <w:p w14:paraId="2A94762B" w14:textId="7E79944D" w:rsidR="00DF748B" w:rsidRDefault="00DF748B" w:rsidP="00DF748B">
      <w:r>
        <w:t xml:space="preserve">Figure S2. </w:t>
      </w:r>
      <w:r w:rsidR="00942269">
        <w:t xml:space="preserve">Venn diagram comparing </w:t>
      </w:r>
      <w:r>
        <w:t xml:space="preserve">duplications (&gt;10 </w:t>
      </w:r>
      <w:proofErr w:type="spellStart"/>
      <w:r>
        <w:t>Kbp</w:t>
      </w:r>
      <w:proofErr w:type="spellEnd"/>
      <w:r>
        <w:t>, &gt;94% identity) in CHM1.1 reference assembly predicted by WGAC and WSSD analyses.</w:t>
      </w:r>
    </w:p>
    <w:p w14:paraId="7BC10BE4" w14:textId="77777777" w:rsidR="00F72E90" w:rsidRDefault="00F72E90" w:rsidP="00DF748B"/>
    <w:p w14:paraId="1C8608DE" w14:textId="3C662014" w:rsidR="00DF748B" w:rsidRDefault="00F72E90" w:rsidP="00DF748B">
      <w:r>
        <w:rPr>
          <w:noProof/>
        </w:rPr>
        <w:drawing>
          <wp:inline distT="0" distB="0" distL="0" distR="0" wp14:anchorId="275D6083" wp14:editId="5F167631">
            <wp:extent cx="3195320" cy="2187088"/>
            <wp:effectExtent l="0" t="0" r="5080" b="0"/>
            <wp:docPr id="4" name="Picture 4" descr="Macintosh HD:Users:kmeltzst:Documents:chm1:manuscript:figures:Figure_S2_seg_du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kmeltzst:Documents:chm1:manuscript:figures:Figure_S2_seg_dups.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5320" cy="2187088"/>
                    </a:xfrm>
                    <a:prstGeom prst="rect">
                      <a:avLst/>
                    </a:prstGeom>
                    <a:noFill/>
                    <a:ln>
                      <a:noFill/>
                    </a:ln>
                  </pic:spPr>
                </pic:pic>
              </a:graphicData>
            </a:graphic>
          </wp:inline>
        </w:drawing>
      </w:r>
    </w:p>
    <w:p w14:paraId="3BC28A79" w14:textId="77777777" w:rsidR="00F72E90" w:rsidRDefault="00F72E90">
      <w:r>
        <w:br w:type="page"/>
      </w:r>
    </w:p>
    <w:p w14:paraId="5D0EFDCB" w14:textId="280AA757" w:rsidR="00DF748B" w:rsidRDefault="00DF748B" w:rsidP="00DF748B">
      <w:r>
        <w:t xml:space="preserve">Figure S3. </w:t>
      </w:r>
      <w:r w:rsidRPr="00FD27C9">
        <w:t xml:space="preserve">CH17 clone placements suggest the SMA region of CHM1_1.1 is incorrectly assembled. Graphical view of NC_018916.2 from 68.5-70.3 </w:t>
      </w:r>
      <w:proofErr w:type="gramStart"/>
      <w:r w:rsidRPr="00FD27C9">
        <w:t>Mb</w:t>
      </w:r>
      <w:proofErr w:type="gramEnd"/>
      <w:r w:rsidRPr="00FD27C9">
        <w:t xml:space="preserve">. The grey bar at top represents the chromosome sequence, while the individual </w:t>
      </w:r>
      <w:r>
        <w:t>BAC clones</w:t>
      </w:r>
      <w:r w:rsidRPr="00FD27C9">
        <w:t xml:space="preserve"> (green)</w:t>
      </w:r>
      <w:r>
        <w:t xml:space="preserve"> </w:t>
      </w:r>
      <w:r w:rsidRPr="00FD27C9">
        <w:t xml:space="preserve">that comprise the assembly are shown directly below. Beneath this, </w:t>
      </w:r>
      <w:r>
        <w:t>purple bars</w:t>
      </w:r>
      <w:r w:rsidRPr="00FD27C9">
        <w:t xml:space="preserve"> show the </w:t>
      </w:r>
      <w:proofErr w:type="spellStart"/>
      <w:r w:rsidRPr="00FD27C9">
        <w:t>RefSeq</w:t>
      </w:r>
      <w:proofErr w:type="spellEnd"/>
      <w:r w:rsidRPr="00FD27C9">
        <w:t xml:space="preserve"> gene annotation of the region. The locations of the proximal SMN2 (left) and distal SMN1 (right) genes are highlighted with vertical lines. CH17 clone placements are shown as a series of horizontal lines with triangular ends representing the end placements. Clone placements located entirely within either the proximal or distal BAC clusters are largely concordant. These placements are consistent with the BAC insert sequence alignments that support these groupings. In contrast, clone placements spanning the gap between the two BAC clusters or spanning from WGS to the proximal cluster are predominantly discordant.</w:t>
      </w:r>
      <w:r>
        <w:t xml:space="preserve"> Clone Placement legend: </w:t>
      </w:r>
    </w:p>
    <w:p w14:paraId="232B4A16" w14:textId="77777777" w:rsidR="00DF748B" w:rsidRDefault="00DF748B" w:rsidP="00DF748B">
      <w:r>
        <w:t xml:space="preserve">Blue=concordant. Red=discordant. Solid triangle: unique end placement. Open triangle: multiple end </w:t>
      </w:r>
      <w:proofErr w:type="gramStart"/>
      <w:r>
        <w:t>placement</w:t>
      </w:r>
      <w:proofErr w:type="gramEnd"/>
      <w:r>
        <w:t>.</w:t>
      </w:r>
    </w:p>
    <w:p w14:paraId="4EC5F2B3" w14:textId="0DA8545C" w:rsidR="00DF748B" w:rsidRDefault="00DF748B" w:rsidP="00DF748B"/>
    <w:p w14:paraId="3E040A4C" w14:textId="6F529A70" w:rsidR="00F72E90" w:rsidRDefault="00F72E90" w:rsidP="00DF748B">
      <w:r>
        <w:rPr>
          <w:noProof/>
        </w:rPr>
        <w:drawing>
          <wp:inline distT="0" distB="0" distL="0" distR="0" wp14:anchorId="6FFEA16C" wp14:editId="6EAC9EBD">
            <wp:extent cx="5476240" cy="4795520"/>
            <wp:effectExtent l="0" t="0" r="0" b="0"/>
            <wp:docPr id="7" name="Picture 7" descr="Macintosh HD:Users:kmeltzst:Documents:chm1:manuscript:figures:Figure_S3.SM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kmeltzst:Documents:chm1:manuscript:figures:Figure_S3.SMA.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240" cy="4795520"/>
                    </a:xfrm>
                    <a:prstGeom prst="rect">
                      <a:avLst/>
                    </a:prstGeom>
                    <a:noFill/>
                    <a:ln>
                      <a:noFill/>
                    </a:ln>
                  </pic:spPr>
                </pic:pic>
              </a:graphicData>
            </a:graphic>
          </wp:inline>
        </w:drawing>
      </w:r>
    </w:p>
    <w:p w14:paraId="3C0BDC57" w14:textId="77777777" w:rsidR="00F72E90" w:rsidRDefault="00F72E90" w:rsidP="00DF748B"/>
    <w:p w14:paraId="4EFBBC8A" w14:textId="77777777" w:rsidR="00F72E90" w:rsidRDefault="00F72E90" w:rsidP="00DF748B"/>
    <w:p w14:paraId="1AFCAC86" w14:textId="372773EE" w:rsidR="00DF748B" w:rsidRDefault="007569CA" w:rsidP="00DF748B">
      <w:r>
        <w:t xml:space="preserve">Figure S4. </w:t>
      </w:r>
      <w:r w:rsidR="00DF748B">
        <w:t>A 79kbp gap</w:t>
      </w:r>
      <w:r w:rsidR="00DF748B" w:rsidRPr="005752C9">
        <w:t xml:space="preserve"> </w:t>
      </w:r>
      <w:r w:rsidR="00DF748B">
        <w:t xml:space="preserve">in GRCh37 at chromosome 15q25.2 subsequently resolved in GRCh38 using CH17 BAC sequences. This region contains many </w:t>
      </w:r>
      <w:r w:rsidR="00DF748B" w:rsidRPr="00283C73">
        <w:rPr>
          <w:i/>
        </w:rPr>
        <w:t>GOLGA6L</w:t>
      </w:r>
      <w:r w:rsidR="00DF748B">
        <w:t xml:space="preserve"> core </w:t>
      </w:r>
      <w:proofErr w:type="spellStart"/>
      <w:r w:rsidR="00DF748B">
        <w:t>duplicon</w:t>
      </w:r>
      <w:proofErr w:type="spellEnd"/>
      <w:r w:rsidR="00DF748B">
        <w:t xml:space="preserve"> genes and highly identical segmental duplications. The GRCh37 assembly contained RP11 clones on one side and RP13 clones on the other side flanking the gap. Using the BAC sequence resolved CH17 haplotype, the gap w</w:t>
      </w:r>
      <w:r w:rsidR="00F72E90">
        <w:t>as filled in GRCh38.</w:t>
      </w:r>
    </w:p>
    <w:p w14:paraId="7F721E89" w14:textId="6F838E58" w:rsidR="00F72E90" w:rsidRDefault="00F72E90">
      <w:pPr>
        <w:rPr>
          <w:rFonts w:asciiTheme="majorHAnsi" w:hAnsiTheme="majorHAnsi"/>
          <w:b/>
          <w:color w:val="4F81BD" w:themeColor="accent1"/>
          <w:sz w:val="26"/>
          <w:szCs w:val="26"/>
        </w:rPr>
      </w:pPr>
      <w:r>
        <w:rPr>
          <w:rFonts w:asciiTheme="majorHAnsi" w:hAnsiTheme="majorHAnsi"/>
          <w:b/>
          <w:noProof/>
          <w:color w:val="4F81BD" w:themeColor="accent1"/>
          <w:sz w:val="26"/>
          <w:szCs w:val="26"/>
        </w:rPr>
        <w:drawing>
          <wp:anchor distT="0" distB="0" distL="114300" distR="114300" simplePos="0" relativeHeight="251658240" behindDoc="0" locked="0" layoutInCell="1" allowOverlap="1" wp14:anchorId="06E0AF21" wp14:editId="365C9149">
            <wp:simplePos x="0" y="0"/>
            <wp:positionH relativeFrom="column">
              <wp:align>center</wp:align>
            </wp:positionH>
            <wp:positionV relativeFrom="paragraph">
              <wp:posOffset>5080</wp:posOffset>
            </wp:positionV>
            <wp:extent cx="6981825" cy="5132705"/>
            <wp:effectExtent l="0" t="0" r="3175" b="0"/>
            <wp:wrapSquare wrapText="bothSides"/>
            <wp:docPr id="8" name="Picture 8" descr="Macintosh HD:Users:kmeltzst:Documents:chm1:manuscript:figures:Figure_S4_15q25.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kmeltzst:Documents:chm1:manuscript:figures:Figure_S4_15q25.2.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1825" cy="51327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4F8B5FD" w14:textId="77777777" w:rsidR="00F72E90" w:rsidRDefault="00F72E90" w:rsidP="00DF748B">
      <w:pPr>
        <w:rPr>
          <w:rFonts w:asciiTheme="majorHAnsi" w:hAnsiTheme="majorHAnsi"/>
          <w:b/>
          <w:color w:val="4F81BD" w:themeColor="accent1"/>
          <w:sz w:val="26"/>
          <w:szCs w:val="26"/>
        </w:rPr>
      </w:pPr>
    </w:p>
    <w:p w14:paraId="746A73AA" w14:textId="77777777" w:rsidR="00F72E90" w:rsidRDefault="00F72E90" w:rsidP="00DF748B">
      <w:pPr>
        <w:rPr>
          <w:rFonts w:asciiTheme="majorHAnsi" w:hAnsiTheme="majorHAnsi"/>
          <w:b/>
          <w:color w:val="4F81BD" w:themeColor="accent1"/>
          <w:sz w:val="26"/>
          <w:szCs w:val="26"/>
        </w:rPr>
      </w:pPr>
    </w:p>
    <w:p w14:paraId="32E428E9" w14:textId="77777777" w:rsidR="00F72E90" w:rsidRDefault="00F72E90" w:rsidP="00DF748B">
      <w:pPr>
        <w:rPr>
          <w:rFonts w:asciiTheme="majorHAnsi" w:hAnsiTheme="majorHAnsi"/>
          <w:b/>
          <w:color w:val="4F81BD" w:themeColor="accent1"/>
          <w:sz w:val="26"/>
          <w:szCs w:val="26"/>
        </w:rPr>
      </w:pPr>
    </w:p>
    <w:p w14:paraId="760238B3" w14:textId="77777777" w:rsidR="00F72E90" w:rsidRDefault="00F72E90" w:rsidP="00DF748B">
      <w:pPr>
        <w:rPr>
          <w:rFonts w:asciiTheme="majorHAnsi" w:hAnsiTheme="majorHAnsi"/>
          <w:b/>
          <w:color w:val="4F81BD" w:themeColor="accent1"/>
          <w:sz w:val="26"/>
          <w:szCs w:val="26"/>
        </w:rPr>
      </w:pPr>
    </w:p>
    <w:p w14:paraId="4E4624DC" w14:textId="77777777" w:rsidR="00F72E90" w:rsidRDefault="00F72E90" w:rsidP="00DF748B">
      <w:pPr>
        <w:rPr>
          <w:rFonts w:asciiTheme="majorHAnsi" w:hAnsiTheme="majorHAnsi"/>
          <w:b/>
          <w:color w:val="4F81BD" w:themeColor="accent1"/>
          <w:sz w:val="26"/>
          <w:szCs w:val="26"/>
        </w:rPr>
      </w:pPr>
    </w:p>
    <w:p w14:paraId="7400F33F" w14:textId="77777777" w:rsidR="00F72E90" w:rsidRDefault="00F72E90" w:rsidP="00DF748B">
      <w:pPr>
        <w:rPr>
          <w:rFonts w:asciiTheme="majorHAnsi" w:hAnsiTheme="majorHAnsi"/>
          <w:b/>
          <w:color w:val="4F81BD" w:themeColor="accent1"/>
          <w:sz w:val="26"/>
          <w:szCs w:val="26"/>
        </w:rPr>
      </w:pPr>
    </w:p>
    <w:p w14:paraId="6380A43B" w14:textId="77777777" w:rsidR="00F72E90" w:rsidRDefault="00F72E90" w:rsidP="00DF748B">
      <w:pPr>
        <w:rPr>
          <w:rFonts w:asciiTheme="majorHAnsi" w:hAnsiTheme="majorHAnsi"/>
          <w:b/>
          <w:color w:val="4F81BD" w:themeColor="accent1"/>
          <w:sz w:val="26"/>
          <w:szCs w:val="26"/>
        </w:rPr>
      </w:pPr>
    </w:p>
    <w:p w14:paraId="06F58A1A" w14:textId="77777777" w:rsidR="00F72E90" w:rsidRDefault="00F72E90" w:rsidP="00DF748B">
      <w:pPr>
        <w:rPr>
          <w:rFonts w:asciiTheme="majorHAnsi" w:hAnsiTheme="majorHAnsi"/>
          <w:b/>
          <w:color w:val="4F81BD" w:themeColor="accent1"/>
          <w:sz w:val="26"/>
          <w:szCs w:val="26"/>
        </w:rPr>
      </w:pPr>
    </w:p>
    <w:p w14:paraId="0309E437" w14:textId="77777777" w:rsidR="00F72E90" w:rsidRDefault="00F72E90">
      <w:pPr>
        <w:rPr>
          <w:rFonts w:asciiTheme="majorHAnsi" w:hAnsiTheme="majorHAnsi"/>
          <w:b/>
          <w:color w:val="4F81BD" w:themeColor="accent1"/>
          <w:sz w:val="26"/>
          <w:szCs w:val="26"/>
        </w:rPr>
      </w:pPr>
      <w:r>
        <w:rPr>
          <w:rFonts w:asciiTheme="majorHAnsi" w:hAnsiTheme="majorHAnsi"/>
          <w:b/>
          <w:color w:val="4F81BD" w:themeColor="accent1"/>
          <w:sz w:val="26"/>
          <w:szCs w:val="26"/>
        </w:rPr>
        <w:br w:type="page"/>
      </w:r>
    </w:p>
    <w:p w14:paraId="5AB0A3C0" w14:textId="34F6E2F2" w:rsidR="0057648D" w:rsidRDefault="007569CA">
      <w:pPr>
        <w:rPr>
          <w:rFonts w:asciiTheme="majorHAnsi" w:hAnsiTheme="majorHAnsi"/>
          <w:b/>
          <w:color w:val="4F81BD" w:themeColor="accent1"/>
          <w:sz w:val="26"/>
          <w:szCs w:val="26"/>
        </w:rPr>
      </w:pPr>
      <w:r>
        <w:t xml:space="preserve">Figure S5. Read length distribution of </w:t>
      </w:r>
      <w:proofErr w:type="spellStart"/>
      <w:r>
        <w:t>PacBio</w:t>
      </w:r>
      <w:proofErr w:type="spellEnd"/>
      <w:r>
        <w:t xml:space="preserve"> data used</w:t>
      </w:r>
      <w:r w:rsidR="0057648D">
        <w:rPr>
          <w:rFonts w:asciiTheme="majorHAnsi" w:hAnsiTheme="majorHAnsi"/>
          <w:b/>
          <w:noProof/>
          <w:color w:val="4F81BD" w:themeColor="accent1"/>
          <w:sz w:val="26"/>
          <w:szCs w:val="26"/>
        </w:rPr>
        <w:drawing>
          <wp:inline distT="0" distB="0" distL="0" distR="0" wp14:anchorId="743724F1" wp14:editId="27C8BB80">
            <wp:extent cx="6220609" cy="5875020"/>
            <wp:effectExtent l="0" t="0" r="2540" b="0"/>
            <wp:docPr id="5" name="Picture 5" descr="Macintosh HD:Users:kmeltzst:Documents:chm1:PacBio_data:PacBioCHM1_ReadLengthD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meltzst:Documents:chm1:PacBio_data:PacBioCHM1_ReadLengthDis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1074" cy="5875459"/>
                    </a:xfrm>
                    <a:prstGeom prst="rect">
                      <a:avLst/>
                    </a:prstGeom>
                    <a:noFill/>
                    <a:ln>
                      <a:noFill/>
                    </a:ln>
                  </pic:spPr>
                </pic:pic>
              </a:graphicData>
            </a:graphic>
          </wp:inline>
        </w:drawing>
      </w:r>
    </w:p>
    <w:p w14:paraId="79A7C9D5" w14:textId="77777777" w:rsidR="007569CA" w:rsidRDefault="007569CA">
      <w:pPr>
        <w:rPr>
          <w:rFonts w:asciiTheme="majorHAnsi" w:hAnsiTheme="majorHAnsi"/>
          <w:b/>
          <w:color w:val="4F81BD" w:themeColor="accent1"/>
          <w:sz w:val="26"/>
          <w:szCs w:val="26"/>
        </w:rPr>
      </w:pPr>
      <w:r>
        <w:rPr>
          <w:rFonts w:asciiTheme="majorHAnsi" w:hAnsiTheme="majorHAnsi"/>
          <w:b/>
          <w:color w:val="4F81BD" w:themeColor="accent1"/>
          <w:sz w:val="26"/>
          <w:szCs w:val="26"/>
        </w:rPr>
        <w:br w:type="page"/>
      </w:r>
    </w:p>
    <w:p w14:paraId="2D1A2889" w14:textId="60A01DE5" w:rsidR="00DF748B" w:rsidRPr="00DF748B" w:rsidRDefault="00DF748B" w:rsidP="00DF748B">
      <w:pPr>
        <w:rPr>
          <w:rFonts w:asciiTheme="majorHAnsi" w:hAnsiTheme="majorHAnsi"/>
          <w:b/>
          <w:color w:val="4F81BD" w:themeColor="accent1"/>
          <w:sz w:val="26"/>
          <w:szCs w:val="26"/>
        </w:rPr>
      </w:pPr>
      <w:r w:rsidRPr="00DF748B">
        <w:rPr>
          <w:rFonts w:asciiTheme="majorHAnsi" w:hAnsiTheme="majorHAnsi"/>
          <w:b/>
          <w:color w:val="4F81BD" w:themeColor="accent1"/>
          <w:sz w:val="26"/>
          <w:szCs w:val="26"/>
        </w:rPr>
        <w:t>Tables</w:t>
      </w:r>
      <w:r w:rsidR="00F72E90">
        <w:rPr>
          <w:rFonts w:asciiTheme="majorHAnsi" w:hAnsiTheme="majorHAnsi"/>
          <w:b/>
          <w:color w:val="4F81BD" w:themeColor="accent1"/>
          <w:sz w:val="26"/>
          <w:szCs w:val="26"/>
        </w:rPr>
        <w:t xml:space="preserve"> (see excel file</w:t>
      </w:r>
      <w:r w:rsidR="00A4661B">
        <w:rPr>
          <w:rFonts w:asciiTheme="majorHAnsi" w:hAnsiTheme="majorHAnsi"/>
          <w:b/>
          <w:color w:val="4F81BD" w:themeColor="accent1"/>
          <w:sz w:val="26"/>
          <w:szCs w:val="26"/>
        </w:rPr>
        <w:t xml:space="preserve"> on </w:t>
      </w:r>
      <w:proofErr w:type="spellStart"/>
      <w:r w:rsidR="00A4661B">
        <w:rPr>
          <w:rFonts w:asciiTheme="majorHAnsi" w:hAnsiTheme="majorHAnsi"/>
          <w:b/>
          <w:color w:val="4F81BD" w:themeColor="accent1"/>
          <w:sz w:val="26"/>
          <w:szCs w:val="26"/>
        </w:rPr>
        <w:t>figshare</w:t>
      </w:r>
      <w:proofErr w:type="spellEnd"/>
      <w:r w:rsidR="00A4661B">
        <w:rPr>
          <w:rFonts w:asciiTheme="majorHAnsi" w:hAnsiTheme="majorHAnsi"/>
          <w:b/>
          <w:color w:val="4F81BD" w:themeColor="accent1"/>
          <w:sz w:val="26"/>
          <w:szCs w:val="26"/>
        </w:rPr>
        <w:t xml:space="preserve"> account</w:t>
      </w:r>
      <w:r w:rsidR="00F72E90">
        <w:rPr>
          <w:rFonts w:asciiTheme="majorHAnsi" w:hAnsiTheme="majorHAnsi"/>
          <w:b/>
          <w:color w:val="4F81BD" w:themeColor="accent1"/>
          <w:sz w:val="26"/>
          <w:szCs w:val="26"/>
        </w:rPr>
        <w:t>)</w:t>
      </w:r>
    </w:p>
    <w:p w14:paraId="5F91ED94" w14:textId="77777777" w:rsidR="00DF748B" w:rsidRDefault="00DF748B" w:rsidP="00DF748B"/>
    <w:p w14:paraId="3CE9468B" w14:textId="41A6B576" w:rsidR="00DF748B" w:rsidRDefault="00DF748B" w:rsidP="00DF748B">
      <w:r>
        <w:t>Table S1. Regions improved with BAC sequences</w:t>
      </w:r>
    </w:p>
    <w:p w14:paraId="5C44215B" w14:textId="77777777" w:rsidR="00DF748B" w:rsidRDefault="00DF748B" w:rsidP="00DF748B"/>
    <w:p w14:paraId="2002B15C" w14:textId="2A0B1E5F" w:rsidR="00A4661B" w:rsidRDefault="0057648D" w:rsidP="00DF748B">
      <w:r>
        <w:t>Table S2</w:t>
      </w:r>
      <w:r w:rsidR="00A4661B">
        <w:t>. 549 novel genes in CHM1_1.1</w:t>
      </w:r>
    </w:p>
    <w:p w14:paraId="225AD0F1" w14:textId="77777777" w:rsidR="00A4661B" w:rsidRDefault="00A4661B" w:rsidP="00DF748B"/>
    <w:p w14:paraId="132159DA" w14:textId="4014C36A" w:rsidR="0057648D" w:rsidRDefault="0057648D" w:rsidP="00DF748B">
      <w:r>
        <w:t>Table S3. Clinical allele</w:t>
      </w:r>
    </w:p>
    <w:p w14:paraId="0798FCA7" w14:textId="77777777" w:rsidR="0057648D" w:rsidRDefault="0057648D" w:rsidP="00DF748B"/>
    <w:p w14:paraId="3CC07840" w14:textId="56465027" w:rsidR="00DF748B" w:rsidRDefault="00A4661B" w:rsidP="00DF748B">
      <w:r>
        <w:t>Table S4</w:t>
      </w:r>
      <w:r w:rsidR="00DF748B">
        <w:t>. Summary of duplications in CHM1.1 reference assembly by WGAC and WSSD analyses</w:t>
      </w:r>
    </w:p>
    <w:p w14:paraId="627DC24E" w14:textId="77777777" w:rsidR="00A4661B" w:rsidRDefault="00A4661B" w:rsidP="00DF748B"/>
    <w:p w14:paraId="197FF6DE" w14:textId="05650203" w:rsidR="00DF748B" w:rsidRDefault="00A4661B" w:rsidP="00DF748B">
      <w:r>
        <w:t>Table S5</w:t>
      </w:r>
      <w:r w:rsidR="00DF748B">
        <w:t>. Summary statistics of CHM1 variants called from CHM1 alignments to GRCh37</w:t>
      </w:r>
    </w:p>
    <w:p w14:paraId="5D2E68A1" w14:textId="77777777" w:rsidR="00DF748B" w:rsidRDefault="00DF748B" w:rsidP="00DF748B"/>
    <w:p w14:paraId="0F0AD674" w14:textId="47199B0F" w:rsidR="00A4661B" w:rsidRDefault="00A4661B" w:rsidP="00DF748B">
      <w:proofErr w:type="gramStart"/>
      <w:r>
        <w:t>Table  S6</w:t>
      </w:r>
      <w:proofErr w:type="gramEnd"/>
      <w:r>
        <w:t xml:space="preserve">. </w:t>
      </w:r>
      <w:proofErr w:type="spellStart"/>
      <w:r>
        <w:t>RefSeq</w:t>
      </w:r>
      <w:proofErr w:type="spellEnd"/>
      <w:r>
        <w:t xml:space="preserve"> annotation of CHM1 variants from CHM1 alignments to GRCh37</w:t>
      </w:r>
    </w:p>
    <w:p w14:paraId="6737147B" w14:textId="77777777" w:rsidR="00A4661B" w:rsidRDefault="00A4661B" w:rsidP="00DF748B"/>
    <w:p w14:paraId="5870DB5A" w14:textId="0CF90EE0" w:rsidR="00DF748B" w:rsidRDefault="00A4661B" w:rsidP="00DF748B">
      <w:r>
        <w:t>Table S7</w:t>
      </w:r>
      <w:r w:rsidR="00DF748B">
        <w:t>. Summary statistics of CHM1 variants called from CHM1 alignments to CHM1_1.1 Assembly</w:t>
      </w:r>
    </w:p>
    <w:p w14:paraId="7C9BF6FD" w14:textId="77777777" w:rsidR="00DF748B" w:rsidRDefault="00DF748B" w:rsidP="00DF748B"/>
    <w:p w14:paraId="065F4C50" w14:textId="5D5D27AE" w:rsidR="00DF748B" w:rsidRDefault="00DF748B" w:rsidP="00DF748B">
      <w:r>
        <w:t>Table S</w:t>
      </w:r>
      <w:r w:rsidR="00A4661B">
        <w:t>8</w:t>
      </w:r>
      <w:r>
        <w:t xml:space="preserve">. </w:t>
      </w:r>
      <w:proofErr w:type="gramStart"/>
      <w:r>
        <w:t>Thirty four</w:t>
      </w:r>
      <w:proofErr w:type="gramEnd"/>
      <w:r>
        <w:t xml:space="preserve"> regions of CHM1_1.1 assembly with SNV density per kb two standard deviations greater than the mean SNV density per kb</w:t>
      </w:r>
    </w:p>
    <w:p w14:paraId="59C828E8" w14:textId="77777777" w:rsidR="00A4661B" w:rsidRDefault="00A4661B" w:rsidP="00DF748B"/>
    <w:p w14:paraId="6ED63F4B" w14:textId="2C47197B" w:rsidR="00A4661B" w:rsidRDefault="00A4661B" w:rsidP="00DF748B">
      <w:r>
        <w:t xml:space="preserve">Table S9. </w:t>
      </w:r>
      <w:proofErr w:type="gramStart"/>
      <w:r>
        <w:t>Gene annotation of 34 regions from Table S8.</w:t>
      </w:r>
      <w:proofErr w:type="gramEnd"/>
    </w:p>
    <w:p w14:paraId="10FF4B0B" w14:textId="77777777" w:rsidR="00DF748B" w:rsidRDefault="00DF748B" w:rsidP="00DF748B"/>
    <w:p w14:paraId="2CEE9E65" w14:textId="01E03615" w:rsidR="00DF748B" w:rsidRDefault="00DF748B" w:rsidP="00DF748B">
      <w:r>
        <w:t>TableS</w:t>
      </w:r>
      <w:r w:rsidR="00A4661B">
        <w:t>10</w:t>
      </w:r>
      <w:r>
        <w:t>. BAC end sequence pair mapping summary statistics</w:t>
      </w:r>
    </w:p>
    <w:p w14:paraId="593F4169" w14:textId="77777777" w:rsidR="00DF748B" w:rsidRDefault="00DF748B" w:rsidP="00DF748B"/>
    <w:p w14:paraId="6ABD463D" w14:textId="127E74AE" w:rsidR="00DF748B" w:rsidRDefault="00A4661B" w:rsidP="00DF748B">
      <w:r>
        <w:t>Table S11.</w:t>
      </w:r>
      <w:r w:rsidR="00DF748B">
        <w:t xml:space="preserve"> </w:t>
      </w:r>
      <w:proofErr w:type="spellStart"/>
      <w:r w:rsidR="00DF748B">
        <w:t>Illumina</w:t>
      </w:r>
      <w:proofErr w:type="spellEnd"/>
      <w:r w:rsidR="00DF748B">
        <w:t xml:space="preserve"> short read accessions</w:t>
      </w:r>
    </w:p>
    <w:p w14:paraId="7A3C7DFB" w14:textId="77777777" w:rsidR="00DF748B" w:rsidRDefault="00DF748B" w:rsidP="00DF748B"/>
    <w:p w14:paraId="0B1F6FD6" w14:textId="617CEAE9" w:rsidR="00862D64" w:rsidRDefault="00862D64" w:rsidP="00862D64">
      <w:r>
        <w:t xml:space="preserve">Table S12. Novel </w:t>
      </w:r>
      <w:proofErr w:type="gramStart"/>
      <w:r>
        <w:t>gene remap</w:t>
      </w:r>
      <w:proofErr w:type="gramEnd"/>
      <w:r>
        <w:t xml:space="preserve"> statistics</w:t>
      </w:r>
    </w:p>
    <w:p w14:paraId="404DFE3E" w14:textId="77777777" w:rsidR="00862D64" w:rsidRDefault="00862D64" w:rsidP="00DF748B"/>
    <w:p w14:paraId="7DB9EEA1" w14:textId="6EC2F98F" w:rsidR="00DF748B" w:rsidRDefault="00862D64" w:rsidP="00DF748B">
      <w:r>
        <w:t>Table S13</w:t>
      </w:r>
      <w:r w:rsidR="00DF748B">
        <w:t>. Variant filters</w:t>
      </w:r>
    </w:p>
    <w:p w14:paraId="28CE45A8" w14:textId="77777777" w:rsidR="0057648D" w:rsidRDefault="0057648D" w:rsidP="00DF748B"/>
    <w:p w14:paraId="0C530FEE" w14:textId="3F8BC6AE" w:rsidR="0057648D" w:rsidRDefault="00862D64" w:rsidP="00DF748B">
      <w:r>
        <w:t>Table S14</w:t>
      </w:r>
      <w:r w:rsidR="0057648D">
        <w:t>. Pac Bio read statistics</w:t>
      </w:r>
    </w:p>
    <w:p w14:paraId="34036B20" w14:textId="77777777" w:rsidR="00862D64" w:rsidRDefault="00862D64" w:rsidP="00DF748B"/>
    <w:p w14:paraId="6479F1FF" w14:textId="77777777" w:rsidR="00EE1B46" w:rsidRDefault="00EE1B46"/>
    <w:p w14:paraId="2D1822FE" w14:textId="77777777" w:rsidR="00EE1B46" w:rsidRDefault="00EE1B46"/>
    <w:p w14:paraId="5BDC910E" w14:textId="77777777" w:rsidR="00F72E90" w:rsidRDefault="00F72E90">
      <w:pPr>
        <w:rPr>
          <w:rFonts w:ascii="Calibri" w:hAnsi="Calibri"/>
          <w:b/>
          <w:color w:val="4F81BD" w:themeColor="accent1"/>
          <w:sz w:val="32"/>
          <w:szCs w:val="32"/>
        </w:rPr>
      </w:pPr>
      <w:r>
        <w:rPr>
          <w:rFonts w:ascii="Calibri" w:hAnsi="Calibri"/>
          <w:b/>
          <w:color w:val="4F81BD" w:themeColor="accent1"/>
          <w:sz w:val="32"/>
          <w:szCs w:val="32"/>
        </w:rPr>
        <w:br w:type="page"/>
      </w:r>
    </w:p>
    <w:p w14:paraId="7D6021BD" w14:textId="6D42E4E7" w:rsidR="00CF142C" w:rsidRPr="00CF142C" w:rsidRDefault="00CF142C">
      <w:pPr>
        <w:rPr>
          <w:rFonts w:ascii="Calibri" w:hAnsi="Calibri"/>
          <w:b/>
          <w:color w:val="4F81BD" w:themeColor="accent1"/>
          <w:sz w:val="32"/>
          <w:szCs w:val="32"/>
        </w:rPr>
      </w:pPr>
      <w:r w:rsidRPr="00CF142C">
        <w:rPr>
          <w:rFonts w:ascii="Calibri" w:hAnsi="Calibri"/>
          <w:b/>
          <w:color w:val="4F81BD" w:themeColor="accent1"/>
          <w:sz w:val="32"/>
          <w:szCs w:val="32"/>
        </w:rPr>
        <w:t xml:space="preserve">The following </w:t>
      </w:r>
      <w:r w:rsidR="00AC04CA">
        <w:rPr>
          <w:rFonts w:ascii="Calibri" w:hAnsi="Calibri"/>
          <w:b/>
          <w:color w:val="4F81BD" w:themeColor="accent1"/>
          <w:sz w:val="32"/>
          <w:szCs w:val="32"/>
        </w:rPr>
        <w:t xml:space="preserve">is on </w:t>
      </w:r>
      <w:proofErr w:type="spellStart"/>
      <w:r w:rsidR="00FF7C30">
        <w:rPr>
          <w:rFonts w:ascii="Calibri" w:hAnsi="Calibri"/>
          <w:b/>
          <w:color w:val="4F81BD" w:themeColor="accent1"/>
          <w:sz w:val="32"/>
          <w:szCs w:val="32"/>
        </w:rPr>
        <w:t>figshare</w:t>
      </w:r>
      <w:proofErr w:type="spellEnd"/>
      <w:r w:rsidR="00FF7C30">
        <w:rPr>
          <w:rFonts w:ascii="Calibri" w:hAnsi="Calibri"/>
          <w:b/>
          <w:color w:val="4F81BD" w:themeColor="accent1"/>
          <w:sz w:val="32"/>
          <w:szCs w:val="32"/>
        </w:rPr>
        <w:t xml:space="preserve"> account: CHM1 Single Haplotype Assembly </w:t>
      </w:r>
      <w:r w:rsidR="00EC45FB">
        <w:rPr>
          <w:rFonts w:ascii="Calibri" w:hAnsi="Calibri"/>
          <w:b/>
          <w:color w:val="4F81BD" w:themeColor="accent1"/>
          <w:sz w:val="32"/>
          <w:szCs w:val="32"/>
        </w:rPr>
        <w:t>Supplementary Material</w:t>
      </w:r>
      <w:r w:rsidR="004901D1">
        <w:rPr>
          <w:rFonts w:ascii="Calibri" w:hAnsi="Calibri"/>
          <w:b/>
          <w:color w:val="4F81BD" w:themeColor="accent1"/>
          <w:sz w:val="32"/>
          <w:szCs w:val="32"/>
        </w:rPr>
        <w:t xml:space="preserve"> </w:t>
      </w:r>
      <w:r w:rsidR="004901D1" w:rsidRPr="004901D1">
        <w:rPr>
          <w:rFonts w:ascii="Calibri" w:hAnsi="Calibri"/>
          <w:b/>
          <w:color w:val="4F81BD" w:themeColor="accent1"/>
          <w:sz w:val="32"/>
          <w:szCs w:val="32"/>
        </w:rPr>
        <w:t>http://dx.doi.org/10.6084/m9.figshare.1091429</w:t>
      </w:r>
    </w:p>
    <w:p w14:paraId="24787458" w14:textId="77777777" w:rsidR="00CF142C" w:rsidRDefault="00CF142C" w:rsidP="00DF748B">
      <w:pPr>
        <w:rPr>
          <w:rFonts w:asciiTheme="majorHAnsi" w:hAnsiTheme="majorHAnsi"/>
          <w:b/>
          <w:color w:val="4F81BD" w:themeColor="accent1"/>
          <w:sz w:val="26"/>
          <w:szCs w:val="26"/>
        </w:rPr>
      </w:pPr>
    </w:p>
    <w:p w14:paraId="45355425" w14:textId="0C5BE3EA" w:rsidR="00DF748B" w:rsidRPr="00DF748B" w:rsidRDefault="00DF748B" w:rsidP="00DF748B">
      <w:pPr>
        <w:rPr>
          <w:rFonts w:asciiTheme="majorHAnsi" w:hAnsiTheme="majorHAnsi"/>
          <w:b/>
          <w:color w:val="4F81BD" w:themeColor="accent1"/>
          <w:sz w:val="26"/>
          <w:szCs w:val="26"/>
        </w:rPr>
      </w:pPr>
      <w:r>
        <w:rPr>
          <w:rFonts w:asciiTheme="majorHAnsi" w:hAnsiTheme="majorHAnsi"/>
          <w:b/>
          <w:color w:val="4F81BD" w:themeColor="accent1"/>
          <w:sz w:val="26"/>
          <w:szCs w:val="26"/>
        </w:rPr>
        <w:t>Clinical Allele Analysis</w:t>
      </w:r>
    </w:p>
    <w:p w14:paraId="03763AD2" w14:textId="27566DCF" w:rsidR="00FF7C30" w:rsidRDefault="002216A8" w:rsidP="002216A8">
      <w:r>
        <w:tab/>
      </w:r>
      <w:proofErr w:type="gramStart"/>
      <w:r w:rsidR="00FF7C30">
        <w:t>report</w:t>
      </w:r>
      <w:proofErr w:type="gramEnd"/>
      <w:r w:rsidR="00FF7C30">
        <w:t>_NHGRI_GWAS_dbSNP137_ucsc_parsed_2CHM1_1.1.vcf.tsv</w:t>
      </w:r>
    </w:p>
    <w:p w14:paraId="1A94B00F" w14:textId="30B0C4D1" w:rsidR="00FF7C30" w:rsidRDefault="00FF7C30" w:rsidP="00FF7C30">
      <w:r>
        <w:tab/>
      </w:r>
      <w:proofErr w:type="gramStart"/>
      <w:r>
        <w:t>report</w:t>
      </w:r>
      <w:proofErr w:type="gramEnd"/>
      <w:r>
        <w:t>_clinvar_20140211_parsed_GRCh37_clean2CHM1_1.1.vcf.tsv</w:t>
      </w:r>
    </w:p>
    <w:p w14:paraId="087B57FA" w14:textId="0F076D24" w:rsidR="00FF7C30" w:rsidRDefault="00FF7C30" w:rsidP="00FF7C30">
      <w:r>
        <w:tab/>
        <w:t>PrepInput2VCF.ipynb</w:t>
      </w:r>
    </w:p>
    <w:p w14:paraId="7EEAC152" w14:textId="2AF2A56B" w:rsidR="00FF7C30" w:rsidRDefault="00FF7C30" w:rsidP="00FF7C30">
      <w:r>
        <w:tab/>
        <w:t>NHGRI_GWAS_dbSNP137_ucsc_parsed.vcf</w:t>
      </w:r>
    </w:p>
    <w:p w14:paraId="39C0BB36" w14:textId="3160E287" w:rsidR="00FF7C30" w:rsidRDefault="00FF7C30" w:rsidP="00FF7C30">
      <w:r>
        <w:tab/>
        <w:t>GWAS_CHM1_1.1_allele_match.tsv</w:t>
      </w:r>
    </w:p>
    <w:p w14:paraId="31DAC914" w14:textId="463C469F" w:rsidR="00FF7C30" w:rsidRDefault="00FF7C30" w:rsidP="00FF7C30">
      <w:r>
        <w:tab/>
        <w:t>ClinVar_CHM1_1.1_allele_match.tsv</w:t>
      </w:r>
    </w:p>
    <w:p w14:paraId="6CDF1BD9" w14:textId="5129318D" w:rsidR="00FF7C30" w:rsidRDefault="00FF7C30" w:rsidP="00FF7C30">
      <w:r>
        <w:tab/>
      </w:r>
      <w:proofErr w:type="gramStart"/>
      <w:r>
        <w:t>clinvar</w:t>
      </w:r>
      <w:proofErr w:type="gramEnd"/>
      <w:r>
        <w:t>_20140211_parsed_GRCh37_clean.vcf</w:t>
      </w:r>
    </w:p>
    <w:p w14:paraId="46A696B1" w14:textId="64843900" w:rsidR="002216A8" w:rsidRDefault="00FF7C30" w:rsidP="00FF7C30">
      <w:r>
        <w:tab/>
        <w:t>CHM1_1.1Remap2VCF.ipynb</w:t>
      </w:r>
    </w:p>
    <w:p w14:paraId="6D8C305D" w14:textId="3628648F" w:rsidR="002216A8" w:rsidRDefault="002216A8"/>
    <w:p w14:paraId="7FEFEED8" w14:textId="3BEA6917" w:rsidR="002216A8" w:rsidRDefault="00DF748B" w:rsidP="00DF748B">
      <w:r>
        <w:rPr>
          <w:rFonts w:asciiTheme="majorHAnsi" w:hAnsiTheme="majorHAnsi"/>
          <w:b/>
          <w:color w:val="4F81BD" w:themeColor="accent1"/>
          <w:sz w:val="26"/>
          <w:szCs w:val="26"/>
        </w:rPr>
        <w:t>Gene Annotation</w:t>
      </w:r>
    </w:p>
    <w:p w14:paraId="02B706AC" w14:textId="77777777" w:rsidR="00FF7C30" w:rsidRDefault="00EE1B46" w:rsidP="002216A8">
      <w:pPr>
        <w:ind w:left="720"/>
      </w:pPr>
      <w:proofErr w:type="gramStart"/>
      <w:r w:rsidRPr="00EE1B46">
        <w:t>alt</w:t>
      </w:r>
      <w:proofErr w:type="gramEnd"/>
      <w:r w:rsidRPr="00EE1B46">
        <w:t>_CHM1_1.1_top_level.gff3</w:t>
      </w:r>
      <w:r w:rsidR="00FF7C30">
        <w:t>.gz</w:t>
      </w:r>
    </w:p>
    <w:p w14:paraId="12032A6A" w14:textId="200404C6" w:rsidR="00EE1B46" w:rsidRDefault="00F163F5" w:rsidP="002216A8">
      <w:pPr>
        <w:ind w:left="720"/>
      </w:pPr>
      <w:r>
        <w:t>GRCh37.p13_top_level.gff3</w:t>
      </w:r>
      <w:r w:rsidR="00FF7C30">
        <w:t>.gz</w:t>
      </w:r>
    </w:p>
    <w:p w14:paraId="75BF5040" w14:textId="4776959F" w:rsidR="00F739A2" w:rsidRDefault="00AC04CA" w:rsidP="00F739A2">
      <w:pPr>
        <w:ind w:left="720"/>
      </w:pPr>
      <w:r>
        <w:t xml:space="preserve">Summary files </w:t>
      </w:r>
    </w:p>
    <w:p w14:paraId="70C11FF4" w14:textId="77777777" w:rsidR="002216A8" w:rsidRDefault="002216A8"/>
    <w:p w14:paraId="3BF3B7E5" w14:textId="05485731" w:rsidR="002216A8" w:rsidRDefault="00DF748B" w:rsidP="00DF748B">
      <w:r>
        <w:rPr>
          <w:rFonts w:asciiTheme="majorHAnsi" w:hAnsiTheme="majorHAnsi"/>
          <w:b/>
          <w:color w:val="4F81BD" w:themeColor="accent1"/>
          <w:sz w:val="26"/>
          <w:szCs w:val="26"/>
        </w:rPr>
        <w:t>Duplication Analysis</w:t>
      </w:r>
    </w:p>
    <w:p w14:paraId="4FAA837D" w14:textId="77777777" w:rsidR="00FF7C30" w:rsidRDefault="002216A8" w:rsidP="002216A8">
      <w:pPr>
        <w:ind w:left="720"/>
      </w:pPr>
      <w:r w:rsidRPr="00EE1B46">
        <w:t>GenomicSuperDup.tab.zip</w:t>
      </w:r>
    </w:p>
    <w:p w14:paraId="52BBE69C" w14:textId="5392D5EB" w:rsidR="002216A8" w:rsidRDefault="002216A8" w:rsidP="002216A8">
      <w:pPr>
        <w:ind w:left="720"/>
      </w:pPr>
      <w:proofErr w:type="gramStart"/>
      <w:r w:rsidRPr="00EE1B46">
        <w:t>wssdGE10K</w:t>
      </w:r>
      <w:proofErr w:type="gramEnd"/>
      <w:r w:rsidRPr="00EE1B46">
        <w:t>_nogap.bed</w:t>
      </w:r>
    </w:p>
    <w:p w14:paraId="43258671" w14:textId="11A37060" w:rsidR="00FF7C30" w:rsidRDefault="00FF7C30" w:rsidP="002216A8">
      <w:pPr>
        <w:ind w:left="720"/>
      </w:pPr>
      <w:proofErr w:type="spellStart"/>
      <w:proofErr w:type="gramStart"/>
      <w:r>
        <w:t>nonredundant</w:t>
      </w:r>
      <w:proofErr w:type="gramEnd"/>
      <w:r>
        <w:t>_duplication_by_assembly.tab</w:t>
      </w:r>
      <w:proofErr w:type="spellEnd"/>
    </w:p>
    <w:p w14:paraId="560E44DA" w14:textId="158B8C2D" w:rsidR="002216A8" w:rsidRDefault="002216A8" w:rsidP="002216A8">
      <w:r>
        <w:tab/>
      </w:r>
      <w:r w:rsidR="00FF7C30">
        <w:t>CHM1_1.1_repeatmasker.sorted.merged.bed.gz</w:t>
      </w:r>
    </w:p>
    <w:p w14:paraId="48D516F8" w14:textId="60F5F03D" w:rsidR="002216A8" w:rsidRDefault="002216A8"/>
    <w:p w14:paraId="0FE2A788" w14:textId="19787E51" w:rsidR="002216A8" w:rsidRDefault="00DF748B" w:rsidP="00DF748B">
      <w:proofErr w:type="spellStart"/>
      <w:r>
        <w:rPr>
          <w:rFonts w:asciiTheme="majorHAnsi" w:hAnsiTheme="majorHAnsi"/>
          <w:b/>
          <w:color w:val="4F81BD" w:themeColor="accent1"/>
          <w:sz w:val="26"/>
          <w:szCs w:val="26"/>
        </w:rPr>
        <w:t>PacBio</w:t>
      </w:r>
      <w:proofErr w:type="spellEnd"/>
    </w:p>
    <w:p w14:paraId="4937135E" w14:textId="5B511BF5" w:rsidR="002216A8" w:rsidRDefault="002216A8" w:rsidP="002216A8">
      <w:r>
        <w:tab/>
      </w:r>
      <w:proofErr w:type="gramStart"/>
      <w:r w:rsidRPr="00EE1B46">
        <w:t>cliff</w:t>
      </w:r>
      <w:proofErr w:type="gramEnd"/>
      <w:r w:rsidRPr="00EE1B46">
        <w:t>_report_54_full_xchr</w:t>
      </w:r>
    </w:p>
    <w:p w14:paraId="51AA77E5" w14:textId="13C669A1" w:rsidR="00FF7C30" w:rsidRDefault="00FF7C30" w:rsidP="002216A8">
      <w:r>
        <w:tab/>
      </w:r>
      <w:proofErr w:type="gramStart"/>
      <w:r>
        <w:t>cliff</w:t>
      </w:r>
      <w:proofErr w:type="gramEnd"/>
      <w:r>
        <w:t>_report_54_gtw10_lt108_xchr</w:t>
      </w:r>
    </w:p>
    <w:p w14:paraId="461AC5C0" w14:textId="0C213D68" w:rsidR="00FF7C30" w:rsidRDefault="00FF7C30" w:rsidP="002216A8">
      <w:r>
        <w:tab/>
        <w:t>54xPacBioAlignEvaluation.pdf</w:t>
      </w:r>
    </w:p>
    <w:p w14:paraId="4E25A504" w14:textId="77777777" w:rsidR="002216A8" w:rsidRDefault="002216A8"/>
    <w:p w14:paraId="15387587" w14:textId="283DAAF1" w:rsidR="002216A8" w:rsidRDefault="00DF748B" w:rsidP="00DF748B">
      <w:r>
        <w:rPr>
          <w:rFonts w:asciiTheme="majorHAnsi" w:hAnsiTheme="majorHAnsi"/>
          <w:b/>
          <w:color w:val="4F81BD" w:themeColor="accent1"/>
          <w:sz w:val="26"/>
          <w:szCs w:val="26"/>
        </w:rPr>
        <w:t>BAC end mapping</w:t>
      </w:r>
    </w:p>
    <w:p w14:paraId="1E7EEA91" w14:textId="46B27C04" w:rsidR="00EE1B46" w:rsidRDefault="00EE1B46" w:rsidP="002216A8">
      <w:pPr>
        <w:ind w:left="720"/>
      </w:pPr>
      <w:r w:rsidRPr="00EE1B46">
        <w:t>CH17_CHM1_1.1_placements.tsv.gz</w:t>
      </w:r>
    </w:p>
    <w:p w14:paraId="484C74F4" w14:textId="11DEC8DA" w:rsidR="00FF7C30" w:rsidRDefault="00FF7C30" w:rsidP="002216A8">
      <w:pPr>
        <w:ind w:left="720"/>
      </w:pPr>
      <w:r>
        <w:t>CHM1_BAC_mapping.zip</w:t>
      </w:r>
    </w:p>
    <w:p w14:paraId="382F83C4" w14:textId="2ACC1416" w:rsidR="00FF7C30" w:rsidRDefault="00FF7C30" w:rsidP="002216A8">
      <w:pPr>
        <w:ind w:left="720"/>
      </w:pPr>
      <w:r>
        <w:t>GRCh37_BAC_mapping.zip</w:t>
      </w:r>
    </w:p>
    <w:p w14:paraId="037EFEAF" w14:textId="39FD1FF2" w:rsidR="00A62695" w:rsidRDefault="00A62695" w:rsidP="002216A8">
      <w:pPr>
        <w:ind w:left="720"/>
      </w:pPr>
      <w:r>
        <w:t>CHORI17_BAC_inversions.txt</w:t>
      </w:r>
    </w:p>
    <w:p w14:paraId="3F8B9223" w14:textId="77777777" w:rsidR="00FF7C30" w:rsidRDefault="00FF7C30"/>
    <w:p w14:paraId="50EF608D" w14:textId="32D7D81D" w:rsidR="00FF7C30" w:rsidRDefault="00FF7C30" w:rsidP="00FF7C30">
      <w:r>
        <w:rPr>
          <w:rFonts w:asciiTheme="majorHAnsi" w:hAnsiTheme="majorHAnsi"/>
          <w:b/>
          <w:color w:val="4F81BD" w:themeColor="accent1"/>
          <w:sz w:val="26"/>
          <w:szCs w:val="26"/>
        </w:rPr>
        <w:t xml:space="preserve">SNV </w:t>
      </w:r>
      <w:proofErr w:type="spellStart"/>
      <w:r>
        <w:rPr>
          <w:rFonts w:asciiTheme="majorHAnsi" w:hAnsiTheme="majorHAnsi"/>
          <w:b/>
          <w:color w:val="4F81BD" w:themeColor="accent1"/>
          <w:sz w:val="26"/>
          <w:szCs w:val="26"/>
        </w:rPr>
        <w:t>callsets</w:t>
      </w:r>
      <w:proofErr w:type="spellEnd"/>
    </w:p>
    <w:p w14:paraId="599EEF16" w14:textId="65B8C3C8" w:rsidR="00FF7C30" w:rsidRDefault="00FF7C30" w:rsidP="00FF7C30">
      <w:pPr>
        <w:ind w:left="720"/>
      </w:pPr>
      <w:r>
        <w:t>CHM1_to_GRCh37_lite_snvs.site_filtered.pass.vcf.gz</w:t>
      </w:r>
    </w:p>
    <w:p w14:paraId="6810C093" w14:textId="7C3BBD93" w:rsidR="00FF7C30" w:rsidRDefault="00FF7C30" w:rsidP="00FF7C30">
      <w:pPr>
        <w:ind w:left="720"/>
      </w:pPr>
      <w:r>
        <w:t>CHM1_to_CHM1_1.1_snvs.site_filtered.pass.vcf.gz</w:t>
      </w:r>
    </w:p>
    <w:p w14:paraId="414707BE" w14:textId="77777777" w:rsidR="00FF7C30" w:rsidRDefault="00FF7C30" w:rsidP="00FF7C30"/>
    <w:p w14:paraId="352C534E" w14:textId="53D1F29A" w:rsidR="00F163F5" w:rsidRDefault="008402C0">
      <w:proofErr w:type="spellStart"/>
      <w:r>
        <w:rPr>
          <w:rFonts w:asciiTheme="majorHAnsi" w:hAnsiTheme="majorHAnsi"/>
          <w:b/>
          <w:color w:val="4F81BD" w:themeColor="accent1"/>
          <w:sz w:val="26"/>
          <w:szCs w:val="26"/>
        </w:rPr>
        <w:t>BioNano</w:t>
      </w:r>
      <w:proofErr w:type="spellEnd"/>
      <w:r>
        <w:rPr>
          <w:rFonts w:asciiTheme="majorHAnsi" w:hAnsiTheme="majorHAnsi"/>
          <w:b/>
          <w:color w:val="4F81BD" w:themeColor="accent1"/>
          <w:sz w:val="26"/>
          <w:szCs w:val="26"/>
        </w:rPr>
        <w:t xml:space="preserve"> Analysis</w:t>
      </w:r>
    </w:p>
    <w:p w14:paraId="4C2A056E" w14:textId="06F4824F" w:rsidR="008402C0" w:rsidRDefault="008402C0" w:rsidP="008402C0">
      <w:pPr>
        <w:ind w:firstLine="720"/>
      </w:pPr>
      <w:r>
        <w:t>BioNano_map_analysis.docx</w:t>
      </w:r>
    </w:p>
    <w:p w14:paraId="1FB18A05" w14:textId="7908A5EC" w:rsidR="00E551A1" w:rsidRDefault="00E551A1" w:rsidP="008402C0">
      <w:pPr>
        <w:ind w:firstLine="720"/>
      </w:pPr>
      <w:r>
        <w:t>CHM1_0825_vs_CHM1_1.1.xmap</w:t>
      </w:r>
      <w:bookmarkStart w:id="0" w:name="_GoBack"/>
      <w:bookmarkEnd w:id="0"/>
    </w:p>
    <w:p w14:paraId="2BBFCA1A" w14:textId="77777777" w:rsidR="00733283" w:rsidRDefault="00733283"/>
    <w:sectPr w:rsidR="00733283" w:rsidSect="003517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46"/>
    <w:rsid w:val="001964C0"/>
    <w:rsid w:val="001F6F65"/>
    <w:rsid w:val="002216A8"/>
    <w:rsid w:val="00351736"/>
    <w:rsid w:val="004901D1"/>
    <w:rsid w:val="0057648D"/>
    <w:rsid w:val="006E1218"/>
    <w:rsid w:val="00733283"/>
    <w:rsid w:val="007569CA"/>
    <w:rsid w:val="008402C0"/>
    <w:rsid w:val="00862D64"/>
    <w:rsid w:val="00877A12"/>
    <w:rsid w:val="00942269"/>
    <w:rsid w:val="009458D6"/>
    <w:rsid w:val="009D1F11"/>
    <w:rsid w:val="00A4661B"/>
    <w:rsid w:val="00A62695"/>
    <w:rsid w:val="00AC04CA"/>
    <w:rsid w:val="00B102B7"/>
    <w:rsid w:val="00CF142C"/>
    <w:rsid w:val="00DF748B"/>
    <w:rsid w:val="00E551A1"/>
    <w:rsid w:val="00EC45FB"/>
    <w:rsid w:val="00EE1B46"/>
    <w:rsid w:val="00F163F5"/>
    <w:rsid w:val="00F72E90"/>
    <w:rsid w:val="00F739A2"/>
    <w:rsid w:val="00FF7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2E2E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E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2E9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E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2E9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image" Target="media/image3.png"/><Relationship Id="rId8" Type="http://schemas.openxmlformats.org/officeDocument/2006/relationships/image" Target="media/image4.emf"/><Relationship Id="rId9" Type="http://schemas.openxmlformats.org/officeDocument/2006/relationships/image" Target="media/image5.emf"/><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725</Words>
  <Characters>4134</Characters>
  <Application>Microsoft Macintosh Word</Application>
  <DocSecurity>0</DocSecurity>
  <Lines>34</Lines>
  <Paragraphs>9</Paragraphs>
  <ScaleCrop>false</ScaleCrop>
  <Company>The Genome Institute</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 Meltz Steinberg</dc:creator>
  <cp:keywords/>
  <dc:description/>
  <cp:lastModifiedBy>Karyn Meltz Steinberg</cp:lastModifiedBy>
  <cp:revision>5</cp:revision>
  <dcterms:created xsi:type="dcterms:W3CDTF">2014-10-07T15:55:00Z</dcterms:created>
  <dcterms:modified xsi:type="dcterms:W3CDTF">2014-10-07T18:01:00Z</dcterms:modified>
</cp:coreProperties>
</file>