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BA" w:rsidRPr="00A17664" w:rsidRDefault="00B626BA" w:rsidP="001032EC">
      <w:pPr>
        <w:spacing w:after="0" w:line="240" w:lineRule="auto"/>
        <w:jc w:val="center"/>
        <w:rPr>
          <w:rFonts w:ascii="Calibri" w:hAnsi="Calibri" w:cs="Times New Roman"/>
          <w:b/>
          <w:color w:val="000000"/>
          <w:sz w:val="32"/>
          <w:szCs w:val="32"/>
          <w:lang w:val="en-US"/>
        </w:rPr>
      </w:pPr>
      <w:r w:rsidRPr="00A17664">
        <w:rPr>
          <w:rFonts w:ascii="Calibri" w:hAnsi="Calibri" w:cs="Times New Roman"/>
          <w:b/>
          <w:color w:val="000000"/>
          <w:sz w:val="32"/>
          <w:szCs w:val="32"/>
        </w:rPr>
        <w:t>The effect of genotype and </w:t>
      </w:r>
      <w:r w:rsidRPr="00A17664">
        <w:rPr>
          <w:rFonts w:ascii="Calibri" w:hAnsi="Calibri" w:cs="Times New Roman"/>
          <w:b/>
          <w:i/>
          <w:iCs/>
          <w:color w:val="000000"/>
          <w:sz w:val="32"/>
          <w:szCs w:val="32"/>
        </w:rPr>
        <w:t>in utero</w:t>
      </w:r>
      <w:r w:rsidRPr="00A17664">
        <w:rPr>
          <w:rFonts w:ascii="Calibri" w:hAnsi="Calibri" w:cs="Times New Roman"/>
          <w:b/>
          <w:color w:val="000000"/>
          <w:sz w:val="32"/>
          <w:szCs w:val="32"/>
        </w:rPr>
        <w:t xml:space="preserve"> environment on </w:t>
      </w:r>
      <w:r>
        <w:rPr>
          <w:rFonts w:ascii="Calibri" w:hAnsi="Calibri" w:cs="Times New Roman"/>
          <w:b/>
          <w:color w:val="000000"/>
          <w:sz w:val="32"/>
          <w:szCs w:val="32"/>
        </w:rPr>
        <w:t xml:space="preserve">inter-individual </w:t>
      </w:r>
      <w:r w:rsidRPr="00A17664">
        <w:rPr>
          <w:rFonts w:ascii="Calibri" w:hAnsi="Calibri" w:cs="Times New Roman"/>
          <w:b/>
          <w:color w:val="000000"/>
          <w:sz w:val="32"/>
          <w:szCs w:val="32"/>
        </w:rPr>
        <w:t>variation in neonat</w:t>
      </w:r>
      <w:r>
        <w:rPr>
          <w:rFonts w:ascii="Calibri" w:hAnsi="Calibri" w:cs="Times New Roman"/>
          <w:b/>
          <w:color w:val="000000"/>
          <w:sz w:val="32"/>
          <w:szCs w:val="32"/>
        </w:rPr>
        <w:t>e</w:t>
      </w:r>
      <w:r w:rsidRPr="00A17664">
        <w:rPr>
          <w:rFonts w:ascii="Calibri" w:hAnsi="Calibri" w:cs="Times New Roman"/>
          <w:b/>
          <w:color w:val="000000"/>
          <w:sz w:val="32"/>
          <w:szCs w:val="32"/>
        </w:rPr>
        <w:t xml:space="preserve"> </w:t>
      </w:r>
      <w:r>
        <w:rPr>
          <w:rFonts w:ascii="Calibri" w:hAnsi="Calibri" w:cs="Times New Roman"/>
          <w:b/>
          <w:color w:val="000000"/>
          <w:sz w:val="32"/>
          <w:szCs w:val="32"/>
        </w:rPr>
        <w:t xml:space="preserve">DNA </w:t>
      </w:r>
      <w:r w:rsidRPr="00A17664">
        <w:rPr>
          <w:rFonts w:ascii="Calibri" w:hAnsi="Calibri" w:cs="Times New Roman"/>
          <w:b/>
          <w:color w:val="000000"/>
          <w:sz w:val="32"/>
          <w:szCs w:val="32"/>
        </w:rPr>
        <w:t>methylomes</w:t>
      </w:r>
    </w:p>
    <w:p w:rsidR="00B626BA" w:rsidRPr="000211A7" w:rsidRDefault="00B626BA" w:rsidP="001032EC">
      <w:pPr>
        <w:spacing w:after="0" w:line="360" w:lineRule="auto"/>
        <w:rPr>
          <w:sz w:val="20"/>
          <w:szCs w:val="20"/>
        </w:rPr>
      </w:pPr>
      <w:r w:rsidRPr="000211A7">
        <w:rPr>
          <w:sz w:val="20"/>
          <w:szCs w:val="20"/>
        </w:rPr>
        <w:t>Ai Ling Teh*</w:t>
      </w:r>
      <w:r w:rsidRPr="000211A7">
        <w:rPr>
          <w:sz w:val="20"/>
          <w:szCs w:val="20"/>
          <w:vertAlign w:val="superscript"/>
        </w:rPr>
        <w:t>1</w:t>
      </w:r>
      <w:r w:rsidRPr="000211A7">
        <w:rPr>
          <w:sz w:val="20"/>
          <w:szCs w:val="20"/>
        </w:rPr>
        <w:t>, Hong</w:t>
      </w:r>
      <w:r>
        <w:rPr>
          <w:sz w:val="20"/>
          <w:szCs w:val="20"/>
        </w:rPr>
        <w:t xml:space="preserve"> Pan</w:t>
      </w:r>
      <w:r w:rsidRPr="000211A7">
        <w:rPr>
          <w:sz w:val="20"/>
          <w:szCs w:val="20"/>
        </w:rPr>
        <w:t>*</w:t>
      </w:r>
      <w:r w:rsidRPr="000211A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>,2</w:t>
      </w:r>
      <w:r w:rsidRPr="000211A7">
        <w:rPr>
          <w:sz w:val="20"/>
          <w:szCs w:val="20"/>
        </w:rPr>
        <w:t>, Li</w:t>
      </w:r>
      <w:r>
        <w:rPr>
          <w:sz w:val="20"/>
          <w:szCs w:val="20"/>
        </w:rPr>
        <w:t xml:space="preserve"> Chen</w:t>
      </w:r>
      <w:r w:rsidRPr="000211A7">
        <w:rPr>
          <w:sz w:val="20"/>
          <w:szCs w:val="20"/>
          <w:vertAlign w:val="superscript"/>
        </w:rPr>
        <w:t>1</w:t>
      </w:r>
      <w:r w:rsidRPr="000211A7">
        <w:rPr>
          <w:sz w:val="20"/>
          <w:szCs w:val="20"/>
        </w:rPr>
        <w:t>, Mei-Lyn Ong</w:t>
      </w:r>
      <w:r w:rsidRPr="000211A7">
        <w:rPr>
          <w:sz w:val="20"/>
          <w:szCs w:val="20"/>
          <w:vertAlign w:val="superscript"/>
        </w:rPr>
        <w:t>1</w:t>
      </w:r>
      <w:r w:rsidRPr="000211A7">
        <w:rPr>
          <w:sz w:val="20"/>
          <w:szCs w:val="20"/>
        </w:rPr>
        <w:t xml:space="preserve">, </w:t>
      </w:r>
      <w:r>
        <w:rPr>
          <w:sz w:val="20"/>
          <w:szCs w:val="20"/>
        </w:rPr>
        <w:t>Shaillay Dogra</w:t>
      </w:r>
      <w:r w:rsidRPr="000211A7">
        <w:rPr>
          <w:sz w:val="20"/>
          <w:szCs w:val="20"/>
          <w:vertAlign w:val="superscript"/>
        </w:rPr>
        <w:t>1</w:t>
      </w:r>
      <w:r w:rsidRPr="008C6CCF">
        <w:rPr>
          <w:sz w:val="20"/>
          <w:szCs w:val="20"/>
        </w:rPr>
        <w:t xml:space="preserve">, </w:t>
      </w:r>
      <w:r w:rsidRPr="000211A7">
        <w:rPr>
          <w:sz w:val="20"/>
          <w:szCs w:val="20"/>
        </w:rPr>
        <w:t>Johnny Wong</w:t>
      </w:r>
      <w:r w:rsidRPr="000211A7">
        <w:rPr>
          <w:sz w:val="20"/>
          <w:szCs w:val="20"/>
          <w:vertAlign w:val="superscript"/>
        </w:rPr>
        <w:t>1</w:t>
      </w:r>
      <w:r w:rsidRPr="000211A7">
        <w:rPr>
          <w:sz w:val="20"/>
          <w:szCs w:val="20"/>
        </w:rPr>
        <w:t xml:space="preserve">, </w:t>
      </w:r>
      <w:r>
        <w:rPr>
          <w:sz w:val="20"/>
          <w:szCs w:val="20"/>
        </w:rPr>
        <w:t>Julia L MacIsaac</w:t>
      </w:r>
      <w:r w:rsidRPr="00E027E0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, </w:t>
      </w:r>
      <w:r w:rsidRPr="000211A7">
        <w:rPr>
          <w:sz w:val="20"/>
          <w:szCs w:val="20"/>
        </w:rPr>
        <w:t>Sarah M Mah</w:t>
      </w:r>
      <w:r>
        <w:rPr>
          <w:sz w:val="20"/>
          <w:szCs w:val="20"/>
          <w:vertAlign w:val="superscript"/>
        </w:rPr>
        <w:t>3</w:t>
      </w:r>
      <w:r w:rsidRPr="000211A7">
        <w:rPr>
          <w:sz w:val="20"/>
          <w:szCs w:val="20"/>
        </w:rPr>
        <w:t xml:space="preserve">, </w:t>
      </w:r>
      <w:r>
        <w:rPr>
          <w:sz w:val="20"/>
          <w:szCs w:val="20"/>
        </w:rPr>
        <w:t>Lisa M McEwen</w:t>
      </w:r>
      <w:r w:rsidRPr="0000456D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, Seang-Mei Saw</w:t>
      </w:r>
      <w:r w:rsidRPr="000C1C08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, Keith M Godfrey</w:t>
      </w:r>
      <w:r w:rsidRPr="000C1C08"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, </w:t>
      </w:r>
      <w:r w:rsidRPr="000211A7">
        <w:rPr>
          <w:sz w:val="20"/>
          <w:szCs w:val="20"/>
        </w:rPr>
        <w:t>Yap-Seng Chong</w:t>
      </w:r>
      <w:r>
        <w:rPr>
          <w:sz w:val="20"/>
          <w:szCs w:val="20"/>
          <w:vertAlign w:val="superscript"/>
        </w:rPr>
        <w:t>1,6</w:t>
      </w:r>
      <w:r w:rsidRPr="000211A7">
        <w:rPr>
          <w:sz w:val="20"/>
          <w:szCs w:val="20"/>
        </w:rPr>
        <w:t>, Kenneth Kwek</w:t>
      </w:r>
      <w:r>
        <w:rPr>
          <w:sz w:val="20"/>
          <w:szCs w:val="20"/>
          <w:vertAlign w:val="superscript"/>
        </w:rPr>
        <w:t>7</w:t>
      </w:r>
      <w:r w:rsidRPr="000211A7">
        <w:rPr>
          <w:sz w:val="20"/>
          <w:szCs w:val="20"/>
        </w:rPr>
        <w:t xml:space="preserve">, </w:t>
      </w:r>
      <w:r>
        <w:rPr>
          <w:sz w:val="20"/>
          <w:szCs w:val="20"/>
        </w:rPr>
        <w:t>Chee-Keong Kwoh</w:t>
      </w:r>
      <w:r w:rsidRPr="00F67526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 Sh</w:t>
      </w:r>
      <w:r w:rsidR="009D1342">
        <w:rPr>
          <w:sz w:val="20"/>
          <w:szCs w:val="20"/>
        </w:rPr>
        <w:t>u</w:t>
      </w:r>
      <w:bookmarkStart w:id="0" w:name="_GoBack"/>
      <w:bookmarkEnd w:id="0"/>
      <w:r>
        <w:rPr>
          <w:sz w:val="20"/>
          <w:szCs w:val="20"/>
        </w:rPr>
        <w:t>-E Soh</w:t>
      </w:r>
      <w:r>
        <w:rPr>
          <w:sz w:val="20"/>
          <w:szCs w:val="20"/>
          <w:vertAlign w:val="superscript"/>
        </w:rPr>
        <w:t>4,6</w:t>
      </w:r>
      <w:r>
        <w:rPr>
          <w:sz w:val="20"/>
          <w:szCs w:val="20"/>
        </w:rPr>
        <w:t>, Mary FF Chong</w:t>
      </w:r>
      <w:r w:rsidRPr="00B7061D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>,6</w:t>
      </w:r>
      <w:r>
        <w:rPr>
          <w:sz w:val="20"/>
          <w:szCs w:val="20"/>
        </w:rPr>
        <w:t>, Sheila Barton</w:t>
      </w:r>
      <w:r w:rsidRPr="000C1C08"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, Neerja Karnani</w:t>
      </w:r>
      <w:r w:rsidRPr="000211A7">
        <w:rPr>
          <w:sz w:val="20"/>
          <w:szCs w:val="20"/>
          <w:vertAlign w:val="superscript"/>
        </w:rPr>
        <w:t>1</w:t>
      </w:r>
      <w:r w:rsidRPr="00D24467">
        <w:rPr>
          <w:sz w:val="20"/>
          <w:szCs w:val="20"/>
        </w:rPr>
        <w:t xml:space="preserve">, </w:t>
      </w:r>
      <w:r w:rsidRPr="000211A7">
        <w:rPr>
          <w:sz w:val="20"/>
          <w:szCs w:val="20"/>
        </w:rPr>
        <w:t xml:space="preserve">Clara </w:t>
      </w:r>
      <w:r>
        <w:rPr>
          <w:sz w:val="20"/>
          <w:szCs w:val="20"/>
        </w:rPr>
        <w:t xml:space="preserve">Y </w:t>
      </w:r>
      <w:r w:rsidRPr="000211A7">
        <w:rPr>
          <w:sz w:val="20"/>
          <w:szCs w:val="20"/>
        </w:rPr>
        <w:t>Ch</w:t>
      </w:r>
      <w:r>
        <w:rPr>
          <w:sz w:val="20"/>
          <w:szCs w:val="20"/>
        </w:rPr>
        <w:t>e</w:t>
      </w:r>
      <w:r w:rsidRPr="000211A7">
        <w:rPr>
          <w:sz w:val="20"/>
          <w:szCs w:val="20"/>
        </w:rPr>
        <w:t>ong</w:t>
      </w:r>
      <w:r w:rsidRPr="000211A7">
        <w:rPr>
          <w:sz w:val="20"/>
          <w:szCs w:val="20"/>
          <w:vertAlign w:val="superscript"/>
        </w:rPr>
        <w:t>1</w:t>
      </w:r>
      <w:r w:rsidRPr="000211A7">
        <w:rPr>
          <w:sz w:val="20"/>
          <w:szCs w:val="20"/>
        </w:rPr>
        <w:t xml:space="preserve">, </w:t>
      </w:r>
      <w:r>
        <w:rPr>
          <w:sz w:val="20"/>
          <w:szCs w:val="20"/>
        </w:rPr>
        <w:t>Jan Paul Buschdorf</w:t>
      </w:r>
      <w:r w:rsidRPr="00423052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, </w:t>
      </w:r>
      <w:r w:rsidRPr="000211A7">
        <w:rPr>
          <w:sz w:val="20"/>
          <w:szCs w:val="20"/>
        </w:rPr>
        <w:t>Walter Stunkel</w:t>
      </w:r>
      <w:r w:rsidRPr="000211A7">
        <w:rPr>
          <w:sz w:val="20"/>
          <w:szCs w:val="20"/>
          <w:vertAlign w:val="superscript"/>
        </w:rPr>
        <w:t>1</w:t>
      </w:r>
      <w:r w:rsidRPr="000211A7">
        <w:rPr>
          <w:sz w:val="20"/>
          <w:szCs w:val="20"/>
        </w:rPr>
        <w:t xml:space="preserve">, Michael </w:t>
      </w:r>
      <w:r>
        <w:rPr>
          <w:sz w:val="20"/>
          <w:szCs w:val="20"/>
        </w:rPr>
        <w:t xml:space="preserve">S </w:t>
      </w:r>
      <w:r w:rsidRPr="000211A7">
        <w:rPr>
          <w:sz w:val="20"/>
          <w:szCs w:val="20"/>
        </w:rPr>
        <w:t>Kobor</w:t>
      </w:r>
      <w:r>
        <w:rPr>
          <w:sz w:val="20"/>
          <w:szCs w:val="20"/>
          <w:vertAlign w:val="superscript"/>
        </w:rPr>
        <w:t>3</w:t>
      </w:r>
      <w:r w:rsidRPr="000211A7">
        <w:rPr>
          <w:sz w:val="20"/>
          <w:szCs w:val="20"/>
        </w:rPr>
        <w:t>,  Michael J Meaney</w:t>
      </w:r>
      <w:r w:rsidRPr="000211A7">
        <w:rPr>
          <w:sz w:val="20"/>
          <w:szCs w:val="20"/>
          <w:vertAlign w:val="superscript"/>
        </w:rPr>
        <w:t>1,</w:t>
      </w:r>
      <w:r>
        <w:rPr>
          <w:sz w:val="20"/>
          <w:szCs w:val="20"/>
          <w:vertAlign w:val="superscript"/>
        </w:rPr>
        <w:t>8</w:t>
      </w:r>
      <w:r w:rsidRPr="000211A7">
        <w:rPr>
          <w:sz w:val="20"/>
          <w:szCs w:val="20"/>
        </w:rPr>
        <w:t>, Peter D Gluckman</w:t>
      </w:r>
      <w:r w:rsidRPr="000211A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>,9</w:t>
      </w:r>
      <w:r w:rsidRPr="000211A7">
        <w:rPr>
          <w:sz w:val="20"/>
          <w:szCs w:val="20"/>
        </w:rPr>
        <w:t>, Joanna D Holbrook</w:t>
      </w:r>
      <w:r w:rsidRPr="000211A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>†</w:t>
      </w:r>
    </w:p>
    <w:p w:rsidR="00B626BA" w:rsidRPr="00227F9E" w:rsidRDefault="00B626BA" w:rsidP="001032EC">
      <w:pPr>
        <w:spacing w:line="360" w:lineRule="auto"/>
      </w:pPr>
    </w:p>
    <w:p w:rsidR="00B626BA" w:rsidRDefault="000F369D" w:rsidP="001032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Supplement </w:t>
      </w:r>
      <w:r w:rsidR="00B626BA">
        <w:rPr>
          <w:b/>
          <w:sz w:val="28"/>
          <w:szCs w:val="28"/>
        </w:rPr>
        <w:t>Tables</w:t>
      </w:r>
      <w:r>
        <w:rPr>
          <w:b/>
          <w:sz w:val="28"/>
          <w:szCs w:val="28"/>
        </w:rPr>
        <w:t xml:space="preserve"> 1-5</w:t>
      </w:r>
    </w:p>
    <w:p w:rsidR="00B626BA" w:rsidRDefault="00B626BA" w:rsidP="001032EC">
      <w:pPr>
        <w:spacing w:line="360" w:lineRule="auto"/>
        <w:rPr>
          <w:lang w:val="en-US"/>
        </w:rPr>
      </w:pPr>
      <w:r>
        <w:rPr>
          <w:lang w:val="en-US"/>
        </w:rPr>
        <w:t>Supplemental table 1: VMR distribution across chromosomes in the context of array design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7"/>
        <w:gridCol w:w="1268"/>
        <w:gridCol w:w="1879"/>
        <w:gridCol w:w="1919"/>
        <w:gridCol w:w="1975"/>
        <w:gridCol w:w="1268"/>
      </w:tblGrid>
      <w:tr w:rsidR="00B626BA" w:rsidRPr="00D20463" w:rsidTr="001032EC">
        <w:trPr>
          <w:trHeight w:val="30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CHR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 xml:space="preserve"># probes 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# regions possible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Observed #  VMRs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expected # regions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obs/exp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29743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5045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114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133.68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85%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22468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3871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112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102.57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109%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15743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2560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67.83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65%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12710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2243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59.43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123%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15684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2569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68.07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131%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22255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3123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148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82.75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179%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19294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3598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95.34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103%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13740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2478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65.66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123%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6346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1553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41.15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36%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16131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2834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75.09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105%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18904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3231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85.61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88%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15327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2828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74.94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131%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7862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1380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36.57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137%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9361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1722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45.63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50%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9429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1674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44.36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88%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14595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2866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75.94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71%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18103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3387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89.75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81%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3624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706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18.71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91%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15475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3220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85.32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87%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6677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1187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31.45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70%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2769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585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15.5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142%</w:t>
            </w:r>
          </w:p>
        </w:tc>
      </w:tr>
      <w:tr w:rsidR="00B626BA" w:rsidRPr="00D20463" w:rsidTr="001032EC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5228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1043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27.64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BA" w:rsidRPr="00D20463" w:rsidRDefault="00B626BA" w:rsidP="001032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D20463">
              <w:rPr>
                <w:rFonts w:ascii="Calibri" w:eastAsia="Times New Roman" w:hAnsi="Calibri" w:cs="Times New Roman"/>
              </w:rPr>
              <w:t>83%</w:t>
            </w:r>
          </w:p>
        </w:tc>
      </w:tr>
    </w:tbl>
    <w:p w:rsidR="00B626BA" w:rsidRDefault="00B626B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626BA" w:rsidRDefault="00B626BA" w:rsidP="001032EC">
      <w:pPr>
        <w:spacing w:line="360" w:lineRule="auto"/>
      </w:pPr>
      <w:r>
        <w:rPr>
          <w:lang w:val="en-US"/>
        </w:rPr>
        <w:lastRenderedPageBreak/>
        <w:t>Supplemental table 2:</w:t>
      </w:r>
      <w:r w:rsidRPr="001053E7">
        <w:rPr>
          <w:b/>
          <w:sz w:val="28"/>
          <w:szCs w:val="28"/>
        </w:rPr>
        <w:t xml:space="preserve"> </w:t>
      </w:r>
      <w:r w:rsidRPr="007B44A4">
        <w:t>enrichment analysis</w:t>
      </w:r>
      <w:r>
        <w:t xml:space="preserve"> for CpG islands, shores, shelves and open seas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2320"/>
        <w:gridCol w:w="750"/>
        <w:gridCol w:w="995"/>
        <w:gridCol w:w="990"/>
        <w:gridCol w:w="990"/>
        <w:gridCol w:w="990"/>
        <w:gridCol w:w="1080"/>
        <w:gridCol w:w="810"/>
      </w:tblGrid>
      <w:tr w:rsidR="00B626BA" w:rsidRPr="00D20463" w:rsidTr="001032EC">
        <w:trPr>
          <w:trHeight w:val="623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Island</w:t>
            </w:r>
          </w:p>
        </w:tc>
        <w:tc>
          <w:tcPr>
            <w:tcW w:w="995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South shore</w:t>
            </w:r>
          </w:p>
        </w:tc>
        <w:tc>
          <w:tcPr>
            <w:tcW w:w="99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North shore</w:t>
            </w:r>
          </w:p>
        </w:tc>
        <w:tc>
          <w:tcPr>
            <w:tcW w:w="99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South shelf</w:t>
            </w:r>
          </w:p>
        </w:tc>
        <w:tc>
          <w:tcPr>
            <w:tcW w:w="99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North shelf</w:t>
            </w:r>
          </w:p>
        </w:tc>
        <w:tc>
          <w:tcPr>
            <w:tcW w:w="108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Open sea</w:t>
            </w:r>
          </w:p>
        </w:tc>
        <w:tc>
          <w:tcPr>
            <w:tcW w:w="81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B626BA" w:rsidRPr="00D20463" w:rsidTr="001032EC">
        <w:trPr>
          <w:trHeight w:val="300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Regions on array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149981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46254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58976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8262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10600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97861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371934</w:t>
            </w:r>
          </w:p>
        </w:tc>
      </w:tr>
      <w:tr w:rsidR="00B626BA" w:rsidRPr="00D20463" w:rsidTr="001032EC">
        <w:trPr>
          <w:trHeight w:val="300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VMR-CpGs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1423</w:t>
            </w:r>
          </w:p>
        </w:tc>
      </w:tr>
      <w:tr w:rsidR="00B626BA" w:rsidRPr="00D20463" w:rsidTr="001032EC">
        <w:trPr>
          <w:trHeight w:val="300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(p-value)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(1)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(0.61)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(0.027)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(0.64)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(0.43)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(6.64x10</w:t>
            </w: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-10</w:t>
            </w: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626BA" w:rsidRPr="00D20463" w:rsidTr="001032EC">
        <w:trPr>
          <w:trHeight w:val="465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VMR-CpGs best explained by Genotype model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</w:tr>
      <w:tr w:rsidR="00B626BA" w:rsidRPr="00D20463" w:rsidTr="001032EC">
        <w:trPr>
          <w:trHeight w:val="300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(p-value)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(1)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(0.28)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(0.49)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(0.96)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(0.46)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(1.38x10</w:t>
            </w: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-5</w:t>
            </w: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626BA" w:rsidRPr="00D20463" w:rsidTr="001032EC">
        <w:trPr>
          <w:trHeight w:val="465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VMR-CpGs best explained by GXE models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1061</w:t>
            </w:r>
          </w:p>
        </w:tc>
      </w:tr>
      <w:tr w:rsidR="00B626BA" w:rsidRPr="00D20463" w:rsidTr="001032EC">
        <w:trPr>
          <w:trHeight w:val="315"/>
        </w:trPr>
        <w:tc>
          <w:tcPr>
            <w:tcW w:w="2320" w:type="dxa"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(p-value)</w:t>
            </w:r>
          </w:p>
        </w:tc>
        <w:tc>
          <w:tcPr>
            <w:tcW w:w="75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(1)</w:t>
            </w:r>
          </w:p>
        </w:tc>
        <w:tc>
          <w:tcPr>
            <w:tcW w:w="995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(0.72)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(0.012)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(0.26)</w:t>
            </w:r>
          </w:p>
        </w:tc>
        <w:tc>
          <w:tcPr>
            <w:tcW w:w="99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(0.40)</w:t>
            </w:r>
          </w:p>
        </w:tc>
        <w:tc>
          <w:tcPr>
            <w:tcW w:w="108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(2.12x10</w:t>
            </w: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-6</w:t>
            </w:r>
            <w:r w:rsidRPr="00D2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  <w:noWrap/>
            <w:hideMark/>
          </w:tcPr>
          <w:p w:rsidR="00B626BA" w:rsidRPr="00D20463" w:rsidRDefault="00B626B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2046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B626BA" w:rsidRDefault="00B626BA">
      <w:pPr>
        <w:rPr>
          <w:b/>
          <w:sz w:val="28"/>
          <w:szCs w:val="28"/>
        </w:rPr>
      </w:pPr>
    </w:p>
    <w:p w:rsidR="00B626BA" w:rsidRDefault="00B626BA" w:rsidP="001032EC">
      <w:pPr>
        <w:spacing w:line="360" w:lineRule="auto"/>
      </w:pPr>
      <w:r>
        <w:rPr>
          <w:lang w:val="en-US"/>
        </w:rPr>
        <w:t>Supplemental table 3:</w:t>
      </w:r>
      <w:r w:rsidRPr="001053E7">
        <w:rPr>
          <w:b/>
          <w:sz w:val="28"/>
          <w:szCs w:val="28"/>
        </w:rPr>
        <w:t xml:space="preserve"> </w:t>
      </w:r>
      <w:r w:rsidRPr="007B44A4">
        <w:t>enrichment analysis</w:t>
      </w:r>
      <w:r>
        <w:t xml:space="preserve"> for DNase Hypersensitivity sites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4246"/>
        <w:gridCol w:w="1772"/>
        <w:gridCol w:w="1164"/>
      </w:tblGrid>
      <w:tr w:rsidR="00B626BA" w:rsidRPr="00D20463" w:rsidTr="001032EC">
        <w:trPr>
          <w:trHeight w:val="997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  <w:b/>
              </w:rPr>
            </w:pPr>
            <w:r w:rsidRPr="00D20463">
              <w:rPr>
                <w:b/>
              </w:rPr>
              <w:t>DHS site (DHS peak existing in any of ENCODE cell lines)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  <w:b/>
              </w:rPr>
            </w:pPr>
            <w:r w:rsidRPr="00D20463">
              <w:rPr>
                <w:b/>
              </w:rPr>
              <w:t>Not DHS site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  <w:b/>
              </w:rPr>
            </w:pPr>
            <w:r w:rsidRPr="00D20463">
              <w:rPr>
                <w:b/>
              </w:rPr>
              <w:t>Total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</w:rPr>
            </w:pPr>
            <w:r w:rsidRPr="00D20463">
              <w:t>Regions on array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335548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36386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371934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</w:rPr>
            </w:pPr>
            <w:r w:rsidRPr="00D20463">
              <w:t>VMR-CpGs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1268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155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1423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0.9126571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</w:rPr>
            </w:pPr>
            <w:r w:rsidRPr="00D20463">
              <w:t>VMR-CpGs best explained by genotype model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327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35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362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</w:rPr>
            </w:pPr>
            <w:r w:rsidRPr="00D20463"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0.4449086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</w:rPr>
            </w:pPr>
            <w:r w:rsidRPr="00D20463">
              <w:t>GXE models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941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120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1061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ascii="Calibri" w:hAnsi="Calibri"/>
              </w:rPr>
            </w:pPr>
            <w:r w:rsidRPr="00D20463"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ascii="Calibri" w:hAnsi="Calibri"/>
              </w:rPr>
            </w:pPr>
            <w:r w:rsidRPr="00D20463">
              <w:t>0.9456697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ascii="Times New Roman" w:eastAsia="Times New Roman" w:hAnsi="Times New Roman"/>
              </w:rPr>
            </w:pPr>
          </w:p>
        </w:tc>
      </w:tr>
    </w:tbl>
    <w:p w:rsidR="00B626BA" w:rsidRDefault="00B626BA" w:rsidP="001032EC">
      <w:pPr>
        <w:spacing w:line="360" w:lineRule="auto"/>
      </w:pPr>
    </w:p>
    <w:p w:rsidR="00B626BA" w:rsidRDefault="00B626BA" w:rsidP="001032EC">
      <w:pPr>
        <w:spacing w:line="360" w:lineRule="auto"/>
      </w:pPr>
      <w:r>
        <w:rPr>
          <w:lang w:val="en-US"/>
        </w:rPr>
        <w:t>Supplemental table 4:</w:t>
      </w:r>
      <w:r w:rsidRPr="001053E7">
        <w:rPr>
          <w:b/>
          <w:sz w:val="28"/>
          <w:szCs w:val="28"/>
        </w:rPr>
        <w:t xml:space="preserve"> </w:t>
      </w:r>
      <w:r w:rsidRPr="007B44A4">
        <w:t>enrichment analysis</w:t>
      </w:r>
      <w:r>
        <w:t xml:space="preserve"> for Promoters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4246"/>
        <w:gridCol w:w="1772"/>
        <w:gridCol w:w="1164"/>
      </w:tblGrid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rPr>
                <w:rFonts w:eastAsia="Times New Roman"/>
                <w:b/>
              </w:rPr>
            </w:pPr>
            <w:r w:rsidRPr="00D20463">
              <w:rPr>
                <w:rFonts w:eastAsia="Times New Roman"/>
                <w:b/>
              </w:rPr>
              <w:t>promoter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  <w:b/>
              </w:rPr>
            </w:pPr>
            <w:r w:rsidRPr="00D20463">
              <w:rPr>
                <w:rFonts w:eastAsia="Times New Roman"/>
                <w:b/>
              </w:rPr>
              <w:t>not promoter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  <w:b/>
              </w:rPr>
            </w:pPr>
            <w:r w:rsidRPr="00D20463">
              <w:rPr>
                <w:rFonts w:eastAsia="Times New Roman"/>
                <w:b/>
              </w:rPr>
              <w:t>Total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Regions on array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132556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239378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371934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VMR-CpGs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301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1122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1423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VMR-CpGs best explained by genotype model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73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289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362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lastRenderedPageBreak/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VMR-CpGs best explained by GXE models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228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833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1061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</w:tr>
    </w:tbl>
    <w:p w:rsidR="00B626BA" w:rsidRDefault="00B626BA" w:rsidP="001032EC">
      <w:pPr>
        <w:spacing w:line="360" w:lineRule="auto"/>
      </w:pPr>
    </w:p>
    <w:p w:rsidR="00B626BA" w:rsidRDefault="00B626BA" w:rsidP="001032EC">
      <w:pPr>
        <w:spacing w:line="360" w:lineRule="auto"/>
      </w:pPr>
      <w:r>
        <w:rPr>
          <w:lang w:val="en-US"/>
        </w:rPr>
        <w:t>Supplemental table 5:</w:t>
      </w:r>
      <w:r w:rsidRPr="001053E7">
        <w:rPr>
          <w:b/>
          <w:sz w:val="28"/>
          <w:szCs w:val="28"/>
        </w:rPr>
        <w:t xml:space="preserve"> </w:t>
      </w:r>
      <w:r w:rsidRPr="007B44A4">
        <w:t>enrichment analysis</w:t>
      </w:r>
      <w:r>
        <w:t xml:space="preserve"> for Enhancers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4246"/>
        <w:gridCol w:w="1772"/>
        <w:gridCol w:w="1164"/>
      </w:tblGrid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rPr>
                <w:rFonts w:eastAsia="Times New Roman"/>
                <w:b/>
              </w:rPr>
            </w:pPr>
            <w:r w:rsidRPr="00D20463">
              <w:rPr>
                <w:rFonts w:eastAsia="Times New Roman"/>
                <w:b/>
              </w:rPr>
              <w:t>vista enhancer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  <w:b/>
              </w:rPr>
            </w:pPr>
            <w:r w:rsidRPr="00D20463">
              <w:rPr>
                <w:rFonts w:eastAsia="Times New Roman"/>
                <w:b/>
              </w:rPr>
              <w:t>not enhancer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  <w:b/>
              </w:rPr>
            </w:pPr>
            <w:r w:rsidRPr="00D20463">
              <w:rPr>
                <w:rFonts w:eastAsia="Times New Roman"/>
                <w:b/>
              </w:rPr>
              <w:t>Total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Regions on array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1023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370911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371934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VMR-CpGs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1420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1423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0.5501393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VMR-CpGs best explained by genotype model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0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362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362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0.631212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VMR-CpGs best explained by GXE models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3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1058</w:t>
            </w: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1061</w:t>
            </w:r>
          </w:p>
        </w:tc>
      </w:tr>
      <w:tr w:rsidR="00B626BA" w:rsidRPr="00D20463" w:rsidTr="001032EC">
        <w:trPr>
          <w:trHeight w:val="400"/>
        </w:trPr>
        <w:tc>
          <w:tcPr>
            <w:tcW w:w="1250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p-value</w:t>
            </w:r>
          </w:p>
        </w:tc>
        <w:tc>
          <w:tcPr>
            <w:tcW w:w="2217" w:type="pct"/>
            <w:hideMark/>
          </w:tcPr>
          <w:p w:rsidR="00B626BA" w:rsidRPr="00D20463" w:rsidRDefault="00B626BA" w:rsidP="001032EC">
            <w:pPr>
              <w:jc w:val="right"/>
              <w:rPr>
                <w:rFonts w:eastAsia="Times New Roman"/>
              </w:rPr>
            </w:pPr>
            <w:r w:rsidRPr="00D20463">
              <w:rPr>
                <w:rFonts w:eastAsia="Times New Roman"/>
              </w:rPr>
              <w:t>0.334411</w:t>
            </w:r>
          </w:p>
        </w:tc>
        <w:tc>
          <w:tcPr>
            <w:tcW w:w="925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  <w:tc>
          <w:tcPr>
            <w:tcW w:w="608" w:type="pct"/>
            <w:hideMark/>
          </w:tcPr>
          <w:p w:rsidR="00B626BA" w:rsidRPr="00D20463" w:rsidRDefault="00B626BA" w:rsidP="001032EC">
            <w:pPr>
              <w:rPr>
                <w:rFonts w:eastAsia="Times New Roman"/>
              </w:rPr>
            </w:pPr>
          </w:p>
        </w:tc>
      </w:tr>
    </w:tbl>
    <w:p w:rsidR="00B626BA" w:rsidRDefault="00B626BA">
      <w:pPr>
        <w:rPr>
          <w:b/>
          <w:sz w:val="28"/>
          <w:szCs w:val="28"/>
        </w:rPr>
      </w:pPr>
    </w:p>
    <w:p w:rsidR="00CF0223" w:rsidRDefault="00CF0223"/>
    <w:sectPr w:rsidR="00CF0223" w:rsidSect="001032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8F" w:rsidRDefault="0001388F">
      <w:pPr>
        <w:spacing w:after="0" w:line="240" w:lineRule="auto"/>
      </w:pPr>
      <w:r>
        <w:separator/>
      </w:r>
    </w:p>
  </w:endnote>
  <w:endnote w:type="continuationSeparator" w:id="0">
    <w:p w:rsidR="0001388F" w:rsidRDefault="0001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15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6E8D" w:rsidRDefault="00557148">
        <w:pPr>
          <w:pStyle w:val="Footer"/>
          <w:jc w:val="right"/>
        </w:pPr>
        <w:r>
          <w:fldChar w:fldCharType="begin"/>
        </w:r>
        <w:r w:rsidR="00800D9E">
          <w:instrText xml:space="preserve"> PAGE   \* MERGEFORMAT </w:instrText>
        </w:r>
        <w:r>
          <w:fldChar w:fldCharType="separate"/>
        </w:r>
        <w:r w:rsidR="009D13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6E8D" w:rsidRDefault="009D1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8F" w:rsidRDefault="0001388F">
      <w:pPr>
        <w:spacing w:after="0" w:line="240" w:lineRule="auto"/>
      </w:pPr>
      <w:r>
        <w:separator/>
      </w:r>
    </w:p>
  </w:footnote>
  <w:footnote w:type="continuationSeparator" w:id="0">
    <w:p w:rsidR="0001388F" w:rsidRDefault="0001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A1B"/>
    <w:multiLevelType w:val="hybridMultilevel"/>
    <w:tmpl w:val="FF249C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33798"/>
    <w:multiLevelType w:val="hybridMultilevel"/>
    <w:tmpl w:val="F9F6EF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A6984"/>
    <w:multiLevelType w:val="hybridMultilevel"/>
    <w:tmpl w:val="9256904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85EED"/>
    <w:multiLevelType w:val="hybridMultilevel"/>
    <w:tmpl w:val="753875A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C4C3F"/>
    <w:multiLevelType w:val="hybridMultilevel"/>
    <w:tmpl w:val="A5D8D3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76D9E"/>
    <w:multiLevelType w:val="hybridMultilevel"/>
    <w:tmpl w:val="4A6C9E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A7FBE"/>
    <w:multiLevelType w:val="hybridMultilevel"/>
    <w:tmpl w:val="DBB427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12110"/>
    <w:multiLevelType w:val="hybridMultilevel"/>
    <w:tmpl w:val="2C3C3E04"/>
    <w:lvl w:ilvl="0" w:tplc="B600C2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B5B13"/>
    <w:multiLevelType w:val="hybridMultilevel"/>
    <w:tmpl w:val="6EECC0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145A1C"/>
    <w:multiLevelType w:val="hybridMultilevel"/>
    <w:tmpl w:val="53983F0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0F0213"/>
    <w:multiLevelType w:val="hybridMultilevel"/>
    <w:tmpl w:val="A92227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92104"/>
    <w:multiLevelType w:val="hybridMultilevel"/>
    <w:tmpl w:val="9A203D1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10"/>
  </w:num>
  <w:num w:numId="13">
    <w:abstractNumId w:val="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626BA"/>
    <w:rsid w:val="0001388F"/>
    <w:rsid w:val="000F369D"/>
    <w:rsid w:val="00557148"/>
    <w:rsid w:val="0061202E"/>
    <w:rsid w:val="00800D9E"/>
    <w:rsid w:val="009D1342"/>
    <w:rsid w:val="00AC1ACC"/>
    <w:rsid w:val="00B626BA"/>
    <w:rsid w:val="00CF0223"/>
    <w:rsid w:val="00D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BA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26BA"/>
    <w:pPr>
      <w:spacing w:after="0" w:line="240" w:lineRule="auto"/>
      <w:ind w:left="720"/>
    </w:pPr>
    <w:rPr>
      <w:rFonts w:ascii="Calibri" w:hAnsi="Calibri" w:cs="Calibri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BA"/>
    <w:rPr>
      <w:rFonts w:ascii="Tahoma" w:hAnsi="Tahoma" w:cs="Tahoma"/>
      <w:sz w:val="16"/>
      <w:szCs w:val="16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B62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6BA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BA"/>
    <w:rPr>
      <w:b/>
      <w:bCs/>
      <w:sz w:val="20"/>
      <w:szCs w:val="20"/>
      <w:lang w:val="en-SG"/>
    </w:rPr>
  </w:style>
  <w:style w:type="paragraph" w:styleId="Revision">
    <w:name w:val="Revision"/>
    <w:hidden/>
    <w:uiPriority w:val="99"/>
    <w:semiHidden/>
    <w:rsid w:val="00B626BA"/>
    <w:pPr>
      <w:spacing w:after="0" w:line="240" w:lineRule="auto"/>
    </w:pPr>
    <w:rPr>
      <w:lang w:val="en-SG"/>
    </w:rPr>
  </w:style>
  <w:style w:type="paragraph" w:customStyle="1" w:styleId="SectionDescription">
    <w:name w:val="Section Description"/>
    <w:basedOn w:val="Normal"/>
    <w:link w:val="SectionDescriptionChar"/>
    <w:qFormat/>
    <w:rsid w:val="00B626BA"/>
    <w:pPr>
      <w:jc w:val="both"/>
    </w:pPr>
    <w:rPr>
      <w:rFonts w:ascii="Arial" w:eastAsia="Times New Roman" w:hAnsi="Arial" w:cs="Times New Roman"/>
      <w:i/>
      <w:sz w:val="18"/>
      <w:szCs w:val="20"/>
    </w:rPr>
  </w:style>
  <w:style w:type="character" w:customStyle="1" w:styleId="SectionDescriptionChar">
    <w:name w:val="Section Description Char"/>
    <w:link w:val="SectionDescription"/>
    <w:rsid w:val="00B626BA"/>
    <w:rPr>
      <w:rFonts w:ascii="Arial" w:eastAsia="Times New Roman" w:hAnsi="Arial" w:cs="Times New Roman"/>
      <w:i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B6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B626BA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626B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6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BA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6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BA"/>
    <w:rPr>
      <w:lang w:val="en-SG"/>
    </w:rPr>
  </w:style>
  <w:style w:type="character" w:styleId="PlaceholderText">
    <w:name w:val="Placeholder Text"/>
    <w:basedOn w:val="DefaultParagraphFont"/>
    <w:uiPriority w:val="99"/>
    <w:semiHidden/>
    <w:rsid w:val="00B626BA"/>
    <w:rPr>
      <w:color w:val="808080"/>
    </w:rPr>
  </w:style>
  <w:style w:type="table" w:styleId="TableGrid">
    <w:name w:val="Table Grid"/>
    <w:basedOn w:val="TableNormal"/>
    <w:uiPriority w:val="59"/>
    <w:rsid w:val="00B626BA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626BA"/>
    <w:pPr>
      <w:spacing w:after="0" w:line="240" w:lineRule="auto"/>
    </w:pPr>
    <w:rPr>
      <w:color w:val="000000" w:themeColor="text1" w:themeShade="BF"/>
      <w:lang w:val="en-SG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BA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26BA"/>
    <w:pPr>
      <w:spacing w:after="0" w:line="240" w:lineRule="auto"/>
      <w:ind w:left="720"/>
    </w:pPr>
    <w:rPr>
      <w:rFonts w:ascii="Calibri" w:hAnsi="Calibri" w:cs="Calibri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BA"/>
    <w:rPr>
      <w:rFonts w:ascii="Tahoma" w:hAnsi="Tahoma" w:cs="Tahoma"/>
      <w:sz w:val="16"/>
      <w:szCs w:val="16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B62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6BA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BA"/>
    <w:rPr>
      <w:b/>
      <w:bCs/>
      <w:sz w:val="20"/>
      <w:szCs w:val="20"/>
      <w:lang w:val="en-SG"/>
    </w:rPr>
  </w:style>
  <w:style w:type="paragraph" w:styleId="Revision">
    <w:name w:val="Revision"/>
    <w:hidden/>
    <w:uiPriority w:val="99"/>
    <w:semiHidden/>
    <w:rsid w:val="00B626BA"/>
    <w:pPr>
      <w:spacing w:after="0" w:line="240" w:lineRule="auto"/>
    </w:pPr>
    <w:rPr>
      <w:lang w:val="en-SG"/>
    </w:rPr>
  </w:style>
  <w:style w:type="paragraph" w:customStyle="1" w:styleId="SectionDescription">
    <w:name w:val="Section Description"/>
    <w:basedOn w:val="Normal"/>
    <w:link w:val="SectionDescriptionChar"/>
    <w:qFormat/>
    <w:rsid w:val="00B626BA"/>
    <w:pPr>
      <w:jc w:val="both"/>
    </w:pPr>
    <w:rPr>
      <w:rFonts w:ascii="Arial" w:eastAsia="Times New Roman" w:hAnsi="Arial" w:cs="Times New Roman"/>
      <w:i/>
      <w:sz w:val="18"/>
      <w:szCs w:val="20"/>
      <w:lang w:val="x-none" w:eastAsia="x-none"/>
    </w:rPr>
  </w:style>
  <w:style w:type="character" w:customStyle="1" w:styleId="SectionDescriptionChar">
    <w:name w:val="Section Description Char"/>
    <w:link w:val="SectionDescription"/>
    <w:rsid w:val="00B626BA"/>
    <w:rPr>
      <w:rFonts w:ascii="Arial" w:eastAsia="Times New Roman" w:hAnsi="Arial" w:cs="Times New Roman"/>
      <w:i/>
      <w:sz w:val="18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B6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B626BA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626B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6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BA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6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BA"/>
    <w:rPr>
      <w:lang w:val="en-SG"/>
    </w:rPr>
  </w:style>
  <w:style w:type="character" w:styleId="PlaceholderText">
    <w:name w:val="Placeholder Text"/>
    <w:basedOn w:val="DefaultParagraphFont"/>
    <w:uiPriority w:val="99"/>
    <w:semiHidden/>
    <w:rsid w:val="00B626BA"/>
    <w:rPr>
      <w:color w:val="808080"/>
    </w:rPr>
  </w:style>
  <w:style w:type="table" w:styleId="TableGrid">
    <w:name w:val="Table Grid"/>
    <w:basedOn w:val="TableNormal"/>
    <w:uiPriority w:val="59"/>
    <w:rsid w:val="00B626BA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626BA"/>
    <w:pPr>
      <w:spacing w:after="0" w:line="240" w:lineRule="auto"/>
    </w:pPr>
    <w:rPr>
      <w:color w:val="000000" w:themeColor="text1" w:themeShade="BF"/>
      <w:lang w:val="en-SG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Dawn Holbrook (SICS)</dc:creator>
  <cp:lastModifiedBy>Joanna Dawn Holbrook (SICS)</cp:lastModifiedBy>
  <cp:revision>3</cp:revision>
  <dcterms:created xsi:type="dcterms:W3CDTF">2014-04-02T05:38:00Z</dcterms:created>
  <dcterms:modified xsi:type="dcterms:W3CDTF">2014-04-02T06:58:00Z</dcterms:modified>
</cp:coreProperties>
</file>