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CB" w:rsidRDefault="001C60CB" w:rsidP="001C60CB">
      <w:pPr>
        <w:spacing w:line="360" w:lineRule="auto"/>
      </w:pPr>
      <w:bookmarkStart w:id="0" w:name="_GoBack"/>
      <w:bookmarkEnd w:id="0"/>
      <w:r>
        <w:rPr>
          <w:b/>
          <w:bCs/>
        </w:rPr>
        <w:t xml:space="preserve">Supplemental </w:t>
      </w:r>
      <w:r w:rsidRPr="00431D2D">
        <w:rPr>
          <w:b/>
          <w:bCs/>
        </w:rPr>
        <w:t xml:space="preserve">Figure </w:t>
      </w:r>
      <w:r>
        <w:rPr>
          <w:b/>
          <w:bCs/>
        </w:rPr>
        <w:t>1</w:t>
      </w:r>
      <w:r w:rsidRPr="00431D2D">
        <w:rPr>
          <w:b/>
          <w:bCs/>
        </w:rPr>
        <w:t>: VMRs are present on all chrom</w:t>
      </w:r>
      <w:r>
        <w:rPr>
          <w:b/>
          <w:bCs/>
        </w:rPr>
        <w:t>o</w:t>
      </w:r>
      <w:r w:rsidRPr="00431D2D">
        <w:rPr>
          <w:b/>
          <w:bCs/>
        </w:rPr>
        <w:t>somes</w:t>
      </w:r>
      <w:r>
        <w:rPr>
          <w:b/>
          <w:bCs/>
        </w:rPr>
        <w:t xml:space="preserve"> but tend towards open seas</w:t>
      </w:r>
      <w:r w:rsidRPr="00431D2D">
        <w:t xml:space="preserve"> </w:t>
      </w:r>
      <w:proofErr w:type="spellStart"/>
      <w:r w:rsidRPr="00431D2D">
        <w:t>Circos</w:t>
      </w:r>
      <w:proofErr w:type="spellEnd"/>
      <w:r w:rsidRPr="00431D2D">
        <w:t xml:space="preserve"> diagram showing the variability in methylation across the genome and the </w:t>
      </w:r>
      <w:proofErr w:type="spellStart"/>
      <w:r w:rsidRPr="00431D2D">
        <w:t>CpGs</w:t>
      </w:r>
      <w:proofErr w:type="spellEnd"/>
      <w:r w:rsidRPr="00431D2D">
        <w:t xml:space="preserve"> under study.  Chromosomal ideogram is the outermost track (X</w:t>
      </w:r>
      <w:r>
        <w:t xml:space="preserve"> and </w:t>
      </w:r>
      <w:r w:rsidRPr="00431D2D">
        <w:t xml:space="preserve">Y chromosomes </w:t>
      </w:r>
      <w:r>
        <w:t xml:space="preserve">are </w:t>
      </w:r>
      <w:r w:rsidRPr="00431D2D">
        <w:t>not shown), while average methylation values across the Infinium</w:t>
      </w:r>
      <w:r>
        <w:t>HumanMethylation</w:t>
      </w:r>
      <w:r w:rsidRPr="00431D2D">
        <w:t>450</w:t>
      </w:r>
      <w:r>
        <w:t xml:space="preserve"> </w:t>
      </w:r>
      <w:proofErr w:type="spellStart"/>
      <w:r>
        <w:t>BeadChip</w:t>
      </w:r>
      <w:proofErr w:type="spellEnd"/>
      <w:r w:rsidRPr="00431D2D">
        <w:t xml:space="preserve"> and 237 </w:t>
      </w:r>
      <w:proofErr w:type="gramStart"/>
      <w:r w:rsidRPr="00431D2D">
        <w:t>subjects  are</w:t>
      </w:r>
      <w:proofErr w:type="gramEnd"/>
      <w:r w:rsidRPr="00431D2D">
        <w:t xml:space="preserve"> depicted in the adjacent track (very dark green </w:t>
      </w:r>
      <w:r>
        <w:rPr>
          <w:rFonts w:cstheme="minorHAnsi"/>
        </w:rPr>
        <w:t>≤</w:t>
      </w:r>
      <w:r w:rsidRPr="00431D2D">
        <w:t xml:space="preserve">0.2, light yellow 0.2-0.8, red </w:t>
      </w:r>
      <w:r>
        <w:rPr>
          <w:rFonts w:cstheme="minorHAnsi"/>
        </w:rPr>
        <w:t>≥</w:t>
      </w:r>
      <w:r w:rsidRPr="00431D2D">
        <w:t>0.8).   Going towards the centr</w:t>
      </w:r>
      <w:r>
        <w:t>e</w:t>
      </w:r>
      <w:r w:rsidRPr="00431D2D">
        <w:t xml:space="preserve">, MAD values are depicted as a black histogram, </w:t>
      </w:r>
      <w:proofErr w:type="spellStart"/>
      <w:r w:rsidRPr="00431D2D">
        <w:t>CpG</w:t>
      </w:r>
      <w:proofErr w:type="spellEnd"/>
      <w:r w:rsidRPr="00431D2D">
        <w:t xml:space="preserve"> Island definitions from UCSC are tiled in green, followed by the 1423 VMRs in a very dark purple tile-track. </w:t>
      </w:r>
      <w:r>
        <w:t>The track next to the VMR tile-track depicts the location of the VMR-</w:t>
      </w:r>
      <w:proofErr w:type="spellStart"/>
      <w:r>
        <w:t>CpG</w:t>
      </w:r>
      <w:proofErr w:type="spellEnd"/>
      <w:r>
        <w:t xml:space="preserve"> (</w:t>
      </w:r>
      <w:r w:rsidRPr="00687D1C">
        <w:t>shelf=grey, shore=brown, island=green, open</w:t>
      </w:r>
      <w:r>
        <w:t xml:space="preserve"> </w:t>
      </w:r>
      <w:r w:rsidRPr="00687D1C">
        <w:t>sea=blue)</w:t>
      </w:r>
      <w:r>
        <w:t>. The model which best explained the VMR-</w:t>
      </w:r>
      <w:proofErr w:type="spellStart"/>
      <w:r>
        <w:t>CpG</w:t>
      </w:r>
      <w:proofErr w:type="spellEnd"/>
      <w:r>
        <w:t xml:space="preserve"> is depicted in adjacent track as blue for </w:t>
      </w:r>
      <w:proofErr w:type="spellStart"/>
      <w:r>
        <w:t>GxE</w:t>
      </w:r>
      <w:proofErr w:type="spellEnd"/>
      <w:r>
        <w:t xml:space="preserve">, and </w:t>
      </w:r>
      <w:r w:rsidRPr="009A5038">
        <w:t>red for G</w:t>
      </w:r>
      <w:r>
        <w:t xml:space="preserve">enotype only. </w:t>
      </w:r>
      <w:r w:rsidRPr="00431D2D">
        <w:t>The –log10</w:t>
      </w:r>
      <w:r>
        <w:t xml:space="preserve"> of the </w:t>
      </w:r>
      <w:r w:rsidRPr="00431D2D">
        <w:t>p</w:t>
      </w:r>
      <w:r>
        <w:t>-value</w:t>
      </w:r>
      <w:r w:rsidRPr="00431D2D">
        <w:t xml:space="preserve"> and R</w:t>
      </w:r>
      <w:r w:rsidRPr="009A5038">
        <w:rPr>
          <w:vertAlign w:val="superscript"/>
        </w:rPr>
        <w:t>2</w:t>
      </w:r>
      <w:r w:rsidRPr="00431D2D">
        <w:t xml:space="preserve"> values from the </w:t>
      </w:r>
      <w:proofErr w:type="spellStart"/>
      <w:r w:rsidRPr="00431D2D">
        <w:t>methQTL</w:t>
      </w:r>
      <w:proofErr w:type="spellEnd"/>
      <w:r w:rsidRPr="00431D2D">
        <w:t xml:space="preserve"> analysis are depicted as histograms in </w:t>
      </w:r>
      <w:r>
        <w:t>dark purple</w:t>
      </w:r>
      <w:r w:rsidRPr="00431D2D">
        <w:t xml:space="preserve"> colour.  The top MAD1500 </w:t>
      </w:r>
      <w:proofErr w:type="spellStart"/>
      <w:r w:rsidRPr="00431D2D">
        <w:t>CpGs</w:t>
      </w:r>
      <w:proofErr w:type="spellEnd"/>
      <w:r w:rsidRPr="00431D2D">
        <w:t xml:space="preserve"> have two tracks with orange histograms for the –log10</w:t>
      </w:r>
      <w:r>
        <w:t xml:space="preserve"> of the </w:t>
      </w:r>
      <w:r w:rsidRPr="00431D2D">
        <w:t>p</w:t>
      </w:r>
      <w:r>
        <w:t>-value</w:t>
      </w:r>
      <w:r w:rsidRPr="00431D2D">
        <w:t xml:space="preserve"> and the R</w:t>
      </w:r>
      <w:r w:rsidRPr="009A5038">
        <w:rPr>
          <w:vertAlign w:val="superscript"/>
        </w:rPr>
        <w:t>2</w:t>
      </w:r>
      <w:r w:rsidRPr="00431D2D">
        <w:t xml:space="preserve"> in the </w:t>
      </w:r>
      <w:proofErr w:type="spellStart"/>
      <w:r w:rsidRPr="00431D2D">
        <w:t>methQTL</w:t>
      </w:r>
      <w:proofErr w:type="spellEnd"/>
      <w:r w:rsidRPr="00431D2D">
        <w:t xml:space="preserve"> analysis. The Chinese-only VMRs are depicted in a very dark red tile-track and the –</w:t>
      </w:r>
      <w:r>
        <w:t>l</w:t>
      </w:r>
      <w:r w:rsidRPr="00431D2D">
        <w:t>og10</w:t>
      </w:r>
      <w:r>
        <w:t xml:space="preserve"> of the </w:t>
      </w:r>
      <w:r w:rsidRPr="00431D2D">
        <w:t>p</w:t>
      </w:r>
      <w:r>
        <w:t>-value</w:t>
      </w:r>
      <w:r w:rsidRPr="00431D2D">
        <w:t xml:space="preserve"> and R</w:t>
      </w:r>
      <w:r w:rsidRPr="009A5038">
        <w:rPr>
          <w:vertAlign w:val="superscript"/>
        </w:rPr>
        <w:t>2</w:t>
      </w:r>
      <w:r w:rsidRPr="00431D2D">
        <w:t xml:space="preserve"> values in the </w:t>
      </w:r>
      <w:proofErr w:type="spellStart"/>
      <w:r w:rsidRPr="00431D2D">
        <w:t>methQTL</w:t>
      </w:r>
      <w:proofErr w:type="spellEnd"/>
      <w:r w:rsidRPr="00431D2D">
        <w:t xml:space="preserve"> analysis as histograms of same colo</w:t>
      </w:r>
      <w:r>
        <w:t>u</w:t>
      </w:r>
      <w:r w:rsidRPr="00431D2D">
        <w:t>r.</w:t>
      </w:r>
    </w:p>
    <w:p w:rsidR="001C60CB" w:rsidRPr="00D20463" w:rsidRDefault="001C60CB" w:rsidP="001C60CB">
      <w:pPr>
        <w:spacing w:line="360" w:lineRule="auto"/>
      </w:pPr>
      <w:r w:rsidRPr="00D20463">
        <w:rPr>
          <w:b/>
          <w:bCs/>
        </w:rPr>
        <w:t>Supplemental Figure 2: Genotype is significantly associated with VMR-</w:t>
      </w:r>
      <w:proofErr w:type="spellStart"/>
      <w:r w:rsidRPr="00D20463">
        <w:rPr>
          <w:b/>
          <w:bCs/>
        </w:rPr>
        <w:t>CpGs</w:t>
      </w:r>
      <w:proofErr w:type="spellEnd"/>
      <w:r w:rsidRPr="00D20463">
        <w:rPr>
          <w:b/>
          <w:bCs/>
        </w:rPr>
        <w:t xml:space="preserve"> </w:t>
      </w:r>
      <w:r w:rsidRPr="00D20463">
        <w:t>Histogram showing the p-value distribution from regression analysis of 1423 VMR-</w:t>
      </w:r>
      <w:proofErr w:type="spellStart"/>
      <w:r w:rsidRPr="00D20463">
        <w:t>CpGs</w:t>
      </w:r>
      <w:proofErr w:type="spellEnd"/>
      <w:r w:rsidRPr="00D20463">
        <w:t xml:space="preserve"> against all heterologous SNPs.</w:t>
      </w:r>
      <w:r w:rsidRPr="00D20463">
        <w:rPr>
          <w:lang w:val="en-US"/>
        </w:rPr>
        <w:t xml:space="preserve"> </w:t>
      </w:r>
      <w:r>
        <w:t>P</w:t>
      </w:r>
      <w:r w:rsidRPr="00D20463">
        <w:t>-values obtained from the regression analysis were binned into 1000 equally spaced bins and the number in each bin was counted to obtain frequency</w:t>
      </w:r>
    </w:p>
    <w:p w:rsidR="001C60CB" w:rsidRDefault="001C60CB" w:rsidP="001C60CB">
      <w:pPr>
        <w:spacing w:line="360" w:lineRule="auto"/>
      </w:pPr>
      <w:r w:rsidRPr="00EF28AC">
        <w:rPr>
          <w:b/>
          <w:bCs/>
        </w:rPr>
        <w:t>Supplementa</w:t>
      </w:r>
      <w:r>
        <w:rPr>
          <w:b/>
          <w:bCs/>
        </w:rPr>
        <w:t>l</w:t>
      </w:r>
      <w:r w:rsidRPr="00EF28AC">
        <w:rPr>
          <w:b/>
          <w:bCs/>
        </w:rPr>
        <w:t xml:space="preserve"> figure </w:t>
      </w:r>
      <w:r>
        <w:rPr>
          <w:b/>
          <w:bCs/>
        </w:rPr>
        <w:t>3</w:t>
      </w:r>
      <w:r w:rsidRPr="00EF28AC">
        <w:rPr>
          <w:b/>
          <w:bCs/>
        </w:rPr>
        <w:t xml:space="preserve"> : A, </w:t>
      </w:r>
      <w:r w:rsidRPr="00EF28AC">
        <w:rPr>
          <w:b/>
        </w:rPr>
        <w:t xml:space="preserve">the majority of the SNPs in the best models were in </w:t>
      </w:r>
      <w:proofErr w:type="spellStart"/>
      <w:r w:rsidRPr="0020464E">
        <w:rPr>
          <w:b/>
          <w:i/>
        </w:rPr>
        <w:t>cis</w:t>
      </w:r>
      <w:proofErr w:type="spellEnd"/>
      <w:r w:rsidRPr="00EF28AC">
        <w:rPr>
          <w:b/>
        </w:rPr>
        <w:t xml:space="preserve"> with the VMR-</w:t>
      </w:r>
      <w:proofErr w:type="spellStart"/>
      <w:r w:rsidRPr="00EF28AC">
        <w:rPr>
          <w:b/>
        </w:rPr>
        <w:t>CpGs</w:t>
      </w:r>
      <w:proofErr w:type="spellEnd"/>
      <w:r w:rsidRPr="00EF28AC">
        <w:rPr>
          <w:b/>
        </w:rPr>
        <w:t xml:space="preserve"> </w:t>
      </w:r>
      <w:r w:rsidRPr="00431D2D">
        <w:t xml:space="preserve">Pie chart showing the proportions of the 1423 </w:t>
      </w:r>
      <w:r>
        <w:t>VMR-</w:t>
      </w:r>
      <w:proofErr w:type="spellStart"/>
      <w:r w:rsidRPr="00431D2D">
        <w:t>CpGs</w:t>
      </w:r>
      <w:proofErr w:type="spellEnd"/>
      <w:r w:rsidRPr="00431D2D">
        <w:t xml:space="preserve"> which were best explained by the genotype, environment or </w:t>
      </w:r>
      <w:proofErr w:type="spellStart"/>
      <w:r w:rsidRPr="00431D2D">
        <w:t>GxE</w:t>
      </w:r>
      <w:proofErr w:type="spellEnd"/>
      <w:r w:rsidRPr="00431D2D">
        <w:t xml:space="preserve"> regression models, sections are further divided by whether the SNP and </w:t>
      </w:r>
      <w:r>
        <w:t>VMR-</w:t>
      </w:r>
      <w:proofErr w:type="spellStart"/>
      <w:r w:rsidRPr="00431D2D">
        <w:t>CpG</w:t>
      </w:r>
      <w:proofErr w:type="spellEnd"/>
      <w:r w:rsidRPr="00431D2D">
        <w:t xml:space="preserve"> are in </w:t>
      </w:r>
      <w:proofErr w:type="spellStart"/>
      <w:r w:rsidRPr="0020464E">
        <w:rPr>
          <w:i/>
        </w:rPr>
        <w:t>cis</w:t>
      </w:r>
      <w:proofErr w:type="spellEnd"/>
      <w:r w:rsidRPr="00431D2D">
        <w:t xml:space="preserve"> or </w:t>
      </w:r>
      <w:r w:rsidRPr="0020464E">
        <w:rPr>
          <w:i/>
        </w:rPr>
        <w:t>trans</w:t>
      </w:r>
      <w:r w:rsidRPr="00431D2D">
        <w:t xml:space="preserve"> </w:t>
      </w:r>
      <w:r w:rsidRPr="00431D2D">
        <w:rPr>
          <w:b/>
          <w:bCs/>
        </w:rPr>
        <w:t>B</w:t>
      </w:r>
      <w:r>
        <w:rPr>
          <w:b/>
          <w:bCs/>
        </w:rPr>
        <w:t>,</w:t>
      </w:r>
      <w:r w:rsidRPr="00EF28AC">
        <w:rPr>
          <w:b/>
        </w:rPr>
        <w:t xml:space="preserve"> When only models with high levels of support are included, only </w:t>
      </w:r>
      <w:proofErr w:type="spellStart"/>
      <w:r w:rsidRPr="0020464E">
        <w:rPr>
          <w:b/>
          <w:i/>
        </w:rPr>
        <w:t>cis</w:t>
      </w:r>
      <w:proofErr w:type="spellEnd"/>
      <w:r w:rsidRPr="00EF28AC">
        <w:rPr>
          <w:b/>
        </w:rPr>
        <w:t xml:space="preserve"> SNPs remain</w:t>
      </w:r>
      <w:r w:rsidRPr="00431D2D">
        <w:rPr>
          <w:b/>
          <w:bCs/>
        </w:rPr>
        <w:t xml:space="preserve"> </w:t>
      </w:r>
      <w:r>
        <w:t>P</w:t>
      </w:r>
      <w:r w:rsidRPr="00431D2D">
        <w:t xml:space="preserve">ie chart showing the proportions of the 210 </w:t>
      </w:r>
      <w:proofErr w:type="spellStart"/>
      <w:r w:rsidRPr="00431D2D">
        <w:t>CpGs</w:t>
      </w:r>
      <w:proofErr w:type="spellEnd"/>
      <w:r w:rsidRPr="00431D2D">
        <w:t xml:space="preserve"> which were best explained by the genotype, environment or </w:t>
      </w:r>
      <w:proofErr w:type="spellStart"/>
      <w:r w:rsidRPr="00431D2D">
        <w:t>GxE</w:t>
      </w:r>
      <w:proofErr w:type="spellEnd"/>
      <w:r w:rsidRPr="00431D2D">
        <w:t xml:space="preserve"> regression models with no substantial support for the next best model (</w:t>
      </w:r>
      <w:r>
        <w:rPr>
          <w:rFonts w:cstheme="minorHAnsi"/>
        </w:rPr>
        <w:t>Δ</w:t>
      </w:r>
      <w:r w:rsidRPr="00431D2D">
        <w:t>&gt;2) and adjusted R</w:t>
      </w:r>
      <w:r w:rsidRPr="00431D2D">
        <w:rPr>
          <w:vertAlign w:val="superscript"/>
        </w:rPr>
        <w:t>2</w:t>
      </w:r>
      <w:r w:rsidRPr="00431D2D">
        <w:t xml:space="preserve"> &gt; 0.4, sections are further divided by whether the SNP and </w:t>
      </w:r>
      <w:r>
        <w:t>VMR-</w:t>
      </w:r>
      <w:proofErr w:type="spellStart"/>
      <w:r w:rsidRPr="00431D2D">
        <w:t>CpG</w:t>
      </w:r>
      <w:proofErr w:type="spellEnd"/>
      <w:r w:rsidRPr="00431D2D">
        <w:t xml:space="preserve"> are in </w:t>
      </w:r>
      <w:proofErr w:type="spellStart"/>
      <w:r w:rsidRPr="0020464E">
        <w:rPr>
          <w:i/>
        </w:rPr>
        <w:t>cis</w:t>
      </w:r>
      <w:proofErr w:type="spellEnd"/>
      <w:r w:rsidRPr="00431D2D">
        <w:t xml:space="preserve"> or </w:t>
      </w:r>
      <w:r w:rsidRPr="0020464E">
        <w:rPr>
          <w:i/>
        </w:rPr>
        <w:t>trans</w:t>
      </w:r>
    </w:p>
    <w:p w:rsidR="001C60CB" w:rsidRPr="00431D2D" w:rsidRDefault="001C60CB" w:rsidP="001C60CB">
      <w:pPr>
        <w:spacing w:line="360" w:lineRule="auto"/>
      </w:pPr>
      <w:r>
        <w:rPr>
          <w:b/>
          <w:bCs/>
        </w:rPr>
        <w:t xml:space="preserve">Supplemental </w:t>
      </w:r>
      <w:r w:rsidRPr="00491B60">
        <w:rPr>
          <w:b/>
          <w:bCs/>
        </w:rPr>
        <w:t xml:space="preserve">Figure </w:t>
      </w:r>
      <w:r>
        <w:rPr>
          <w:b/>
          <w:bCs/>
        </w:rPr>
        <w:t>4</w:t>
      </w:r>
      <w:r w:rsidRPr="00491B60">
        <w:rPr>
          <w:b/>
          <w:bCs/>
        </w:rPr>
        <w:t>:</w:t>
      </w:r>
      <w:r w:rsidRPr="00491B60">
        <w:rPr>
          <w:b/>
        </w:rPr>
        <w:t xml:space="preserve"> A</w:t>
      </w:r>
      <w:r>
        <w:rPr>
          <w:b/>
        </w:rPr>
        <w:t xml:space="preserve">, Association with genotype is slightly weaker when analysis is restricted to subjects of Chinese ethnicity only </w:t>
      </w:r>
      <w:r w:rsidRPr="00431D2D">
        <w:t xml:space="preserve">Scatter plot of </w:t>
      </w:r>
      <w:r>
        <w:t>R</w:t>
      </w:r>
      <w:r w:rsidRPr="00210633">
        <w:rPr>
          <w:vertAlign w:val="superscript"/>
        </w:rPr>
        <w:t>2</w:t>
      </w:r>
      <w:r w:rsidRPr="00431D2D">
        <w:t xml:space="preserve"> (x-axis) for the </w:t>
      </w:r>
      <w:r>
        <w:t>VMR-</w:t>
      </w:r>
      <w:proofErr w:type="spellStart"/>
      <w:r w:rsidRPr="00431D2D">
        <w:t>CpG</w:t>
      </w:r>
      <w:proofErr w:type="spellEnd"/>
      <w:r w:rsidRPr="00431D2D">
        <w:t xml:space="preserve"> and best SNP match</w:t>
      </w:r>
      <w:r>
        <w:t xml:space="preserve"> against </w:t>
      </w:r>
      <w:r w:rsidRPr="00431D2D">
        <w:t>log2</w:t>
      </w:r>
      <w:r>
        <w:t xml:space="preserve"> of the </w:t>
      </w:r>
      <w:r w:rsidRPr="00431D2D">
        <w:t xml:space="preserve">number of regression p-values in first bin of the 1000 equally distributed bin (y-axis), </w:t>
      </w:r>
      <w:r>
        <w:t xml:space="preserve">the </w:t>
      </w:r>
      <w:r w:rsidRPr="00431D2D">
        <w:t xml:space="preserve">red line represents an absolutely even </w:t>
      </w:r>
      <w:r>
        <w:t>658</w:t>
      </w:r>
      <w:r w:rsidRPr="00431D2D">
        <w:t xml:space="preserve"> regression p-values in the 1</w:t>
      </w:r>
      <w:r w:rsidRPr="00431D2D">
        <w:rPr>
          <w:vertAlign w:val="superscript"/>
        </w:rPr>
        <w:t>st</w:t>
      </w:r>
      <w:r w:rsidRPr="00431D2D">
        <w:t xml:space="preserve"> bin. </w:t>
      </w:r>
      <w:r>
        <w:t>Disrupting</w:t>
      </w:r>
      <w:r w:rsidRPr="00431D2D">
        <w:t xml:space="preserve"> pairs are black, </w:t>
      </w:r>
      <w:proofErr w:type="spellStart"/>
      <w:r w:rsidRPr="00DB10F2">
        <w:rPr>
          <w:i/>
        </w:rPr>
        <w:t>cis</w:t>
      </w:r>
      <w:proofErr w:type="spellEnd"/>
      <w:r w:rsidRPr="00431D2D">
        <w:t xml:space="preserve"> pairs are grey and </w:t>
      </w:r>
      <w:proofErr w:type="gramStart"/>
      <w:r w:rsidRPr="00DB10F2">
        <w:rPr>
          <w:i/>
        </w:rPr>
        <w:t>trans</w:t>
      </w:r>
      <w:proofErr w:type="gramEnd"/>
      <w:r w:rsidRPr="00431D2D">
        <w:t xml:space="preserve"> pairs are white.</w:t>
      </w:r>
      <w:r w:rsidRPr="00431D2D">
        <w:rPr>
          <w:b/>
          <w:bCs/>
        </w:rPr>
        <w:t xml:space="preserve"> B</w:t>
      </w:r>
      <w:r>
        <w:rPr>
          <w:b/>
          <w:bCs/>
        </w:rPr>
        <w:t>,</w:t>
      </w:r>
      <w:r w:rsidRPr="00431D2D">
        <w:rPr>
          <w:b/>
          <w:bCs/>
        </w:rPr>
        <w:t xml:space="preserve"> </w:t>
      </w:r>
      <w:r w:rsidRPr="00491B60">
        <w:rPr>
          <w:b/>
        </w:rPr>
        <w:t>Proportion of VMR-</w:t>
      </w:r>
      <w:proofErr w:type="spellStart"/>
      <w:r w:rsidRPr="00491B60">
        <w:rPr>
          <w:b/>
        </w:rPr>
        <w:t>CpGs</w:t>
      </w:r>
      <w:proofErr w:type="spellEnd"/>
      <w:r w:rsidRPr="00491B60">
        <w:rPr>
          <w:b/>
        </w:rPr>
        <w:t xml:space="preserve"> best explained by genotype decreases when analysis is restricted to subjects of Chinese ethnicity only </w:t>
      </w:r>
      <w:r w:rsidRPr="00431D2D">
        <w:t xml:space="preserve">Pie chart showing </w:t>
      </w:r>
      <w:r w:rsidRPr="00431D2D">
        <w:lastRenderedPageBreak/>
        <w:t xml:space="preserve">the proportions of the 1365 </w:t>
      </w:r>
      <w:r>
        <w:t>VMR-</w:t>
      </w:r>
      <w:proofErr w:type="spellStart"/>
      <w:r w:rsidRPr="00431D2D">
        <w:t>CpGs</w:t>
      </w:r>
      <w:proofErr w:type="spellEnd"/>
      <w:r w:rsidRPr="00431D2D">
        <w:t xml:space="preserve"> which best explained by the genotype, environment or </w:t>
      </w:r>
      <w:proofErr w:type="spellStart"/>
      <w:r w:rsidRPr="00431D2D">
        <w:t>GxE</w:t>
      </w:r>
      <w:proofErr w:type="spellEnd"/>
      <w:r w:rsidRPr="00431D2D">
        <w:t xml:space="preserve"> regression models</w:t>
      </w:r>
      <w:r w:rsidRPr="00431D2D">
        <w:rPr>
          <w:lang w:val="en-US"/>
        </w:rPr>
        <w:t xml:space="preserve"> </w:t>
      </w:r>
    </w:p>
    <w:p w:rsidR="001C60CB" w:rsidRDefault="001C60CB" w:rsidP="001C60CB">
      <w:pPr>
        <w:spacing w:line="360" w:lineRule="auto"/>
        <w:rPr>
          <w:lang w:val="en-US"/>
        </w:rPr>
      </w:pPr>
      <w:r>
        <w:rPr>
          <w:b/>
          <w:bCs/>
        </w:rPr>
        <w:t xml:space="preserve">Supplemental </w:t>
      </w:r>
      <w:r w:rsidRPr="004F764E">
        <w:rPr>
          <w:b/>
          <w:bCs/>
        </w:rPr>
        <w:t xml:space="preserve">Figure </w:t>
      </w:r>
      <w:r>
        <w:rPr>
          <w:b/>
          <w:bCs/>
        </w:rPr>
        <w:t>5</w:t>
      </w:r>
      <w:r w:rsidRPr="004F764E">
        <w:rPr>
          <w:b/>
          <w:bCs/>
        </w:rPr>
        <w:t>:</w:t>
      </w:r>
      <w:r w:rsidRPr="004F764E">
        <w:rPr>
          <w:b/>
        </w:rPr>
        <w:t xml:space="preserve"> A, </w:t>
      </w:r>
      <w:r>
        <w:rPr>
          <w:b/>
        </w:rPr>
        <w:t xml:space="preserve">Association with </w:t>
      </w:r>
      <w:r w:rsidRPr="004F764E">
        <w:rPr>
          <w:b/>
        </w:rPr>
        <w:t xml:space="preserve">genotype is </w:t>
      </w:r>
      <w:r>
        <w:rPr>
          <w:b/>
        </w:rPr>
        <w:t>stronger</w:t>
      </w:r>
      <w:r w:rsidRPr="004F764E">
        <w:rPr>
          <w:b/>
        </w:rPr>
        <w:t xml:space="preserve"> when analysis is restricted to just the most divergent </w:t>
      </w:r>
      <w:proofErr w:type="spellStart"/>
      <w:r w:rsidRPr="004F764E">
        <w:rPr>
          <w:b/>
        </w:rPr>
        <w:t>CpGs</w:t>
      </w:r>
      <w:proofErr w:type="spellEnd"/>
      <w:r w:rsidRPr="00431D2D">
        <w:rPr>
          <w:b/>
          <w:bCs/>
        </w:rPr>
        <w:t xml:space="preserve"> </w:t>
      </w:r>
      <w:r w:rsidRPr="00431D2D">
        <w:t xml:space="preserve">Scatter plot of </w:t>
      </w:r>
      <w:r>
        <w:t>R</w:t>
      </w:r>
      <w:r w:rsidRPr="00210633">
        <w:rPr>
          <w:vertAlign w:val="superscript"/>
        </w:rPr>
        <w:t>2</w:t>
      </w:r>
      <w:r w:rsidRPr="00431D2D">
        <w:t xml:space="preserve"> (x-axis) for the </w:t>
      </w:r>
      <w:r>
        <w:t>VMR-</w:t>
      </w:r>
      <w:proofErr w:type="spellStart"/>
      <w:r w:rsidRPr="00431D2D">
        <w:t>CpG</w:t>
      </w:r>
      <w:proofErr w:type="spellEnd"/>
      <w:r w:rsidRPr="00431D2D">
        <w:t xml:space="preserve"> and best SNP match</w:t>
      </w:r>
      <w:r>
        <w:t xml:space="preserve"> against </w:t>
      </w:r>
      <w:r w:rsidRPr="00431D2D">
        <w:t>log2</w:t>
      </w:r>
      <w:r>
        <w:t xml:space="preserve"> of the </w:t>
      </w:r>
      <w:r w:rsidRPr="00431D2D">
        <w:t xml:space="preserve">number of regression p-values in first bin of the 1000 equally distributed bin (y-axis), </w:t>
      </w:r>
      <w:r>
        <w:t xml:space="preserve">the </w:t>
      </w:r>
      <w:r w:rsidRPr="00431D2D">
        <w:t xml:space="preserve">red line represents an absolutely even </w:t>
      </w:r>
      <w:r>
        <w:t>708</w:t>
      </w:r>
      <w:r w:rsidRPr="00431D2D">
        <w:t xml:space="preserve"> regression p-values in the 1</w:t>
      </w:r>
      <w:r w:rsidRPr="00431D2D">
        <w:rPr>
          <w:vertAlign w:val="superscript"/>
        </w:rPr>
        <w:t>st</w:t>
      </w:r>
      <w:r w:rsidRPr="00431D2D">
        <w:t xml:space="preserve"> bin. </w:t>
      </w:r>
      <w:r>
        <w:t>Disrupting</w:t>
      </w:r>
      <w:r w:rsidRPr="00431D2D">
        <w:t xml:space="preserve"> pairs are black, </w:t>
      </w:r>
      <w:proofErr w:type="spellStart"/>
      <w:r w:rsidRPr="00DB10F2">
        <w:rPr>
          <w:i/>
        </w:rPr>
        <w:t>cis</w:t>
      </w:r>
      <w:proofErr w:type="spellEnd"/>
      <w:r w:rsidRPr="00431D2D">
        <w:t xml:space="preserve"> pairs are grey and </w:t>
      </w:r>
      <w:proofErr w:type="gramStart"/>
      <w:r w:rsidRPr="00DB10F2">
        <w:rPr>
          <w:i/>
        </w:rPr>
        <w:t>trans</w:t>
      </w:r>
      <w:proofErr w:type="gramEnd"/>
      <w:r w:rsidRPr="00431D2D">
        <w:t xml:space="preserve"> pairs are white.</w:t>
      </w:r>
      <w:r w:rsidRPr="00431D2D">
        <w:rPr>
          <w:b/>
          <w:bCs/>
        </w:rPr>
        <w:t xml:space="preserve"> B</w:t>
      </w:r>
      <w:r>
        <w:rPr>
          <w:b/>
          <w:bCs/>
        </w:rPr>
        <w:t>,</w:t>
      </w:r>
      <w:r w:rsidRPr="00431D2D">
        <w:rPr>
          <w:b/>
          <w:bCs/>
        </w:rPr>
        <w:t xml:space="preserve"> </w:t>
      </w:r>
      <w:r w:rsidRPr="00491B60">
        <w:rPr>
          <w:b/>
        </w:rPr>
        <w:t xml:space="preserve">Proportion of </w:t>
      </w:r>
      <w:r>
        <w:rPr>
          <w:b/>
        </w:rPr>
        <w:t xml:space="preserve">the </w:t>
      </w:r>
      <w:proofErr w:type="spellStart"/>
      <w:r w:rsidRPr="00491B60">
        <w:rPr>
          <w:b/>
        </w:rPr>
        <w:t>CpGs</w:t>
      </w:r>
      <w:proofErr w:type="spellEnd"/>
      <w:r w:rsidRPr="00491B60">
        <w:rPr>
          <w:b/>
        </w:rPr>
        <w:t xml:space="preserve"> best explained by genotype </w:t>
      </w:r>
      <w:r>
        <w:rPr>
          <w:b/>
        </w:rPr>
        <w:t>in</w:t>
      </w:r>
      <w:r w:rsidRPr="00491B60">
        <w:rPr>
          <w:b/>
        </w:rPr>
        <w:t xml:space="preserve">creases when analysis is restricted to </w:t>
      </w:r>
      <w:r>
        <w:rPr>
          <w:b/>
        </w:rPr>
        <w:t xml:space="preserve">just the most variable </w:t>
      </w:r>
      <w:proofErr w:type="spellStart"/>
      <w:r>
        <w:rPr>
          <w:b/>
        </w:rPr>
        <w:t>CpGs</w:t>
      </w:r>
      <w:proofErr w:type="spellEnd"/>
      <w:r w:rsidRPr="00491B60">
        <w:rPr>
          <w:b/>
        </w:rPr>
        <w:t xml:space="preserve"> </w:t>
      </w:r>
      <w:r w:rsidRPr="00431D2D">
        <w:t>Pie chart showing the proportions of the 1</w:t>
      </w:r>
      <w:r>
        <w:t xml:space="preserve">500 </w:t>
      </w:r>
      <w:proofErr w:type="spellStart"/>
      <w:r w:rsidRPr="00431D2D">
        <w:t>CpGs</w:t>
      </w:r>
      <w:proofErr w:type="spellEnd"/>
      <w:r w:rsidRPr="00431D2D">
        <w:t xml:space="preserve"> which best explained by the genotype, environment or </w:t>
      </w:r>
      <w:proofErr w:type="spellStart"/>
      <w:r w:rsidRPr="00431D2D">
        <w:t>GxE</w:t>
      </w:r>
      <w:proofErr w:type="spellEnd"/>
      <w:r w:rsidRPr="00431D2D">
        <w:t xml:space="preserve"> regression models</w:t>
      </w:r>
      <w:r w:rsidRPr="00431D2D">
        <w:rPr>
          <w:lang w:val="en-US"/>
        </w:rPr>
        <w:t xml:space="preserve"> </w:t>
      </w:r>
    </w:p>
    <w:p w:rsidR="001C60CB" w:rsidRPr="00431D2D" w:rsidRDefault="001C60CB" w:rsidP="001C60CB">
      <w:pPr>
        <w:spacing w:line="360" w:lineRule="auto"/>
      </w:pPr>
    </w:p>
    <w:p w:rsidR="00627D0E" w:rsidRDefault="001C60CB"/>
    <w:sectPr w:rsidR="0062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B"/>
    <w:rsid w:val="001C60CB"/>
    <w:rsid w:val="009A21C0"/>
    <w:rsid w:val="00B3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0CB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0CB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Kulesa</dc:creator>
  <cp:lastModifiedBy>Tara Kulesa</cp:lastModifiedBy>
  <cp:revision>1</cp:revision>
  <dcterms:created xsi:type="dcterms:W3CDTF">2014-05-13T16:23:00Z</dcterms:created>
  <dcterms:modified xsi:type="dcterms:W3CDTF">2014-05-13T16:23:00Z</dcterms:modified>
</cp:coreProperties>
</file>