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3" w:rsidRDefault="001B5513" w:rsidP="00532F33">
      <w:pPr>
        <w:spacing w:after="0" w:line="360" w:lineRule="auto"/>
        <w:rPr>
          <w:b/>
        </w:rPr>
      </w:pPr>
      <w:r>
        <w:rPr>
          <w:b/>
        </w:rPr>
        <w:t>Supplemental Text S1: Detailed GWA Analysis Results</w:t>
      </w:r>
    </w:p>
    <w:p w:rsidR="001B5513" w:rsidRDefault="001B5513" w:rsidP="001B5513">
      <w:pPr>
        <w:spacing w:after="0" w:line="360" w:lineRule="auto"/>
      </w:pPr>
    </w:p>
    <w:p w:rsidR="001B5513" w:rsidRPr="001B5513" w:rsidRDefault="001B5513" w:rsidP="001B5513">
      <w:pPr>
        <w:spacing w:after="0" w:line="360" w:lineRule="auto"/>
        <w:rPr>
          <w:b/>
        </w:rPr>
      </w:pPr>
      <w:r w:rsidRPr="001B5513">
        <w:rPr>
          <w:b/>
        </w:rPr>
        <w:t>Starvation stress resistance</w:t>
      </w:r>
    </w:p>
    <w:p w:rsidR="001B5513" w:rsidRDefault="001B5513" w:rsidP="001B5513">
      <w:pPr>
        <w:spacing w:after="0" w:line="360" w:lineRule="auto"/>
      </w:pPr>
      <w:r>
        <w:t xml:space="preserve">At a nominal significance threshold of </w:t>
      </w:r>
      <w:r w:rsidRPr="00047167">
        <w:rPr>
          <w:i/>
        </w:rPr>
        <w:t>P</w:t>
      </w:r>
      <w:r>
        <w:t xml:space="preserve"> &lt; 10</w:t>
      </w:r>
      <w:r w:rsidRPr="00047167">
        <w:rPr>
          <w:vertAlign w:val="superscript"/>
        </w:rPr>
        <w:t>-5</w:t>
      </w:r>
      <w:r>
        <w:t xml:space="preserve">, 39 variants in or near 27 genes were associated with starvation resistance in females, and 20 variants in or near 17 genes were associated with starvation resistance in males (Supplemental data file S12). Four variants (in </w:t>
      </w:r>
      <w:proofErr w:type="spellStart"/>
      <w:r w:rsidRPr="00B34596">
        <w:rPr>
          <w:i/>
        </w:rPr>
        <w:t>genghis</w:t>
      </w:r>
      <w:proofErr w:type="spellEnd"/>
      <w:r w:rsidRPr="00B34596">
        <w:rPr>
          <w:i/>
        </w:rPr>
        <w:t xml:space="preserve"> khan</w:t>
      </w:r>
      <w:r>
        <w:t xml:space="preserve"> (</w:t>
      </w:r>
      <w:proofErr w:type="spellStart"/>
      <w:r w:rsidRPr="00B34596">
        <w:rPr>
          <w:i/>
        </w:rPr>
        <w:t>gek</w:t>
      </w:r>
      <w:proofErr w:type="spellEnd"/>
      <w:r>
        <w:t xml:space="preserve">), </w:t>
      </w:r>
      <w:r w:rsidRPr="00B34596">
        <w:rPr>
          <w:i/>
        </w:rPr>
        <w:t>something that sticks like glue</w:t>
      </w:r>
      <w:r>
        <w:t xml:space="preserve"> (</w:t>
      </w:r>
      <w:proofErr w:type="spellStart"/>
      <w:r w:rsidRPr="00B34596">
        <w:rPr>
          <w:i/>
        </w:rPr>
        <w:t>snama</w:t>
      </w:r>
      <w:proofErr w:type="spellEnd"/>
      <w:r>
        <w:t xml:space="preserve">), </w:t>
      </w:r>
      <w:r w:rsidRPr="00B34596">
        <w:rPr>
          <w:i/>
        </w:rPr>
        <w:t>cap-n-collar</w:t>
      </w:r>
      <w:r>
        <w:t xml:space="preserve"> (</w:t>
      </w:r>
      <w:proofErr w:type="spellStart"/>
      <w:r w:rsidRPr="00B34596">
        <w:rPr>
          <w:i/>
        </w:rPr>
        <w:t>cnc</w:t>
      </w:r>
      <w:proofErr w:type="spellEnd"/>
      <w:r>
        <w:t xml:space="preserve">) and </w:t>
      </w:r>
      <w:r w:rsidRPr="00B34596">
        <w:rPr>
          <w:i/>
        </w:rPr>
        <w:t>CG9928</w:t>
      </w:r>
      <w:r>
        <w:t xml:space="preserve">) were associated with starvation resistance in both sexes. A synonymous SNP in </w:t>
      </w:r>
      <w:proofErr w:type="spellStart"/>
      <w:r w:rsidRPr="00B34596">
        <w:rPr>
          <w:i/>
        </w:rPr>
        <w:t>gek</w:t>
      </w:r>
      <w:proofErr w:type="spellEnd"/>
      <w:r>
        <w:t xml:space="preserve"> (2</w:t>
      </w:r>
      <w:r w:rsidRPr="00B34596">
        <w:t>R_19982478</w:t>
      </w:r>
      <w:r>
        <w:t xml:space="preserve">) achieved </w:t>
      </w:r>
      <w:proofErr w:type="spellStart"/>
      <w:r>
        <w:t>Bonferroni</w:t>
      </w:r>
      <w:proofErr w:type="spellEnd"/>
      <w:r>
        <w:t xml:space="preserve">-level significance in females. The effects of the variants, estimated as </w:t>
      </w:r>
      <w:r w:rsidRPr="0095227F">
        <w:t>one-half</w:t>
      </w:r>
      <w:r>
        <w:t xml:space="preserve"> the difference in mean between the major and minor allele classes (Falconer and Mackay, 1996), were predominantly negative: less frequent alleles live longer under starvation stress than the common alleles. To the extent that frequency is a proxy for fitness, this suggests a cost to increasing starvation resistance. Gene-based GWA identified 12 genes associated with starvation resistance in females and three in males at a nominal significance threshold of </w:t>
      </w:r>
      <w:r w:rsidRPr="00047167">
        <w:rPr>
          <w:i/>
        </w:rPr>
        <w:t>P</w:t>
      </w:r>
      <w:r>
        <w:t xml:space="preserve"> &lt; 10</w:t>
      </w:r>
      <w:r w:rsidRPr="00047167">
        <w:rPr>
          <w:vertAlign w:val="superscript"/>
        </w:rPr>
        <w:t>-5</w:t>
      </w:r>
      <w:r>
        <w:t xml:space="preserve"> (Supplemental data file S13). Four of these genes (</w:t>
      </w:r>
      <w:proofErr w:type="spellStart"/>
      <w:r w:rsidRPr="00290052">
        <w:rPr>
          <w:i/>
        </w:rPr>
        <w:t>gek</w:t>
      </w:r>
      <w:proofErr w:type="spellEnd"/>
      <w:r>
        <w:t xml:space="preserve">, </w:t>
      </w:r>
      <w:r w:rsidRPr="00290052">
        <w:rPr>
          <w:i/>
        </w:rPr>
        <w:t>fuzzy onions</w:t>
      </w:r>
      <w:r>
        <w:t xml:space="preserve"> (</w:t>
      </w:r>
      <w:proofErr w:type="spellStart"/>
      <w:r w:rsidRPr="00290052">
        <w:rPr>
          <w:i/>
        </w:rPr>
        <w:t>fzo</w:t>
      </w:r>
      <w:proofErr w:type="spellEnd"/>
      <w:r>
        <w:t xml:space="preserve">), </w:t>
      </w:r>
      <w:proofErr w:type="spellStart"/>
      <w:r w:rsidRPr="00290052">
        <w:rPr>
          <w:i/>
        </w:rPr>
        <w:t>homeodomain</w:t>
      </w:r>
      <w:proofErr w:type="spellEnd"/>
      <w:r w:rsidRPr="00290052">
        <w:rPr>
          <w:i/>
        </w:rPr>
        <w:t xml:space="preserve"> interacting protein kinase</w:t>
      </w:r>
      <w:r>
        <w:t xml:space="preserve"> (</w:t>
      </w:r>
      <w:proofErr w:type="spellStart"/>
      <w:r w:rsidRPr="00290052">
        <w:rPr>
          <w:i/>
        </w:rPr>
        <w:t>hipk</w:t>
      </w:r>
      <w:proofErr w:type="spellEnd"/>
      <w:r>
        <w:t xml:space="preserve">) and </w:t>
      </w:r>
      <w:r w:rsidRPr="00290052">
        <w:rPr>
          <w:i/>
        </w:rPr>
        <w:t>CG17180</w:t>
      </w:r>
      <w:r>
        <w:t>) were also implicated by single variant association tests in females, highlighting the complementary nature of single variant and gene-based tests. Seven of the genes were nominally significant (</w:t>
      </w:r>
      <w:r w:rsidRPr="001D75E8">
        <w:rPr>
          <w:i/>
        </w:rPr>
        <w:t>P</w:t>
      </w:r>
      <w:r>
        <w:t xml:space="preserve"> &lt; 10</w:t>
      </w:r>
      <w:r w:rsidRPr="001D75E8">
        <w:rPr>
          <w:vertAlign w:val="superscript"/>
        </w:rPr>
        <w:t>-4</w:t>
      </w:r>
      <w:r>
        <w:t xml:space="preserve">) in tests using rare (MAF &lt; 0.05) variants, and could never be implicated by targeting only the common end of the allele frequency spectrum. </w:t>
      </w:r>
    </w:p>
    <w:p w:rsidR="001B5513" w:rsidRDefault="001B5513" w:rsidP="001B5513">
      <w:pPr>
        <w:spacing w:after="0" w:line="360" w:lineRule="auto"/>
        <w:ind w:firstLine="720"/>
      </w:pPr>
      <w:r>
        <w:t xml:space="preserve">The Freeze 1.0 DGRP paper (Mackay </w:t>
      </w:r>
      <w:r w:rsidRPr="001B5513">
        <w:rPr>
          <w:i/>
        </w:rPr>
        <w:t>et al</w:t>
      </w:r>
      <w:r>
        <w:t>., 2012) also reported a GWA analysis of starvation stress resistance. Comparison of the Freeze 1.0 and Freeze 2.0 analyses reveals many more genes nominally (</w:t>
      </w:r>
      <w:r w:rsidRPr="001B5513">
        <w:rPr>
          <w:i/>
        </w:rPr>
        <w:t>P</w:t>
      </w:r>
      <w:r>
        <w:t xml:space="preserve"> &lt; 10</w:t>
      </w:r>
      <w:r w:rsidRPr="001B5513">
        <w:rPr>
          <w:vertAlign w:val="superscript"/>
        </w:rPr>
        <w:t>-5</w:t>
      </w:r>
      <w:r>
        <w:t>) associated with this trait in the Freeze 1.0 analysis</w:t>
      </w:r>
      <w:r w:rsidR="00503595">
        <w:t xml:space="preserve">. </w:t>
      </w:r>
      <w:r>
        <w:t>The reason for th</w:t>
      </w:r>
      <w:r w:rsidR="00503595">
        <w:t xml:space="preserve">is discrepancy is </w:t>
      </w:r>
      <w:r>
        <w:t>because we assessed all variants with minor allele counts of 4 or more in the Freeze 1.0 GWAS and with minor allele counts of 10 or more in the Freeze 2.0 GWA</w:t>
      </w:r>
      <w:r w:rsidR="00503595">
        <w:t xml:space="preserve"> analysis</w:t>
      </w:r>
      <w:r>
        <w:t xml:space="preserve">. Since the allele frequency spectrum is highly skewed towards rare alleles, there were thus many more tests run in the Freeze 1.0 analyses. However, the LD analysis in this manuscript made it clear that long range LD was considerable for variants present in fewer than 10 lines; in particular, variants present in only 4 lines have, on average, a hundred or more genome wide variants in high LD. This means that there are likely true causal variants at low frequency, but one cannot tell which one(s) are causal. Although we find many fewer associated variants when we impose the threshold of the rare allele being present in at least 10 lines, they are more likely to be casual. </w:t>
      </w:r>
    </w:p>
    <w:p w:rsidR="001B5513" w:rsidRDefault="001B5513" w:rsidP="001B5513">
      <w:pPr>
        <w:spacing w:after="0" w:line="360" w:lineRule="auto"/>
      </w:pPr>
      <w:r>
        <w:tab/>
        <w:t xml:space="preserve">For common variants (&gt; 10 minor allele counts) that were significant in Freeze 1.0, the overlap </w:t>
      </w:r>
      <w:r w:rsidR="00503595">
        <w:t xml:space="preserve">between the two analyses is very good </w:t>
      </w:r>
      <w:r>
        <w:t>(20 out of 22 variants for male</w:t>
      </w:r>
      <w:r w:rsidR="00503595">
        <w:t>s</w:t>
      </w:r>
      <w:r>
        <w:t xml:space="preserve"> and 39 out of 43 for female</w:t>
      </w:r>
      <w:r w:rsidR="00503595">
        <w:t>s</w:t>
      </w:r>
      <w:r>
        <w:t xml:space="preserve">). </w:t>
      </w:r>
      <w:r>
        <w:lastRenderedPageBreak/>
        <w:t xml:space="preserve">The remaining common variants that were significant in Freeze 1.0 had relatively small </w:t>
      </w:r>
      <w:r w:rsidRPr="00503595">
        <w:rPr>
          <w:i/>
        </w:rPr>
        <w:t>P</w:t>
      </w:r>
      <w:r>
        <w:t>-values in the Freeze 2.0 analysis (in the range of 1.06e-5 to 3.74e-4), but did not meet the reporting threshold.</w:t>
      </w:r>
      <w:r w:rsidR="00503595">
        <w:t xml:space="preserve"> </w:t>
      </w:r>
      <w:r>
        <w:t>There are other possible reasons for the lack of overlap and change in the magnitude of association</w:t>
      </w:r>
      <w:r w:rsidR="00503595">
        <w:t xml:space="preserve"> between the two analyses</w:t>
      </w:r>
      <w:r>
        <w:t xml:space="preserve">. Alleles may have been present in only three lines in Freeze 1.0 but 10 lines in </w:t>
      </w:r>
      <w:r w:rsidR="00503595">
        <w:t>F</w:t>
      </w:r>
      <w:r>
        <w:t xml:space="preserve">reeze 2.0, and hence assessed in Freeze 2.0 but not Freeze 1.0. Freeze 2.0 queried the effects of </w:t>
      </w:r>
      <w:proofErr w:type="spellStart"/>
      <w:r>
        <w:t>indels</w:t>
      </w:r>
      <w:proofErr w:type="spellEnd"/>
      <w:r>
        <w:t xml:space="preserve">, which was not done in Freeze 1.0. SNPs may have been inaccurately called if they are near </w:t>
      </w:r>
      <w:proofErr w:type="spellStart"/>
      <w:r>
        <w:t>indels</w:t>
      </w:r>
      <w:proofErr w:type="spellEnd"/>
      <w:r>
        <w:t xml:space="preserve">. We noted in the manuscript that female starvation resistance is associated with </w:t>
      </w:r>
      <w:proofErr w:type="gramStart"/>
      <w:r w:rsidRPr="00503595">
        <w:rPr>
          <w:i/>
        </w:rPr>
        <w:t>In(</w:t>
      </w:r>
      <w:proofErr w:type="gramEnd"/>
      <w:r w:rsidRPr="00503595">
        <w:rPr>
          <w:i/>
        </w:rPr>
        <w:t>3R)K</w:t>
      </w:r>
      <w:r>
        <w:t xml:space="preserve">; variants in LD with this inversion were excluded in Freeze 2.0 but were included in the Freeze 1.0 analysis, which did not adjust for the effects of inversion. Finally, we have shown previously (Huang </w:t>
      </w:r>
      <w:r w:rsidRPr="00503595">
        <w:rPr>
          <w:i/>
        </w:rPr>
        <w:t>et al</w:t>
      </w:r>
      <w:r>
        <w:t xml:space="preserve">., 2012) that there are strong </w:t>
      </w:r>
      <w:proofErr w:type="spellStart"/>
      <w:r>
        <w:t>epistatic</w:t>
      </w:r>
      <w:proofErr w:type="spellEnd"/>
      <w:r>
        <w:t xml:space="preserve"> interactions for starvation resistance, such that common SNPs have different effects depending on the genetic background. The genetic background of the Freeze 2.0 DGRP includes many more lines than the Freeze 1.0 DGRP, and hence epistasis is another possible reason for different effect sizes of common alleles present in both studies.</w:t>
      </w:r>
      <w:r>
        <w:tab/>
      </w:r>
    </w:p>
    <w:p w:rsidR="001B5513" w:rsidRDefault="001B5513" w:rsidP="001B5513">
      <w:pPr>
        <w:spacing w:after="0" w:line="360" w:lineRule="auto"/>
        <w:rPr>
          <w:b/>
        </w:rPr>
      </w:pPr>
    </w:p>
    <w:p w:rsidR="001B5513" w:rsidRPr="006768A3" w:rsidRDefault="001B5513" w:rsidP="001B5513">
      <w:pPr>
        <w:spacing w:after="0" w:line="360" w:lineRule="auto"/>
        <w:rPr>
          <w:b/>
        </w:rPr>
      </w:pPr>
      <w:proofErr w:type="spellStart"/>
      <w:r w:rsidRPr="006768A3">
        <w:rPr>
          <w:b/>
          <w:i/>
        </w:rPr>
        <w:t>Wolbachia</w:t>
      </w:r>
      <w:proofErr w:type="spellEnd"/>
      <w:r w:rsidRPr="006768A3">
        <w:rPr>
          <w:b/>
        </w:rPr>
        <w:t xml:space="preserve"> infection status</w:t>
      </w:r>
    </w:p>
    <w:p w:rsidR="001B5513" w:rsidRDefault="001B5513" w:rsidP="001B5513">
      <w:pPr>
        <w:spacing w:after="0" w:line="360" w:lineRule="auto"/>
      </w:pPr>
      <w:r>
        <w:t xml:space="preserve">Two highly significant single variant associations were from the erroneous genotype calls of two </w:t>
      </w:r>
      <w:proofErr w:type="spellStart"/>
      <w:r w:rsidRPr="008F76A1">
        <w:rPr>
          <w:i/>
        </w:rPr>
        <w:t>Wolbachia</w:t>
      </w:r>
      <w:proofErr w:type="spellEnd"/>
      <w:r>
        <w:t xml:space="preserve"> insertions in all lines infected with </w:t>
      </w:r>
      <w:proofErr w:type="spellStart"/>
      <w:r w:rsidRPr="008F76A1">
        <w:rPr>
          <w:i/>
        </w:rPr>
        <w:t>Wolbachia</w:t>
      </w:r>
      <w:proofErr w:type="spellEnd"/>
      <w:r>
        <w:t xml:space="preserve">. The remaining 26 single variants significant at </w:t>
      </w:r>
      <w:r w:rsidRPr="00047167">
        <w:rPr>
          <w:i/>
        </w:rPr>
        <w:t>P</w:t>
      </w:r>
      <w:r>
        <w:t xml:space="preserve"> &lt; 10</w:t>
      </w:r>
      <w:r w:rsidRPr="00047167">
        <w:rPr>
          <w:vertAlign w:val="superscript"/>
        </w:rPr>
        <w:t>-5</w:t>
      </w:r>
      <w:r>
        <w:t xml:space="preserve"> were located in or near 30 genes (Supplemental data file S12). Gene based tests identified 21 genes significant at the </w:t>
      </w:r>
      <w:r w:rsidRPr="001D75E8">
        <w:rPr>
          <w:i/>
        </w:rPr>
        <w:t>P</w:t>
      </w:r>
      <w:r>
        <w:t xml:space="preserve"> &lt; 10</w:t>
      </w:r>
      <w:r w:rsidRPr="001D75E8">
        <w:rPr>
          <w:vertAlign w:val="superscript"/>
        </w:rPr>
        <w:t>-4</w:t>
      </w:r>
      <w:r>
        <w:t xml:space="preserve"> nominal threshold, of which four (</w:t>
      </w:r>
      <w:r w:rsidRPr="00FB4FFA">
        <w:rPr>
          <w:i/>
        </w:rPr>
        <w:t>saxophone</w:t>
      </w:r>
      <w:r>
        <w:t xml:space="preserve"> (</w:t>
      </w:r>
      <w:r w:rsidRPr="00FB4FFA">
        <w:rPr>
          <w:i/>
        </w:rPr>
        <w:t>sax</w:t>
      </w:r>
      <w:r>
        <w:t xml:space="preserve">), </w:t>
      </w:r>
      <w:r w:rsidRPr="00FB4FFA">
        <w:rPr>
          <w:i/>
        </w:rPr>
        <w:t>Nop17 like</w:t>
      </w:r>
      <w:r>
        <w:t xml:space="preserve"> (</w:t>
      </w:r>
      <w:r w:rsidRPr="00FB4FFA">
        <w:rPr>
          <w:i/>
        </w:rPr>
        <w:t>Nop17l</w:t>
      </w:r>
      <w:r>
        <w:t xml:space="preserve">), </w:t>
      </w:r>
      <w:r w:rsidRPr="00FB4FFA">
        <w:rPr>
          <w:i/>
        </w:rPr>
        <w:t>CG32061</w:t>
      </w:r>
      <w:r>
        <w:t xml:space="preserve"> and </w:t>
      </w:r>
      <w:r w:rsidRPr="00FB4FFA">
        <w:rPr>
          <w:i/>
        </w:rPr>
        <w:t>CG33702</w:t>
      </w:r>
      <w:r>
        <w:t xml:space="preserve">) overlapped with the single variant test results (Supplemental data file S13). We found no significant enrichment of gene ontology categories for the 47 genes implicated in both analyses. However, we note that </w:t>
      </w:r>
      <w:r w:rsidRPr="00FB4FFA">
        <w:rPr>
          <w:i/>
        </w:rPr>
        <w:t>sax</w:t>
      </w:r>
      <w:r>
        <w:t xml:space="preserve"> is an interesting candidate gene. It functions in the biological processes of oogenesis, consistent with the maternal transmission of the </w:t>
      </w:r>
      <w:proofErr w:type="spellStart"/>
      <w:r>
        <w:t>endosymbiont</w:t>
      </w:r>
      <w:proofErr w:type="spellEnd"/>
      <w:r>
        <w:t xml:space="preserve">, as well in the regulation of innate immune response, particularly the response to gram negative bacteria such as </w:t>
      </w:r>
      <w:proofErr w:type="spellStart"/>
      <w:r w:rsidRPr="00A50156">
        <w:rPr>
          <w:i/>
        </w:rPr>
        <w:t>Wolbachia</w:t>
      </w:r>
      <w:proofErr w:type="spellEnd"/>
      <w:r>
        <w:rPr>
          <w:i/>
        </w:rPr>
        <w:t xml:space="preserve"> </w:t>
      </w:r>
      <w:r>
        <w:t>(</w:t>
      </w:r>
      <w:proofErr w:type="spellStart"/>
      <w:r>
        <w:t>McQuilton</w:t>
      </w:r>
      <w:proofErr w:type="spellEnd"/>
      <w:r>
        <w:t xml:space="preserve"> </w:t>
      </w:r>
      <w:r w:rsidRPr="000437B6">
        <w:rPr>
          <w:i/>
        </w:rPr>
        <w:t>et al</w:t>
      </w:r>
      <w:r>
        <w:t>., 2012).</w:t>
      </w:r>
    </w:p>
    <w:p w:rsidR="001B5513" w:rsidRDefault="001B5513" w:rsidP="001B5513">
      <w:pPr>
        <w:spacing w:after="0" w:line="360" w:lineRule="auto"/>
        <w:ind w:firstLine="720"/>
      </w:pPr>
    </w:p>
    <w:p w:rsidR="001B5513" w:rsidRPr="006768A3" w:rsidRDefault="001B5513" w:rsidP="001B5513">
      <w:pPr>
        <w:spacing w:after="0" w:line="360" w:lineRule="auto"/>
        <w:rPr>
          <w:b/>
        </w:rPr>
      </w:pPr>
      <w:r>
        <w:rPr>
          <w:b/>
        </w:rPr>
        <w:t>G</w:t>
      </w:r>
      <w:r w:rsidRPr="006768A3">
        <w:rPr>
          <w:b/>
        </w:rPr>
        <w:t>enome size</w:t>
      </w:r>
    </w:p>
    <w:p w:rsidR="001B5513" w:rsidRDefault="001B5513" w:rsidP="001B5513">
      <w:pPr>
        <w:spacing w:after="0" w:line="360" w:lineRule="auto"/>
      </w:pPr>
      <w:r>
        <w:t xml:space="preserve">We found 90 single variants in or near 55 genes at </w:t>
      </w:r>
      <w:r w:rsidRPr="00E7793F">
        <w:rPr>
          <w:i/>
        </w:rPr>
        <w:t>P</w:t>
      </w:r>
      <w:r>
        <w:t xml:space="preserve"> &lt; 10</w:t>
      </w:r>
      <w:r w:rsidRPr="0097071B">
        <w:rPr>
          <w:vertAlign w:val="superscript"/>
        </w:rPr>
        <w:t>-5</w:t>
      </w:r>
      <w:r>
        <w:t xml:space="preserve">, seven of which had </w:t>
      </w:r>
      <w:r w:rsidRPr="0097071B">
        <w:rPr>
          <w:i/>
        </w:rPr>
        <w:t>P</w:t>
      </w:r>
      <w:r>
        <w:t>-values &lt; 10</w:t>
      </w:r>
      <w:r w:rsidRPr="0097071B">
        <w:rPr>
          <w:vertAlign w:val="superscript"/>
        </w:rPr>
        <w:t>-7</w:t>
      </w:r>
      <w:r>
        <w:t xml:space="preserve"> (for a false discovery rate of FDR = 0.027) (Supplemental data file S12). The top variants were located in or near </w:t>
      </w:r>
      <w:r w:rsidRPr="008045C1">
        <w:rPr>
          <w:i/>
        </w:rPr>
        <w:t>CG32521</w:t>
      </w:r>
      <w:r>
        <w:t xml:space="preserve">, </w:t>
      </w:r>
      <w:r w:rsidRPr="008045C1">
        <w:rPr>
          <w:i/>
        </w:rPr>
        <w:t>pointed</w:t>
      </w:r>
      <w:r>
        <w:t xml:space="preserve"> (</w:t>
      </w:r>
      <w:proofErr w:type="spellStart"/>
      <w:r w:rsidRPr="008045C1">
        <w:rPr>
          <w:i/>
        </w:rPr>
        <w:t>pnt</w:t>
      </w:r>
      <w:proofErr w:type="spellEnd"/>
      <w:r>
        <w:t xml:space="preserve">), </w:t>
      </w:r>
      <w:r w:rsidRPr="008045C1">
        <w:rPr>
          <w:i/>
        </w:rPr>
        <w:t xml:space="preserve">eyes absent </w:t>
      </w:r>
      <w:r>
        <w:t>(</w:t>
      </w:r>
      <w:proofErr w:type="spellStart"/>
      <w:r w:rsidRPr="008045C1">
        <w:rPr>
          <w:i/>
        </w:rPr>
        <w:t>eya</w:t>
      </w:r>
      <w:proofErr w:type="spellEnd"/>
      <w:r>
        <w:t xml:space="preserve">), </w:t>
      </w:r>
      <w:proofErr w:type="spellStart"/>
      <w:r w:rsidRPr="008045C1">
        <w:rPr>
          <w:i/>
        </w:rPr>
        <w:t>myotubularin</w:t>
      </w:r>
      <w:proofErr w:type="spellEnd"/>
      <w:r>
        <w:t xml:space="preserve"> (</w:t>
      </w:r>
      <w:proofErr w:type="spellStart"/>
      <w:r w:rsidRPr="008045C1">
        <w:rPr>
          <w:i/>
        </w:rPr>
        <w:t>mtm</w:t>
      </w:r>
      <w:proofErr w:type="spellEnd"/>
      <w:r>
        <w:t xml:space="preserve">), </w:t>
      </w:r>
      <w:r w:rsidRPr="008045C1">
        <w:rPr>
          <w:i/>
        </w:rPr>
        <w:t>CG7650</w:t>
      </w:r>
      <w:r>
        <w:t xml:space="preserve">, and </w:t>
      </w:r>
      <w:r w:rsidRPr="008045C1">
        <w:rPr>
          <w:i/>
        </w:rPr>
        <w:t xml:space="preserve">Rho </w:t>
      </w:r>
      <w:proofErr w:type="spellStart"/>
      <w:r w:rsidRPr="008045C1">
        <w:rPr>
          <w:i/>
        </w:rPr>
        <w:t>GTPase</w:t>
      </w:r>
      <w:proofErr w:type="spellEnd"/>
      <w:r w:rsidRPr="008045C1">
        <w:rPr>
          <w:i/>
        </w:rPr>
        <w:t xml:space="preserve"> activating protein at 71E</w:t>
      </w:r>
      <w:r>
        <w:t xml:space="preserve"> (</w:t>
      </w:r>
      <w:r w:rsidRPr="008045C1">
        <w:rPr>
          <w:i/>
        </w:rPr>
        <w:t>RhoGAP71E</w:t>
      </w:r>
      <w:r>
        <w:t>). Three variants (</w:t>
      </w:r>
      <w:r w:rsidRPr="008045C1">
        <w:t>X_21136189_SNP</w:t>
      </w:r>
      <w:r>
        <w:t xml:space="preserve"> in </w:t>
      </w:r>
      <w:r w:rsidRPr="008045C1">
        <w:rPr>
          <w:i/>
        </w:rPr>
        <w:t>CG32521</w:t>
      </w:r>
      <w:r>
        <w:t xml:space="preserve">, </w:t>
      </w:r>
      <w:r w:rsidRPr="008045C1">
        <w:t>3L_5383897_SNP</w:t>
      </w:r>
      <w:r>
        <w:t xml:space="preserve"> (</w:t>
      </w:r>
      <w:proofErr w:type="spellStart"/>
      <w:r>
        <w:t>intergenic</w:t>
      </w:r>
      <w:proofErr w:type="spellEnd"/>
      <w:r>
        <w:t xml:space="preserve">) and </w:t>
      </w:r>
      <w:r w:rsidRPr="008045C1">
        <w:t>3R_19140810_DEL</w:t>
      </w:r>
      <w:r>
        <w:t xml:space="preserve"> in </w:t>
      </w:r>
      <w:proofErr w:type="spellStart"/>
      <w:r w:rsidRPr="008045C1">
        <w:rPr>
          <w:i/>
        </w:rPr>
        <w:t>pnt</w:t>
      </w:r>
      <w:proofErr w:type="spellEnd"/>
      <w:r>
        <w:t xml:space="preserve">) achieved </w:t>
      </w:r>
      <w:proofErr w:type="spellStart"/>
      <w:r>
        <w:t>Bonferroni</w:t>
      </w:r>
      <w:proofErr w:type="spellEnd"/>
      <w:r>
        <w:t xml:space="preserve"> level significance. We identified 57 </w:t>
      </w:r>
      <w:r>
        <w:lastRenderedPageBreak/>
        <w:t xml:space="preserve">genes using the gene-based methods at </w:t>
      </w:r>
      <w:r w:rsidRPr="001D75E8">
        <w:rPr>
          <w:i/>
        </w:rPr>
        <w:t>P</w:t>
      </w:r>
      <w:r>
        <w:t xml:space="preserve"> &lt; 10</w:t>
      </w:r>
      <w:r w:rsidRPr="001D75E8">
        <w:rPr>
          <w:vertAlign w:val="superscript"/>
        </w:rPr>
        <w:t>-4</w:t>
      </w:r>
      <w:r>
        <w:t xml:space="preserve"> (FDR = 0.026); tests for 12 genes (</w:t>
      </w:r>
      <w:r w:rsidRPr="00CF183F">
        <w:rPr>
          <w:i/>
        </w:rPr>
        <w:t>CG12659</w:t>
      </w:r>
      <w:r>
        <w:t xml:space="preserve">, </w:t>
      </w:r>
      <w:proofErr w:type="gramStart"/>
      <w:r w:rsidRPr="00CF183F">
        <w:rPr>
          <w:i/>
        </w:rPr>
        <w:t>lethal(</w:t>
      </w:r>
      <w:proofErr w:type="gramEnd"/>
      <w:r w:rsidRPr="00CF183F">
        <w:rPr>
          <w:i/>
        </w:rPr>
        <w:t>2)35Bc</w:t>
      </w:r>
      <w:r>
        <w:t xml:space="preserve"> (</w:t>
      </w:r>
      <w:r w:rsidRPr="00CF183F">
        <w:rPr>
          <w:i/>
        </w:rPr>
        <w:t>l(2)35Bc</w:t>
      </w:r>
      <w:r>
        <w:t xml:space="preserve">), </w:t>
      </w:r>
      <w:r w:rsidRPr="00CF183F">
        <w:rPr>
          <w:i/>
        </w:rPr>
        <w:t>CG12057</w:t>
      </w:r>
      <w:r>
        <w:t xml:space="preserve">, </w:t>
      </w:r>
      <w:r w:rsidRPr="00CF183F">
        <w:rPr>
          <w:i/>
        </w:rPr>
        <w:t>Negative Cofactor 2ß</w:t>
      </w:r>
      <w:r>
        <w:t xml:space="preserve"> (</w:t>
      </w:r>
      <w:r w:rsidRPr="00CF183F">
        <w:rPr>
          <w:i/>
        </w:rPr>
        <w:t>NC2ß</w:t>
      </w:r>
      <w:r>
        <w:t xml:space="preserve">), </w:t>
      </w:r>
      <w:r w:rsidRPr="00CF183F">
        <w:rPr>
          <w:i/>
        </w:rPr>
        <w:t>CG6294</w:t>
      </w:r>
      <w:r>
        <w:t xml:space="preserve">, </w:t>
      </w:r>
      <w:r w:rsidRPr="00CF183F">
        <w:rPr>
          <w:i/>
        </w:rPr>
        <w:t>CG6299</w:t>
      </w:r>
      <w:r>
        <w:t xml:space="preserve">, </w:t>
      </w:r>
      <w:r w:rsidRPr="00CF183F">
        <w:rPr>
          <w:i/>
        </w:rPr>
        <w:t>CG4768</w:t>
      </w:r>
      <w:r>
        <w:t xml:space="preserve">, </w:t>
      </w:r>
      <w:r w:rsidRPr="00CF183F">
        <w:rPr>
          <w:i/>
        </w:rPr>
        <w:t>CG12056</w:t>
      </w:r>
      <w:r>
        <w:t xml:space="preserve">, </w:t>
      </w:r>
      <w:r w:rsidRPr="00CF183F">
        <w:rPr>
          <w:i/>
        </w:rPr>
        <w:t>CG3638</w:t>
      </w:r>
      <w:r>
        <w:t xml:space="preserve">, </w:t>
      </w:r>
      <w:proofErr w:type="spellStart"/>
      <w:r w:rsidRPr="00CF183F">
        <w:rPr>
          <w:i/>
        </w:rPr>
        <w:t>mtm</w:t>
      </w:r>
      <w:proofErr w:type="spellEnd"/>
      <w:r>
        <w:t xml:space="preserve">, </w:t>
      </w:r>
      <w:r w:rsidRPr="00CF183F">
        <w:rPr>
          <w:i/>
        </w:rPr>
        <w:t>CG12118</w:t>
      </w:r>
      <w:r>
        <w:t xml:space="preserve"> and </w:t>
      </w:r>
      <w:r w:rsidRPr="00CF183F">
        <w:rPr>
          <w:i/>
        </w:rPr>
        <w:t>CG12106</w:t>
      </w:r>
      <w:r>
        <w:t xml:space="preserve">) achieved </w:t>
      </w:r>
      <w:proofErr w:type="spellStart"/>
      <w:r>
        <w:t>Bonferroni</w:t>
      </w:r>
      <w:proofErr w:type="spellEnd"/>
      <w:r>
        <w:t xml:space="preserve"> level significance (Supplemental data file S13). Seven genes (</w:t>
      </w:r>
      <w:proofErr w:type="spellStart"/>
      <w:r w:rsidRPr="00671CF2">
        <w:rPr>
          <w:i/>
        </w:rPr>
        <w:t>eya</w:t>
      </w:r>
      <w:proofErr w:type="spellEnd"/>
      <w:r>
        <w:t xml:space="preserve">, </w:t>
      </w:r>
      <w:r w:rsidRPr="00671CF2">
        <w:rPr>
          <w:i/>
        </w:rPr>
        <w:t>mutagen-sensitive 312</w:t>
      </w:r>
      <w:r>
        <w:t xml:space="preserve"> (</w:t>
      </w:r>
      <w:r w:rsidRPr="00671CF2">
        <w:rPr>
          <w:i/>
        </w:rPr>
        <w:t>mus312</w:t>
      </w:r>
      <w:r>
        <w:t xml:space="preserve">), </w:t>
      </w:r>
      <w:proofErr w:type="spellStart"/>
      <w:r w:rsidRPr="00671CF2">
        <w:rPr>
          <w:i/>
        </w:rPr>
        <w:t>mtm</w:t>
      </w:r>
      <w:proofErr w:type="spellEnd"/>
      <w:r>
        <w:t xml:space="preserve">, </w:t>
      </w:r>
      <w:r w:rsidRPr="00671CF2">
        <w:rPr>
          <w:i/>
        </w:rPr>
        <w:t>CG13996</w:t>
      </w:r>
      <w:r>
        <w:t xml:space="preserve">, </w:t>
      </w:r>
      <w:r w:rsidRPr="00671CF2">
        <w:rPr>
          <w:i/>
        </w:rPr>
        <w:t>CG8602</w:t>
      </w:r>
      <w:r>
        <w:t xml:space="preserve">, </w:t>
      </w:r>
      <w:r w:rsidRPr="00671CF2">
        <w:rPr>
          <w:i/>
        </w:rPr>
        <w:t>CG32521</w:t>
      </w:r>
      <w:r>
        <w:t xml:space="preserve"> and </w:t>
      </w:r>
      <w:r w:rsidRPr="00671CF2">
        <w:rPr>
          <w:i/>
        </w:rPr>
        <w:t>CG42307</w:t>
      </w:r>
      <w:r>
        <w:t xml:space="preserve">) overlapped between the two methods. We found no significant enrichment of gene ontology categories for the 105 genes implicated in both analyses. The majority of the top genes implicated by the GWA analyses were in computationally predicted genes with no functional annotations, and many of the annotated genes have described functions in processes or pathways not obviously associated with genome size. Two of the top candidate genes do, however, have plausible associations with processes that could lead to variation in genome size. </w:t>
      </w:r>
      <w:proofErr w:type="gramStart"/>
      <w:r w:rsidRPr="004632FF">
        <w:rPr>
          <w:i/>
        </w:rPr>
        <w:t>mus312</w:t>
      </w:r>
      <w:proofErr w:type="gramEnd"/>
      <w:r>
        <w:t xml:space="preserve"> is involved in meiotic chromosome segregation and DNA replication, and </w:t>
      </w:r>
      <w:proofErr w:type="spellStart"/>
      <w:r w:rsidRPr="004632FF">
        <w:rPr>
          <w:i/>
        </w:rPr>
        <w:t>mtm</w:t>
      </w:r>
      <w:proofErr w:type="spellEnd"/>
      <w:r>
        <w:t xml:space="preserve"> is involved in chromosome segregation and the mitotic cell cycle (</w:t>
      </w:r>
      <w:proofErr w:type="spellStart"/>
      <w:r>
        <w:t>McQuilton</w:t>
      </w:r>
      <w:proofErr w:type="spellEnd"/>
      <w:r>
        <w:t xml:space="preserve"> </w:t>
      </w:r>
      <w:r w:rsidRPr="001B5513">
        <w:rPr>
          <w:i/>
        </w:rPr>
        <w:t>et al</w:t>
      </w:r>
      <w:r>
        <w:t xml:space="preserve">., 2012). </w:t>
      </w:r>
    </w:p>
    <w:p w:rsidR="001B5513" w:rsidRPr="001B5513" w:rsidRDefault="001B5513" w:rsidP="00532F33">
      <w:pPr>
        <w:spacing w:after="0" w:line="360" w:lineRule="auto"/>
      </w:pPr>
    </w:p>
    <w:p w:rsidR="001B5513" w:rsidRDefault="001B5513" w:rsidP="00532F33">
      <w:pPr>
        <w:spacing w:after="0" w:line="360" w:lineRule="auto"/>
        <w:rPr>
          <w:b/>
        </w:rPr>
      </w:pPr>
    </w:p>
    <w:p w:rsidR="001B5513" w:rsidRDefault="001B5513">
      <w:pPr>
        <w:rPr>
          <w:b/>
        </w:rPr>
      </w:pPr>
      <w:r>
        <w:rPr>
          <w:b/>
        </w:rPr>
        <w:br w:type="page"/>
      </w:r>
    </w:p>
    <w:p w:rsidR="00852316" w:rsidRPr="00532F33" w:rsidRDefault="00532F33" w:rsidP="00532F33">
      <w:pPr>
        <w:spacing w:after="0" w:line="360" w:lineRule="auto"/>
      </w:pPr>
      <w:r w:rsidRPr="00532F33">
        <w:rPr>
          <w:b/>
        </w:rPr>
        <w:lastRenderedPageBreak/>
        <w:t xml:space="preserve">Supplemental </w:t>
      </w:r>
      <w:r w:rsidR="001B5513">
        <w:rPr>
          <w:b/>
        </w:rPr>
        <w:t xml:space="preserve">Text S2: </w:t>
      </w:r>
      <w:r w:rsidRPr="00532F33">
        <w:rPr>
          <w:b/>
        </w:rPr>
        <w:t>Methods</w:t>
      </w:r>
    </w:p>
    <w:p w:rsidR="00532F33" w:rsidRDefault="00532F33" w:rsidP="00532F33">
      <w:pPr>
        <w:pStyle w:val="Heading1"/>
        <w:spacing w:before="0" w:after="0" w:line="360" w:lineRule="auto"/>
        <w:rPr>
          <w:rFonts w:asciiTheme="minorHAnsi" w:hAnsiTheme="minorHAnsi"/>
          <w:sz w:val="22"/>
          <w:szCs w:val="22"/>
        </w:rPr>
      </w:pPr>
    </w:p>
    <w:p w:rsidR="00532F33" w:rsidRDefault="00D34586" w:rsidP="00532F33">
      <w:pPr>
        <w:pStyle w:val="Heading1"/>
        <w:spacing w:before="0" w:after="0" w:line="360" w:lineRule="auto"/>
        <w:rPr>
          <w:rFonts w:asciiTheme="minorHAnsi" w:hAnsiTheme="minorHAnsi"/>
          <w:sz w:val="22"/>
          <w:szCs w:val="22"/>
        </w:rPr>
      </w:pPr>
      <w:r>
        <w:rPr>
          <w:rFonts w:asciiTheme="minorHAnsi" w:hAnsiTheme="minorHAnsi"/>
          <w:sz w:val="22"/>
          <w:szCs w:val="22"/>
        </w:rPr>
        <w:t>L</w:t>
      </w:r>
      <w:r w:rsidR="00532F33" w:rsidRPr="00532F33">
        <w:rPr>
          <w:rFonts w:asciiTheme="minorHAnsi" w:hAnsiTheme="minorHAnsi"/>
          <w:sz w:val="22"/>
          <w:szCs w:val="22"/>
        </w:rPr>
        <w:t>ibrary construction</w:t>
      </w:r>
      <w:r w:rsidR="00532F33">
        <w:rPr>
          <w:rFonts w:asciiTheme="minorHAnsi" w:hAnsiTheme="minorHAnsi"/>
          <w:sz w:val="22"/>
          <w:szCs w:val="22"/>
        </w:rPr>
        <w:t xml:space="preserve"> and sequencing</w:t>
      </w:r>
    </w:p>
    <w:p w:rsidR="00532F33" w:rsidRDefault="00532F33" w:rsidP="00532F33">
      <w:pPr>
        <w:pStyle w:val="Heading1"/>
        <w:spacing w:before="0" w:after="0" w:line="360" w:lineRule="auto"/>
        <w:rPr>
          <w:rFonts w:asciiTheme="minorHAnsi" w:hAnsiTheme="minorHAnsi" w:cs="Arial"/>
          <w:b w:val="0"/>
          <w:sz w:val="22"/>
          <w:szCs w:val="22"/>
        </w:rPr>
      </w:pPr>
      <w:r w:rsidRPr="00532F33">
        <w:rPr>
          <w:rFonts w:asciiTheme="minorHAnsi" w:hAnsiTheme="minorHAnsi"/>
          <w:b w:val="0"/>
          <w:sz w:val="22"/>
          <w:szCs w:val="22"/>
        </w:rPr>
        <w:t xml:space="preserve">5ug genomic DNA in 100ul volume was sheared into fragments of approximately 300 base pairs with the </w:t>
      </w:r>
      <w:proofErr w:type="spellStart"/>
      <w:r w:rsidRPr="00532F33">
        <w:rPr>
          <w:rFonts w:asciiTheme="minorHAnsi" w:hAnsiTheme="minorHAnsi"/>
          <w:b w:val="0"/>
          <w:sz w:val="22"/>
          <w:szCs w:val="22"/>
        </w:rPr>
        <w:t>Covaris</w:t>
      </w:r>
      <w:proofErr w:type="spellEnd"/>
      <w:r w:rsidRPr="00532F33">
        <w:rPr>
          <w:rFonts w:asciiTheme="minorHAnsi" w:hAnsiTheme="minorHAnsi"/>
          <w:b w:val="0"/>
          <w:sz w:val="22"/>
          <w:szCs w:val="22"/>
        </w:rPr>
        <w:t xml:space="preserve"> S2 or E210 system (</w:t>
      </w:r>
      <w:proofErr w:type="spellStart"/>
      <w:r w:rsidRPr="00532F33">
        <w:rPr>
          <w:rFonts w:asciiTheme="minorHAnsi" w:hAnsiTheme="minorHAnsi"/>
          <w:b w:val="0"/>
          <w:sz w:val="22"/>
          <w:szCs w:val="22"/>
        </w:rPr>
        <w:t>Covaris</w:t>
      </w:r>
      <w:proofErr w:type="spellEnd"/>
      <w:r w:rsidRPr="00532F33">
        <w:rPr>
          <w:rFonts w:asciiTheme="minorHAnsi" w:hAnsiTheme="minorHAnsi"/>
          <w:b w:val="0"/>
          <w:sz w:val="22"/>
          <w:szCs w:val="22"/>
        </w:rPr>
        <w:t>, Inc. Woburn, MA). The setting was 10% Duty c</w:t>
      </w:r>
      <w:bookmarkStart w:id="0" w:name="_GoBack"/>
      <w:bookmarkEnd w:id="0"/>
      <w:r w:rsidRPr="00532F33">
        <w:rPr>
          <w:rFonts w:asciiTheme="minorHAnsi" w:hAnsiTheme="minorHAnsi"/>
          <w:b w:val="0"/>
          <w:sz w:val="22"/>
          <w:szCs w:val="22"/>
        </w:rPr>
        <w:t xml:space="preserve">ycle, Intensity of 4,200 Cycles per Burst, for 120 seconds. Fragments were processed through DNA End-Repair in 100ul containing sheared DNA, 10ul 10X buffer, 5ul </w:t>
      </w:r>
      <w:proofErr w:type="spellStart"/>
      <w:r w:rsidRPr="00532F33">
        <w:rPr>
          <w:rFonts w:asciiTheme="minorHAnsi" w:hAnsiTheme="minorHAnsi"/>
          <w:b w:val="0"/>
          <w:sz w:val="22"/>
          <w:szCs w:val="22"/>
        </w:rPr>
        <w:t>End­Repair</w:t>
      </w:r>
      <w:proofErr w:type="spellEnd"/>
      <w:r w:rsidRPr="00532F33">
        <w:rPr>
          <w:rFonts w:asciiTheme="minorHAnsi" w:hAnsiTheme="minorHAnsi"/>
          <w:b w:val="0"/>
          <w:sz w:val="22"/>
          <w:szCs w:val="22"/>
        </w:rPr>
        <w:t xml:space="preserve"> Enzyme Mix and H</w:t>
      </w:r>
      <w:r w:rsidRPr="00532F33">
        <w:rPr>
          <w:rFonts w:asciiTheme="minorHAnsi" w:hAnsiTheme="minorHAnsi"/>
          <w:b w:val="0"/>
          <w:sz w:val="22"/>
          <w:szCs w:val="22"/>
          <w:vertAlign w:val="subscript"/>
        </w:rPr>
        <w:t>2</w:t>
      </w:r>
      <w:r w:rsidRPr="00532F33">
        <w:rPr>
          <w:rFonts w:asciiTheme="minorHAnsi" w:hAnsiTheme="minorHAnsi"/>
          <w:b w:val="0"/>
          <w:sz w:val="22"/>
          <w:szCs w:val="22"/>
        </w:rPr>
        <w:t>O (</w:t>
      </w:r>
      <w:proofErr w:type="spellStart"/>
      <w:r w:rsidRPr="00532F33">
        <w:rPr>
          <w:rFonts w:asciiTheme="minorHAnsi" w:hAnsiTheme="minorHAnsi"/>
          <w:b w:val="0"/>
          <w:sz w:val="22"/>
          <w:szCs w:val="22"/>
        </w:rPr>
        <w:t>NEBNext</w:t>
      </w:r>
      <w:proofErr w:type="spellEnd"/>
      <w:r w:rsidRPr="00532F33">
        <w:rPr>
          <w:rFonts w:asciiTheme="minorHAnsi" w:hAnsiTheme="minorHAnsi"/>
          <w:b w:val="0"/>
          <w:sz w:val="22"/>
          <w:szCs w:val="22"/>
        </w:rPr>
        <w:t xml:space="preserve"> End-Repair Module; Cat. No. E6050L) at 20</w:t>
      </w:r>
      <w:r w:rsidRPr="00532F33">
        <w:rPr>
          <w:rFonts w:asciiTheme="minorHAnsi" w:hAnsiTheme="minorHAnsi"/>
          <w:b w:val="0"/>
          <w:sz w:val="22"/>
          <w:szCs w:val="22"/>
        </w:rPr>
        <w:sym w:font="Symbol" w:char="F0B0"/>
      </w:r>
      <w:r w:rsidRPr="00532F33">
        <w:rPr>
          <w:rFonts w:asciiTheme="minorHAnsi" w:hAnsiTheme="minorHAnsi"/>
          <w:b w:val="0"/>
          <w:sz w:val="22"/>
          <w:szCs w:val="22"/>
        </w:rPr>
        <w:t xml:space="preserve">C for 30 minutes; A-tailing was performed in 50ul containing End-Repaired DNA, 5ul 10X buffer, 3ul </w:t>
      </w:r>
      <w:proofErr w:type="spellStart"/>
      <w:r w:rsidRPr="00532F33">
        <w:rPr>
          <w:rFonts w:asciiTheme="minorHAnsi" w:hAnsiTheme="minorHAnsi"/>
          <w:b w:val="0"/>
          <w:sz w:val="22"/>
          <w:szCs w:val="22"/>
        </w:rPr>
        <w:t>Klenow</w:t>
      </w:r>
      <w:proofErr w:type="spellEnd"/>
      <w:r w:rsidRPr="00532F33">
        <w:rPr>
          <w:rFonts w:asciiTheme="minorHAnsi" w:hAnsiTheme="minorHAnsi"/>
          <w:b w:val="0"/>
          <w:sz w:val="22"/>
          <w:szCs w:val="22"/>
        </w:rPr>
        <w:t xml:space="preserve"> Fragment (</w:t>
      </w:r>
      <w:proofErr w:type="spellStart"/>
      <w:r w:rsidRPr="00532F33">
        <w:rPr>
          <w:rFonts w:asciiTheme="minorHAnsi" w:hAnsiTheme="minorHAnsi"/>
          <w:b w:val="0"/>
          <w:sz w:val="22"/>
          <w:szCs w:val="22"/>
        </w:rPr>
        <w:t>NEBNext</w:t>
      </w:r>
      <w:proofErr w:type="spellEnd"/>
      <w:r w:rsidRPr="00532F33">
        <w:rPr>
          <w:rFonts w:asciiTheme="minorHAnsi" w:hAnsiTheme="minorHAnsi"/>
          <w:b w:val="0"/>
          <w:sz w:val="22"/>
          <w:szCs w:val="22"/>
        </w:rPr>
        <w:t xml:space="preserve"> </w:t>
      </w:r>
      <w:proofErr w:type="spellStart"/>
      <w:r w:rsidRPr="00532F33">
        <w:rPr>
          <w:rFonts w:asciiTheme="minorHAnsi" w:hAnsiTheme="minorHAnsi"/>
          <w:b w:val="0"/>
          <w:sz w:val="22"/>
          <w:szCs w:val="22"/>
        </w:rPr>
        <w:t>dA</w:t>
      </w:r>
      <w:proofErr w:type="spellEnd"/>
      <w:r w:rsidRPr="00532F33">
        <w:rPr>
          <w:rFonts w:asciiTheme="minorHAnsi" w:hAnsiTheme="minorHAnsi"/>
          <w:b w:val="0"/>
          <w:sz w:val="22"/>
          <w:szCs w:val="22"/>
        </w:rPr>
        <w:t>-Tailing Module; Cat. No. E6053L) at 37</w:t>
      </w:r>
      <w:r w:rsidRPr="00532F33">
        <w:rPr>
          <w:rFonts w:asciiTheme="minorHAnsi" w:hAnsiTheme="minorHAnsi"/>
          <w:b w:val="0"/>
          <w:sz w:val="22"/>
          <w:szCs w:val="22"/>
        </w:rPr>
        <w:sym w:font="Symbol" w:char="F0B0"/>
      </w:r>
      <w:r w:rsidRPr="00532F33">
        <w:rPr>
          <w:rFonts w:asciiTheme="minorHAnsi" w:hAnsiTheme="minorHAnsi"/>
          <w:b w:val="0"/>
          <w:sz w:val="22"/>
          <w:szCs w:val="22"/>
        </w:rPr>
        <w:t xml:space="preserve">C for 30 minutes, each step followed by purification using a </w:t>
      </w:r>
      <w:proofErr w:type="spellStart"/>
      <w:r w:rsidRPr="00532F33">
        <w:rPr>
          <w:rFonts w:asciiTheme="minorHAnsi" w:hAnsiTheme="minorHAnsi"/>
          <w:b w:val="0"/>
          <w:sz w:val="22"/>
          <w:szCs w:val="22"/>
        </w:rPr>
        <w:t>QIAquick</w:t>
      </w:r>
      <w:proofErr w:type="spellEnd"/>
      <w:r w:rsidRPr="00532F33">
        <w:rPr>
          <w:rFonts w:asciiTheme="minorHAnsi" w:hAnsiTheme="minorHAnsi"/>
          <w:b w:val="0"/>
          <w:sz w:val="22"/>
          <w:szCs w:val="22"/>
        </w:rPr>
        <w:t xml:space="preserve"> PCR purification kit (Cat. </w:t>
      </w:r>
      <w:proofErr w:type="gramStart"/>
      <w:r w:rsidRPr="00532F33">
        <w:rPr>
          <w:rFonts w:asciiTheme="minorHAnsi" w:hAnsiTheme="minorHAnsi"/>
          <w:b w:val="0"/>
          <w:sz w:val="22"/>
          <w:szCs w:val="22"/>
        </w:rPr>
        <w:t>No.</w:t>
      </w:r>
      <w:r>
        <w:rPr>
          <w:rFonts w:asciiTheme="minorHAnsi" w:hAnsiTheme="minorHAnsi"/>
          <w:b w:val="0"/>
          <w:sz w:val="22"/>
          <w:szCs w:val="22"/>
        </w:rPr>
        <w:t xml:space="preserve"> </w:t>
      </w:r>
      <w:r w:rsidRPr="00532F33">
        <w:rPr>
          <w:rFonts w:asciiTheme="minorHAnsi" w:hAnsiTheme="minorHAnsi"/>
          <w:b w:val="0"/>
          <w:sz w:val="22"/>
          <w:szCs w:val="22"/>
        </w:rPr>
        <w:t>28106).</w:t>
      </w:r>
      <w:proofErr w:type="gramEnd"/>
      <w:r w:rsidRPr="00532F33">
        <w:rPr>
          <w:rFonts w:asciiTheme="minorHAnsi" w:hAnsiTheme="minorHAnsi"/>
          <w:b w:val="0"/>
          <w:sz w:val="22"/>
          <w:szCs w:val="22"/>
        </w:rPr>
        <w:t xml:space="preserve"> Resulting fragments were ligated with </w:t>
      </w:r>
      <w:proofErr w:type="spellStart"/>
      <w:r w:rsidRPr="00532F33">
        <w:rPr>
          <w:rFonts w:asciiTheme="minorHAnsi" w:hAnsiTheme="minorHAnsi"/>
          <w:b w:val="0"/>
          <w:sz w:val="22"/>
          <w:szCs w:val="22"/>
        </w:rPr>
        <w:t>Illumina</w:t>
      </w:r>
      <w:proofErr w:type="spellEnd"/>
      <w:r w:rsidRPr="00532F33">
        <w:rPr>
          <w:rFonts w:asciiTheme="minorHAnsi" w:hAnsiTheme="minorHAnsi"/>
          <w:b w:val="0"/>
          <w:sz w:val="22"/>
          <w:szCs w:val="22"/>
        </w:rPr>
        <w:t xml:space="preserve"> multiplexing PE adapters and the </w:t>
      </w:r>
      <w:proofErr w:type="spellStart"/>
      <w:r w:rsidRPr="00532F33">
        <w:rPr>
          <w:rFonts w:asciiTheme="minorHAnsi" w:hAnsiTheme="minorHAnsi"/>
          <w:b w:val="0"/>
          <w:sz w:val="22"/>
          <w:szCs w:val="22"/>
        </w:rPr>
        <w:t>NEBNext</w:t>
      </w:r>
      <w:proofErr w:type="spellEnd"/>
      <w:r w:rsidRPr="00532F33">
        <w:rPr>
          <w:rFonts w:asciiTheme="minorHAnsi" w:hAnsiTheme="minorHAnsi"/>
          <w:b w:val="0"/>
          <w:sz w:val="22"/>
          <w:szCs w:val="22"/>
        </w:rPr>
        <w:t xml:space="preserve"> Quick Ligation Module (Cat. No. E6056L). After ligation, size selection was carried out by using 2% low-melt agarose gel running in 1X TBE. Gel slices were excised from 290bp to 320bp and the size-selected DNA was purified using a </w:t>
      </w:r>
      <w:proofErr w:type="spellStart"/>
      <w:r w:rsidRPr="00532F33">
        <w:rPr>
          <w:rFonts w:asciiTheme="minorHAnsi" w:hAnsiTheme="minorHAnsi"/>
          <w:b w:val="0"/>
          <w:sz w:val="22"/>
          <w:szCs w:val="22"/>
        </w:rPr>
        <w:t>Qiagen</w:t>
      </w:r>
      <w:proofErr w:type="spellEnd"/>
      <w:r w:rsidRPr="00532F33">
        <w:rPr>
          <w:rFonts w:asciiTheme="minorHAnsi" w:hAnsiTheme="minorHAnsi"/>
          <w:b w:val="0"/>
          <w:sz w:val="22"/>
          <w:szCs w:val="22"/>
        </w:rPr>
        <w:t xml:space="preserve"> </w:t>
      </w:r>
      <w:proofErr w:type="spellStart"/>
      <w:r w:rsidRPr="00532F33">
        <w:rPr>
          <w:rFonts w:asciiTheme="minorHAnsi" w:hAnsiTheme="minorHAnsi"/>
          <w:b w:val="0"/>
          <w:sz w:val="22"/>
          <w:szCs w:val="22"/>
        </w:rPr>
        <w:t>MinElute</w:t>
      </w:r>
      <w:proofErr w:type="spellEnd"/>
      <w:r w:rsidRPr="00532F33">
        <w:rPr>
          <w:rFonts w:asciiTheme="minorHAnsi" w:hAnsiTheme="minorHAnsi"/>
          <w:b w:val="0"/>
          <w:sz w:val="22"/>
          <w:szCs w:val="22"/>
        </w:rPr>
        <w:t xml:space="preserve"> gel extraction kit and eluted in 30ul EB buffer. PCR with </w:t>
      </w:r>
      <w:proofErr w:type="spellStart"/>
      <w:r w:rsidRPr="00532F33">
        <w:rPr>
          <w:rFonts w:asciiTheme="minorHAnsi" w:hAnsiTheme="minorHAnsi"/>
          <w:b w:val="0"/>
          <w:sz w:val="22"/>
          <w:szCs w:val="22"/>
        </w:rPr>
        <w:t>Illumina</w:t>
      </w:r>
      <w:proofErr w:type="spellEnd"/>
      <w:r w:rsidRPr="00532F33">
        <w:rPr>
          <w:rFonts w:asciiTheme="minorHAnsi" w:hAnsiTheme="minorHAnsi"/>
          <w:b w:val="0"/>
          <w:sz w:val="22"/>
          <w:szCs w:val="22"/>
        </w:rPr>
        <w:t xml:space="preserve"> PE 1.0 and 2.0 primers was performed in 25-μl reactions containing 12.5 </w:t>
      </w:r>
      <w:proofErr w:type="spellStart"/>
      <w:r w:rsidRPr="00532F33">
        <w:rPr>
          <w:rFonts w:asciiTheme="minorHAnsi" w:hAnsiTheme="minorHAnsi"/>
          <w:b w:val="0"/>
          <w:sz w:val="22"/>
          <w:szCs w:val="22"/>
        </w:rPr>
        <w:t>ul</w:t>
      </w:r>
      <w:proofErr w:type="spellEnd"/>
      <w:r w:rsidRPr="00532F33">
        <w:rPr>
          <w:rFonts w:asciiTheme="minorHAnsi" w:hAnsiTheme="minorHAnsi"/>
          <w:b w:val="0"/>
          <w:sz w:val="22"/>
          <w:szCs w:val="22"/>
        </w:rPr>
        <w:t xml:space="preserve"> of 2x </w:t>
      </w:r>
      <w:proofErr w:type="spellStart"/>
      <w:r w:rsidRPr="00532F33">
        <w:rPr>
          <w:rFonts w:asciiTheme="minorHAnsi" w:hAnsiTheme="minorHAnsi"/>
          <w:b w:val="0"/>
          <w:sz w:val="22"/>
          <w:szCs w:val="22"/>
        </w:rPr>
        <w:t>Phusion</w:t>
      </w:r>
      <w:proofErr w:type="spellEnd"/>
      <w:r w:rsidRPr="00532F33">
        <w:rPr>
          <w:rFonts w:asciiTheme="minorHAnsi" w:hAnsiTheme="minorHAnsi"/>
          <w:b w:val="0"/>
          <w:sz w:val="22"/>
          <w:szCs w:val="22"/>
        </w:rPr>
        <w:t xml:space="preserve"> High-Fidelity PCR master mix, 2.5ul size-selected fragment DNA, 0.3ul each primer and H</w:t>
      </w:r>
      <w:r w:rsidRPr="00532F33">
        <w:rPr>
          <w:rFonts w:asciiTheme="minorHAnsi" w:hAnsiTheme="minorHAnsi"/>
          <w:b w:val="0"/>
          <w:sz w:val="22"/>
          <w:szCs w:val="22"/>
          <w:vertAlign w:val="subscript"/>
        </w:rPr>
        <w:t>2</w:t>
      </w:r>
      <w:r w:rsidRPr="00532F33">
        <w:rPr>
          <w:rFonts w:asciiTheme="minorHAnsi" w:hAnsiTheme="minorHAnsi"/>
          <w:b w:val="0"/>
          <w:sz w:val="22"/>
          <w:szCs w:val="22"/>
        </w:rPr>
        <w:t xml:space="preserve">O. The standard </w:t>
      </w:r>
      <w:proofErr w:type="spellStart"/>
      <w:r w:rsidRPr="00532F33">
        <w:rPr>
          <w:rFonts w:asciiTheme="minorHAnsi" w:hAnsiTheme="minorHAnsi"/>
          <w:b w:val="0"/>
          <w:sz w:val="22"/>
          <w:szCs w:val="22"/>
        </w:rPr>
        <w:t>thermocycling</w:t>
      </w:r>
      <w:proofErr w:type="spellEnd"/>
      <w:r w:rsidRPr="00532F33">
        <w:rPr>
          <w:rFonts w:asciiTheme="minorHAnsi" w:hAnsiTheme="minorHAnsi"/>
          <w:b w:val="0"/>
          <w:sz w:val="22"/>
          <w:szCs w:val="22"/>
        </w:rPr>
        <w:t xml:space="preserve"> for PCR was 30 s at 98°C for the initial denaturation followed by 10 cycles of 10 s at 98°C, 30 s at 65°C and 30 s at 72°C and a final extension of 5 min. at 72°C.  </w:t>
      </w:r>
      <w:proofErr w:type="spellStart"/>
      <w:proofErr w:type="gramStart"/>
      <w:r w:rsidRPr="00532F33">
        <w:rPr>
          <w:rFonts w:asciiTheme="minorHAnsi" w:hAnsiTheme="minorHAnsi"/>
          <w:b w:val="0"/>
          <w:sz w:val="22"/>
          <w:szCs w:val="22"/>
        </w:rPr>
        <w:t>Agencourt</w:t>
      </w:r>
      <w:proofErr w:type="spellEnd"/>
      <w:r w:rsidRPr="00532F33">
        <w:rPr>
          <w:rFonts w:asciiTheme="minorHAnsi" w:hAnsiTheme="minorHAnsi"/>
          <w:b w:val="0"/>
          <w:sz w:val="22"/>
          <w:szCs w:val="22"/>
          <w:vertAlign w:val="superscript"/>
        </w:rPr>
        <w:t>®</w:t>
      </w:r>
      <w:r w:rsidRPr="00532F33">
        <w:rPr>
          <w:rFonts w:asciiTheme="minorHAnsi" w:hAnsiTheme="minorHAnsi"/>
          <w:b w:val="0"/>
          <w:sz w:val="22"/>
          <w:szCs w:val="22"/>
        </w:rPr>
        <w:t xml:space="preserve"> XP</w:t>
      </w:r>
      <w:r w:rsidRPr="00532F33">
        <w:rPr>
          <w:rFonts w:asciiTheme="minorHAnsi" w:hAnsiTheme="minorHAnsi"/>
          <w:b w:val="0"/>
          <w:sz w:val="22"/>
          <w:szCs w:val="22"/>
          <w:vertAlign w:val="superscript"/>
        </w:rPr>
        <w:t>®</w:t>
      </w:r>
      <w:r w:rsidRPr="00532F33">
        <w:rPr>
          <w:rFonts w:asciiTheme="minorHAnsi" w:hAnsiTheme="minorHAnsi"/>
          <w:b w:val="0"/>
          <w:sz w:val="22"/>
          <w:szCs w:val="22"/>
        </w:rPr>
        <w:t xml:space="preserve"> Beads (Beckman Coulter Genomics, Inc.; Cat.</w:t>
      </w:r>
      <w:proofErr w:type="gramEnd"/>
      <w:r w:rsidRPr="00532F33">
        <w:rPr>
          <w:rFonts w:asciiTheme="minorHAnsi" w:hAnsiTheme="minorHAnsi"/>
          <w:b w:val="0"/>
          <w:sz w:val="22"/>
          <w:szCs w:val="22"/>
        </w:rPr>
        <w:t xml:space="preserve"> No. A63882) were used to purify the PCR products. After Bead purification, PCR products were quantified using </w:t>
      </w:r>
      <w:proofErr w:type="spellStart"/>
      <w:r w:rsidRPr="00532F33">
        <w:rPr>
          <w:rFonts w:asciiTheme="minorHAnsi" w:hAnsiTheme="minorHAnsi"/>
          <w:b w:val="0"/>
          <w:sz w:val="22"/>
          <w:szCs w:val="22"/>
        </w:rPr>
        <w:t>PicoGreen</w:t>
      </w:r>
      <w:proofErr w:type="spellEnd"/>
      <w:r w:rsidRPr="00532F33">
        <w:rPr>
          <w:rFonts w:asciiTheme="minorHAnsi" w:hAnsiTheme="minorHAnsi"/>
          <w:b w:val="0"/>
          <w:sz w:val="22"/>
          <w:szCs w:val="22"/>
        </w:rPr>
        <w:t xml:space="preserve"> (Cat. No. P7589) and their size distribution analyzed using the Agilent </w:t>
      </w:r>
      <w:proofErr w:type="spellStart"/>
      <w:r w:rsidRPr="00532F33">
        <w:rPr>
          <w:rFonts w:asciiTheme="minorHAnsi" w:hAnsiTheme="minorHAnsi"/>
          <w:b w:val="0"/>
          <w:sz w:val="22"/>
          <w:szCs w:val="22"/>
        </w:rPr>
        <w:t>Bioanalyzer</w:t>
      </w:r>
      <w:proofErr w:type="spellEnd"/>
      <w:r w:rsidRPr="00532F33">
        <w:rPr>
          <w:rFonts w:asciiTheme="minorHAnsi" w:hAnsiTheme="minorHAnsi"/>
          <w:b w:val="0"/>
          <w:sz w:val="22"/>
          <w:szCs w:val="22"/>
        </w:rPr>
        <w:t xml:space="preserve"> 2100 DNA Chip 7500 (Cat. </w:t>
      </w:r>
      <w:proofErr w:type="gramStart"/>
      <w:r w:rsidRPr="00532F33">
        <w:rPr>
          <w:rFonts w:asciiTheme="minorHAnsi" w:hAnsiTheme="minorHAnsi"/>
          <w:b w:val="0"/>
          <w:sz w:val="22"/>
          <w:szCs w:val="22"/>
        </w:rPr>
        <w:t>No. 5067-1506).</w:t>
      </w:r>
      <w:proofErr w:type="gramEnd"/>
      <w:r w:rsidRPr="00532F33">
        <w:rPr>
          <w:rFonts w:asciiTheme="minorHAnsi" w:hAnsiTheme="minorHAnsi"/>
          <w:b w:val="0"/>
          <w:sz w:val="22"/>
          <w:szCs w:val="22"/>
        </w:rPr>
        <w:t xml:space="preserve"> 10nM 15ul of final library was passed for sequencing</w:t>
      </w:r>
      <w:r>
        <w:rPr>
          <w:rFonts w:asciiTheme="minorHAnsi" w:hAnsiTheme="minorHAnsi"/>
          <w:b w:val="0"/>
          <w:sz w:val="22"/>
          <w:szCs w:val="22"/>
        </w:rPr>
        <w:t xml:space="preserve"> </w:t>
      </w:r>
      <w:r w:rsidRPr="00532F33">
        <w:rPr>
          <w:rFonts w:asciiTheme="minorHAnsi" w:hAnsiTheme="minorHAnsi" w:cs="Arial"/>
          <w:b w:val="0"/>
          <w:sz w:val="22"/>
          <w:szCs w:val="22"/>
        </w:rPr>
        <w:t xml:space="preserve">on the </w:t>
      </w:r>
      <w:proofErr w:type="spellStart"/>
      <w:r w:rsidRPr="00532F33">
        <w:rPr>
          <w:rFonts w:asciiTheme="minorHAnsi" w:hAnsiTheme="minorHAnsi" w:cs="Arial"/>
          <w:b w:val="0"/>
          <w:sz w:val="22"/>
          <w:szCs w:val="22"/>
        </w:rPr>
        <w:t>Illumina</w:t>
      </w:r>
      <w:proofErr w:type="spellEnd"/>
      <w:r w:rsidRPr="00532F33">
        <w:rPr>
          <w:rFonts w:asciiTheme="minorHAnsi" w:hAnsiTheme="minorHAnsi" w:cs="Arial"/>
          <w:b w:val="0"/>
          <w:sz w:val="22"/>
          <w:szCs w:val="22"/>
        </w:rPr>
        <w:t xml:space="preserve"> </w:t>
      </w:r>
      <w:proofErr w:type="spellStart"/>
      <w:r w:rsidRPr="00532F33">
        <w:rPr>
          <w:rFonts w:asciiTheme="minorHAnsi" w:hAnsiTheme="minorHAnsi" w:cs="Arial"/>
          <w:b w:val="0"/>
          <w:sz w:val="22"/>
          <w:szCs w:val="22"/>
        </w:rPr>
        <w:t>HiSeq</w:t>
      </w:r>
      <w:proofErr w:type="spellEnd"/>
      <w:r w:rsidRPr="00532F33">
        <w:rPr>
          <w:rFonts w:asciiTheme="minorHAnsi" w:hAnsiTheme="minorHAnsi" w:cs="Arial"/>
          <w:b w:val="0"/>
          <w:sz w:val="22"/>
          <w:szCs w:val="22"/>
        </w:rPr>
        <w:t xml:space="preserve"> 2000 or GAII platforms, according to the manufacturer’s specifications. </w:t>
      </w:r>
      <w:r>
        <w:rPr>
          <w:rFonts w:asciiTheme="minorHAnsi" w:hAnsiTheme="minorHAnsi" w:cs="Arial"/>
          <w:b w:val="0"/>
          <w:sz w:val="22"/>
          <w:szCs w:val="22"/>
        </w:rPr>
        <w:t>S</w:t>
      </w:r>
      <w:r w:rsidRPr="00532F33">
        <w:rPr>
          <w:rFonts w:asciiTheme="minorHAnsi" w:hAnsiTheme="minorHAnsi" w:cs="Arial"/>
          <w:b w:val="0"/>
          <w:sz w:val="22"/>
          <w:szCs w:val="22"/>
        </w:rPr>
        <w:t xml:space="preserve">equencing libraries were quantified with an Agilent 2100 </w:t>
      </w:r>
      <w:proofErr w:type="spellStart"/>
      <w:r w:rsidRPr="00532F33">
        <w:rPr>
          <w:rFonts w:asciiTheme="minorHAnsi" w:hAnsiTheme="minorHAnsi" w:cs="Arial"/>
          <w:b w:val="0"/>
          <w:sz w:val="22"/>
          <w:szCs w:val="22"/>
        </w:rPr>
        <w:t>Bioanalyzer</w:t>
      </w:r>
      <w:proofErr w:type="spellEnd"/>
      <w:r w:rsidRPr="00532F33">
        <w:rPr>
          <w:rFonts w:asciiTheme="minorHAnsi" w:hAnsiTheme="minorHAnsi" w:cs="Arial"/>
          <w:b w:val="0"/>
          <w:sz w:val="22"/>
          <w:szCs w:val="22"/>
        </w:rPr>
        <w:t xml:space="preserve">. Cluster generations were performed on an </w:t>
      </w:r>
      <w:proofErr w:type="spellStart"/>
      <w:r w:rsidRPr="00532F33">
        <w:rPr>
          <w:rFonts w:asciiTheme="minorHAnsi" w:hAnsiTheme="minorHAnsi" w:cs="Arial"/>
          <w:b w:val="0"/>
          <w:sz w:val="22"/>
          <w:szCs w:val="22"/>
        </w:rPr>
        <w:t>Illumina</w:t>
      </w:r>
      <w:proofErr w:type="spellEnd"/>
      <w:r w:rsidRPr="00532F33">
        <w:rPr>
          <w:rFonts w:asciiTheme="minorHAnsi" w:hAnsiTheme="minorHAnsi" w:cs="Arial"/>
          <w:b w:val="0"/>
          <w:sz w:val="22"/>
          <w:szCs w:val="22"/>
        </w:rPr>
        <w:t xml:space="preserve"> cluster station. Up to 100 cycles of sequencing were carried out (depending on the sample, some samples were sequenced to 125bp read lengths on the GAII – see Supplemental data file S1 for the read lengths and numbers for each sample) with up to 5 libraries barcoded per </w:t>
      </w:r>
      <w:proofErr w:type="spellStart"/>
      <w:r w:rsidRPr="00532F33">
        <w:rPr>
          <w:rFonts w:asciiTheme="minorHAnsi" w:hAnsiTheme="minorHAnsi" w:cs="Arial"/>
          <w:b w:val="0"/>
          <w:sz w:val="22"/>
          <w:szCs w:val="22"/>
        </w:rPr>
        <w:t>HiSeq</w:t>
      </w:r>
      <w:proofErr w:type="spellEnd"/>
      <w:r w:rsidRPr="00532F33">
        <w:rPr>
          <w:rFonts w:asciiTheme="minorHAnsi" w:hAnsiTheme="minorHAnsi" w:cs="Arial"/>
          <w:b w:val="0"/>
          <w:sz w:val="22"/>
          <w:szCs w:val="22"/>
        </w:rPr>
        <w:t xml:space="preserve"> flow cell lane. </w:t>
      </w:r>
    </w:p>
    <w:p w:rsidR="00D34586" w:rsidRDefault="00D34586" w:rsidP="00704274">
      <w:pPr>
        <w:spacing w:after="0" w:line="360" w:lineRule="auto"/>
        <w:rPr>
          <w:b/>
        </w:rPr>
      </w:pPr>
    </w:p>
    <w:p w:rsidR="00304423" w:rsidRPr="00304423" w:rsidRDefault="00304423" w:rsidP="00631078">
      <w:pPr>
        <w:spacing w:after="0" w:line="360" w:lineRule="auto"/>
        <w:rPr>
          <w:b/>
          <w:lang w:eastAsia="ca-ES"/>
        </w:rPr>
      </w:pPr>
      <w:r w:rsidRPr="00304423">
        <w:rPr>
          <w:b/>
          <w:lang w:eastAsia="ca-ES"/>
        </w:rPr>
        <w:t>Integrated genotyping</w:t>
      </w:r>
    </w:p>
    <w:p w:rsidR="00304423" w:rsidRDefault="002A21F1" w:rsidP="00631078">
      <w:pPr>
        <w:spacing w:after="0" w:line="360" w:lineRule="auto"/>
      </w:pPr>
      <w:r>
        <w:t xml:space="preserve">We used an integrated genotyping algorithm to update the variant calls for each line in turn by determining </w:t>
      </w:r>
      <w:r w:rsidRPr="0023078E">
        <w:t xml:space="preserve">whether variants found in one or more other lines </w:t>
      </w:r>
      <w:r>
        <w:t>were</w:t>
      </w:r>
      <w:r w:rsidRPr="0023078E">
        <w:t xml:space="preserve"> also in the genome of the </w:t>
      </w:r>
      <w:r>
        <w:t xml:space="preserve">focal </w:t>
      </w:r>
      <w:r w:rsidRPr="0023078E">
        <w:t>line</w:t>
      </w:r>
      <w:r>
        <w:t>, but were not called initially in that line d</w:t>
      </w:r>
      <w:r w:rsidRPr="0023078E">
        <w:t>ue to low coverage</w:t>
      </w:r>
      <w:r>
        <w:t xml:space="preserve">. </w:t>
      </w:r>
      <w:r w:rsidR="00304423">
        <w:t xml:space="preserve">To initiate integrated genotyping in </w:t>
      </w:r>
      <w:r w:rsidR="00304423">
        <w:lastRenderedPageBreak/>
        <w:t xml:space="preserve">both stages, we grouped the haplotypes from the </w:t>
      </w:r>
      <w:r w:rsidR="00304423" w:rsidRPr="0023078E">
        <w:t xml:space="preserve">global list of </w:t>
      </w:r>
      <w:r w:rsidR="00304423">
        <w:t xml:space="preserve">non-SNP </w:t>
      </w:r>
      <w:r w:rsidR="00304423" w:rsidRPr="0023078E">
        <w:t xml:space="preserve">variants into bins flanked by regions of at least 110 </w:t>
      </w:r>
      <w:proofErr w:type="spellStart"/>
      <w:r w:rsidR="00304423" w:rsidRPr="0023078E">
        <w:t>bp</w:t>
      </w:r>
      <w:proofErr w:type="spellEnd"/>
      <w:r w:rsidR="00304423" w:rsidRPr="0023078E">
        <w:t xml:space="preserve"> without any </w:t>
      </w:r>
      <w:r w:rsidR="00304423">
        <w:t xml:space="preserve">non-SNP </w:t>
      </w:r>
      <w:r w:rsidR="00304423" w:rsidRPr="0023078E">
        <w:t xml:space="preserve">variants in any line </w:t>
      </w:r>
      <w:r w:rsidR="00304423">
        <w:t>(</w:t>
      </w:r>
      <w:r w:rsidR="00304423" w:rsidRPr="002A3194">
        <w:rPr>
          <w:i/>
        </w:rPr>
        <w:t>i.e.</w:t>
      </w:r>
      <w:r w:rsidR="00304423">
        <w:t xml:space="preserve">, SNPs and </w:t>
      </w:r>
      <w:r w:rsidR="00304423" w:rsidRPr="00D510BF">
        <w:t xml:space="preserve">di-nucleotide substitutions </w:t>
      </w:r>
      <w:r w:rsidR="00304423">
        <w:t>are ignored in this step)</w:t>
      </w:r>
      <w:r w:rsidR="00304423" w:rsidRPr="0023078E">
        <w:t xml:space="preserve">. </w:t>
      </w:r>
      <w:r w:rsidR="00304423" w:rsidRPr="00D510BF">
        <w:t xml:space="preserve">110 </w:t>
      </w:r>
      <w:proofErr w:type="spellStart"/>
      <w:r w:rsidR="00304423" w:rsidRPr="00D510BF">
        <w:t>bp</w:t>
      </w:r>
      <w:proofErr w:type="spellEnd"/>
      <w:r w:rsidR="00304423" w:rsidRPr="00D510BF">
        <w:t xml:space="preserve"> flanking regions were chosen due to the ~100 </w:t>
      </w:r>
      <w:proofErr w:type="spellStart"/>
      <w:r w:rsidR="00304423" w:rsidRPr="00D510BF">
        <w:t>bp</w:t>
      </w:r>
      <w:proofErr w:type="spellEnd"/>
      <w:r w:rsidR="00304423" w:rsidRPr="00D510BF">
        <w:t xml:space="preserve"> read length. </w:t>
      </w:r>
      <w:r w:rsidR="00304423">
        <w:t>We included b</w:t>
      </w:r>
      <w:r w:rsidR="00304423" w:rsidRPr="00D510BF">
        <w:t xml:space="preserve">oth flanking regions of each bin in the bin haplotype sequences, </w:t>
      </w:r>
      <w:r w:rsidR="00304423">
        <w:t xml:space="preserve">so that </w:t>
      </w:r>
      <w:r w:rsidR="00304423" w:rsidRPr="00D510BF">
        <w:t xml:space="preserve">reads partially covering the variants could fully align with one of more alternative haplotypes of the bin. </w:t>
      </w:r>
      <w:r w:rsidR="00304423">
        <w:t>N</w:t>
      </w:r>
      <w:r w:rsidR="00304423" w:rsidRPr="0023078E">
        <w:t xml:space="preserve">ext, </w:t>
      </w:r>
      <w:r w:rsidR="00304423">
        <w:t xml:space="preserve">we derived </w:t>
      </w:r>
      <w:r w:rsidR="00304423" w:rsidRPr="0023078E">
        <w:t>the sequence of each distinct haplotype of each bin</w:t>
      </w:r>
      <w:r w:rsidR="00304423">
        <w:t xml:space="preserve"> plus its </w:t>
      </w:r>
      <w:r w:rsidR="00304423" w:rsidRPr="0023078E">
        <w:t>flanking region</w:t>
      </w:r>
      <w:r w:rsidR="00304423">
        <w:t xml:space="preserve"> (including the reference genome haplotype). </w:t>
      </w:r>
      <w:r w:rsidR="00304423" w:rsidRPr="0023078E">
        <w:t xml:space="preserve">The </w:t>
      </w:r>
      <w:r w:rsidR="00304423">
        <w:t xml:space="preserve">(mostly) paired end </w:t>
      </w:r>
      <w:r w:rsidR="00304423" w:rsidRPr="0023078E">
        <w:t>reads</w:t>
      </w:r>
      <w:r w:rsidR="00304423">
        <w:t xml:space="preserve"> for the focal line were first </w:t>
      </w:r>
      <w:r w:rsidR="00304423" w:rsidRPr="0023078E">
        <w:t>aligned to the reference genome and then to the collection of haplotypes. Alignment d</w:t>
      </w:r>
      <w:r w:rsidR="00304423">
        <w:t>id</w:t>
      </w:r>
      <w:r w:rsidR="00304423" w:rsidRPr="0023078E">
        <w:t xml:space="preserve"> not allow gaps, but </w:t>
      </w:r>
      <w:r w:rsidR="00304423">
        <w:t xml:space="preserve">did </w:t>
      </w:r>
      <w:r w:rsidR="00304423" w:rsidRPr="0023078E">
        <w:t>allow mismatches. Read pairs that align</w:t>
      </w:r>
      <w:r w:rsidR="00304423">
        <w:t>ed</w:t>
      </w:r>
      <w:r w:rsidR="00304423" w:rsidRPr="0023078E">
        <w:t xml:space="preserve"> to more than one site of the reference genome </w:t>
      </w:r>
      <w:r w:rsidR="00304423">
        <w:t>were</w:t>
      </w:r>
      <w:r w:rsidR="00304423" w:rsidRPr="0023078E">
        <w:t xml:space="preserve"> discarded to avoid variant-calling art</w:t>
      </w:r>
      <w:r w:rsidR="00304423">
        <w:t>i</w:t>
      </w:r>
      <w:r w:rsidR="00304423" w:rsidRPr="0023078E">
        <w:t xml:space="preserve">facts in duplicated regions. </w:t>
      </w:r>
      <w:r w:rsidR="00304423">
        <w:t>We then filtered t</w:t>
      </w:r>
      <w:r w:rsidR="00304423" w:rsidRPr="0023078E">
        <w:t>he resulting alignments such that</w:t>
      </w:r>
      <w:r w:rsidR="00304423">
        <w:t xml:space="preserve"> (</w:t>
      </w:r>
      <w:proofErr w:type="spellStart"/>
      <w:r w:rsidR="00304423">
        <w:t>i</w:t>
      </w:r>
      <w:proofErr w:type="spellEnd"/>
      <w:r w:rsidR="00304423">
        <w:t xml:space="preserve">) </w:t>
      </w:r>
      <w:r w:rsidR="00304423" w:rsidRPr="0023078E">
        <w:rPr>
          <w:rFonts w:eastAsia="Cambria" w:cs="Cambria"/>
        </w:rPr>
        <w:t>read pair</w:t>
      </w:r>
      <w:r w:rsidR="00304423">
        <w:rPr>
          <w:rFonts w:eastAsia="Cambria" w:cs="Cambria"/>
        </w:rPr>
        <w:t xml:space="preserve"> </w:t>
      </w:r>
      <w:r w:rsidR="00304423" w:rsidRPr="0023078E">
        <w:rPr>
          <w:rFonts w:eastAsia="Cambria" w:cs="Cambria"/>
        </w:rPr>
        <w:t xml:space="preserve">reads </w:t>
      </w:r>
      <w:r w:rsidR="00304423">
        <w:rPr>
          <w:rFonts w:eastAsia="Cambria" w:cs="Cambria"/>
        </w:rPr>
        <w:t xml:space="preserve">were </w:t>
      </w:r>
      <w:r w:rsidR="00304423" w:rsidRPr="0023078E">
        <w:rPr>
          <w:rFonts w:eastAsia="Cambria" w:cs="Cambria"/>
        </w:rPr>
        <w:t>mapped within the insert size of the library, allowing for deletions</w:t>
      </w:r>
      <w:r w:rsidR="00304423">
        <w:rPr>
          <w:rFonts w:eastAsia="Cambria" w:cs="Cambria"/>
        </w:rPr>
        <w:t xml:space="preserve">; and (ii) that </w:t>
      </w:r>
      <w:r w:rsidR="00304423" w:rsidRPr="0023078E">
        <w:rPr>
          <w:rFonts w:eastAsia="Cambria" w:cs="Cambria"/>
        </w:rPr>
        <w:t>all alignments for the same read</w:t>
      </w:r>
      <w:r w:rsidR="00304423">
        <w:rPr>
          <w:rFonts w:eastAsia="Cambria" w:cs="Cambria"/>
        </w:rPr>
        <w:t xml:space="preserve"> that </w:t>
      </w:r>
      <w:r w:rsidR="00304423" w:rsidRPr="0023078E">
        <w:rPr>
          <w:rFonts w:eastAsia="Cambria" w:cs="Cambria"/>
        </w:rPr>
        <w:t xml:space="preserve">successfully mapped to the reference and/or haplotype(s) </w:t>
      </w:r>
      <w:r w:rsidR="00304423">
        <w:rPr>
          <w:rFonts w:eastAsia="Cambria" w:cs="Cambria"/>
        </w:rPr>
        <w:t>were t</w:t>
      </w:r>
      <w:r w:rsidR="00304423" w:rsidRPr="0023078E">
        <w:rPr>
          <w:rFonts w:eastAsia="Cambria" w:cs="Cambria"/>
        </w:rPr>
        <w:t>o the same bin.</w:t>
      </w:r>
      <w:r w:rsidR="00304423">
        <w:rPr>
          <w:rFonts w:eastAsia="Cambria" w:cs="Cambria"/>
        </w:rPr>
        <w:t xml:space="preserve"> We established t</w:t>
      </w:r>
      <w:r w:rsidR="00304423">
        <w:t xml:space="preserve">he </w:t>
      </w:r>
      <w:r w:rsidR="00304423" w:rsidRPr="0023078E">
        <w:t>mapping coordinates for each haplotype</w:t>
      </w:r>
      <w:r w:rsidR="00304423">
        <w:t xml:space="preserve"> and counted the number of </w:t>
      </w:r>
      <w:r w:rsidR="00304423" w:rsidRPr="0023078E">
        <w:t xml:space="preserve">mismatches of each alignment for the read. </w:t>
      </w:r>
      <w:r w:rsidR="00304423" w:rsidRPr="00DB169D">
        <w:t>Any non-SNP variant</w:t>
      </w:r>
      <w:r w:rsidR="00304423" w:rsidRPr="0023078E">
        <w:t xml:space="preserve"> belonging to the haplotype(s) with the lowest number of mismatches and overlapping with the read </w:t>
      </w:r>
      <w:r w:rsidR="00304423">
        <w:t xml:space="preserve">was </w:t>
      </w:r>
      <w:r w:rsidR="00304423" w:rsidRPr="0023078E">
        <w:t xml:space="preserve">given a supporting vote </w:t>
      </w:r>
      <w:r w:rsidR="00304423">
        <w:t xml:space="preserve">while </w:t>
      </w:r>
      <w:r w:rsidR="00304423" w:rsidRPr="0023078E">
        <w:t xml:space="preserve">other </w:t>
      </w:r>
      <w:r w:rsidR="00304423" w:rsidRPr="00DB169D">
        <w:t>non-SNP</w:t>
      </w:r>
      <w:r w:rsidR="00304423" w:rsidRPr="0023078E">
        <w:t xml:space="preserve"> variant</w:t>
      </w:r>
      <w:r w:rsidR="00304423">
        <w:t>s</w:t>
      </w:r>
      <w:r w:rsidR="00304423" w:rsidRPr="0023078E">
        <w:t xml:space="preserve"> overlapping with the read </w:t>
      </w:r>
      <w:r w:rsidR="00304423">
        <w:t xml:space="preserve">were </w:t>
      </w:r>
      <w:r w:rsidR="00304423" w:rsidRPr="0023078E">
        <w:t xml:space="preserve">given an opposing vote. </w:t>
      </w:r>
      <w:r w:rsidR="00304423">
        <w:t xml:space="preserve">Next, we checked each </w:t>
      </w:r>
      <w:r w:rsidR="00304423" w:rsidRPr="0023078E">
        <w:t xml:space="preserve">read for </w:t>
      </w:r>
      <w:r w:rsidR="00304423">
        <w:t xml:space="preserve">SNP or di-nucleotide variants </w:t>
      </w:r>
      <w:r w:rsidR="00304423" w:rsidRPr="0023078E">
        <w:t xml:space="preserve">with the winning haplotype(s) in order to count supporting and opposing votes for SNPs. </w:t>
      </w:r>
      <w:r w:rsidR="00304423">
        <w:t xml:space="preserve">Any </w:t>
      </w:r>
      <w:r w:rsidR="00304423" w:rsidRPr="0023078E">
        <w:t xml:space="preserve">variant only </w:t>
      </w:r>
      <w:r w:rsidR="00304423">
        <w:t xml:space="preserve">received </w:t>
      </w:r>
      <w:r w:rsidR="00304423" w:rsidRPr="0023078E">
        <w:t xml:space="preserve">one vote (supporting or opposing) from a single read, even if the same variant </w:t>
      </w:r>
      <w:r w:rsidR="00304423">
        <w:t xml:space="preserve">was </w:t>
      </w:r>
      <w:r w:rsidR="00304423" w:rsidRPr="0023078E">
        <w:t>part of more than one haplotype with the lowest number of mismatches.</w:t>
      </w:r>
      <w:r w:rsidR="00304423">
        <w:t xml:space="preserve"> Finally, the genotyping algorithm gave the number of </w:t>
      </w:r>
      <w:r w:rsidR="00304423" w:rsidRPr="0023078E">
        <w:t xml:space="preserve">supporting and opposing votes </w:t>
      </w:r>
      <w:r w:rsidR="00304423">
        <w:t xml:space="preserve">for each variant from the </w:t>
      </w:r>
      <w:r w:rsidR="00304423" w:rsidRPr="0023078E">
        <w:t xml:space="preserve">original global list. A separate program </w:t>
      </w:r>
      <w:r w:rsidR="00304423">
        <w:t xml:space="preserve">was </w:t>
      </w:r>
      <w:r w:rsidR="00304423" w:rsidRPr="0023078E">
        <w:t xml:space="preserve">then invoked </w:t>
      </w:r>
      <w:r w:rsidR="00304423">
        <w:t>to assign initial genotypes</w:t>
      </w:r>
      <w:r w:rsidR="00304423" w:rsidRPr="0023078E">
        <w:t xml:space="preserve"> based on supporting and opposing reads for each variant. </w:t>
      </w:r>
      <w:r w:rsidR="00304423">
        <w:t>At this stage of the analysis, a</w:t>
      </w:r>
      <w:r w:rsidR="00304423" w:rsidRPr="0023078E">
        <w:t xml:space="preserve"> variant </w:t>
      </w:r>
      <w:r w:rsidR="00304423">
        <w:t>was</w:t>
      </w:r>
      <w:r w:rsidR="00304423" w:rsidRPr="0023078E">
        <w:t xml:space="preserve"> </w:t>
      </w:r>
      <w:r w:rsidR="00304423">
        <w:t xml:space="preserve">naively </w:t>
      </w:r>
      <w:r w:rsidR="00304423" w:rsidRPr="0023078E">
        <w:t>called homozygous if</w:t>
      </w:r>
      <w:r w:rsidR="00304423">
        <w:t xml:space="preserve"> </w:t>
      </w:r>
      <w:r w:rsidR="00304423" w:rsidRPr="0023078E">
        <w:rPr>
          <w:rFonts w:eastAsia="Cambria" w:cs="Cambria"/>
        </w:rPr>
        <w:t>at least two reads support</w:t>
      </w:r>
      <w:r w:rsidR="00304423">
        <w:rPr>
          <w:rFonts w:eastAsia="Cambria" w:cs="Cambria"/>
        </w:rPr>
        <w:t>ed</w:t>
      </w:r>
      <w:r w:rsidR="00304423" w:rsidRPr="0023078E">
        <w:rPr>
          <w:rFonts w:eastAsia="Cambria" w:cs="Cambria"/>
        </w:rPr>
        <w:t xml:space="preserve"> it and no read oppose</w:t>
      </w:r>
      <w:r w:rsidR="00304423">
        <w:rPr>
          <w:rFonts w:eastAsia="Cambria" w:cs="Cambria"/>
        </w:rPr>
        <w:t>d</w:t>
      </w:r>
      <w:r w:rsidR="00304423" w:rsidRPr="0023078E">
        <w:rPr>
          <w:rFonts w:eastAsia="Cambria" w:cs="Cambria"/>
        </w:rPr>
        <w:t xml:space="preserve"> it</w:t>
      </w:r>
      <w:r w:rsidR="00304423">
        <w:rPr>
          <w:rFonts w:eastAsia="Cambria" w:cs="Cambria"/>
        </w:rPr>
        <w:t>,</w:t>
      </w:r>
      <w:r w:rsidR="00304423" w:rsidRPr="0023078E">
        <w:rPr>
          <w:rFonts w:eastAsia="Cambria" w:cs="Cambria"/>
        </w:rPr>
        <w:t xml:space="preserve"> or</w:t>
      </w:r>
      <w:r w:rsidR="00304423">
        <w:rPr>
          <w:rFonts w:eastAsia="Cambria" w:cs="Cambria"/>
        </w:rPr>
        <w:t xml:space="preserve"> a</w:t>
      </w:r>
      <w:r w:rsidR="00304423" w:rsidRPr="0023078E">
        <w:rPr>
          <w:rFonts w:eastAsia="Cambria" w:cs="Cambria"/>
        </w:rPr>
        <w:t>t least four reads support</w:t>
      </w:r>
      <w:r w:rsidR="00304423">
        <w:rPr>
          <w:rFonts w:eastAsia="Cambria" w:cs="Cambria"/>
        </w:rPr>
        <w:t>ed</w:t>
      </w:r>
      <w:r w:rsidR="00304423" w:rsidRPr="0023078E">
        <w:rPr>
          <w:rFonts w:eastAsia="Cambria" w:cs="Cambria"/>
        </w:rPr>
        <w:t xml:space="preserve"> i</w:t>
      </w:r>
      <w:r w:rsidR="00304423">
        <w:rPr>
          <w:rFonts w:eastAsia="Cambria" w:cs="Cambria"/>
        </w:rPr>
        <w:t>t</w:t>
      </w:r>
      <w:r w:rsidR="00304423" w:rsidRPr="0023078E">
        <w:rPr>
          <w:rFonts w:eastAsia="Cambria" w:cs="Cambria"/>
        </w:rPr>
        <w:t xml:space="preserve"> and up to one read oppose</w:t>
      </w:r>
      <w:r w:rsidR="00304423">
        <w:rPr>
          <w:rFonts w:eastAsia="Cambria" w:cs="Cambria"/>
        </w:rPr>
        <w:t>d</w:t>
      </w:r>
      <w:r w:rsidR="00304423" w:rsidRPr="0023078E">
        <w:rPr>
          <w:rFonts w:eastAsia="Cambria" w:cs="Cambria"/>
        </w:rPr>
        <w:t xml:space="preserve"> it</w:t>
      </w:r>
      <w:r w:rsidR="00304423">
        <w:rPr>
          <w:rFonts w:eastAsia="Cambria" w:cs="Cambria"/>
        </w:rPr>
        <w:t xml:space="preserve">, </w:t>
      </w:r>
      <w:r w:rsidR="00304423" w:rsidRPr="0023078E">
        <w:rPr>
          <w:rFonts w:eastAsia="Cambria" w:cs="Cambria"/>
        </w:rPr>
        <w:t>or</w:t>
      </w:r>
      <w:r w:rsidR="00304423">
        <w:rPr>
          <w:rFonts w:eastAsia="Cambria" w:cs="Cambria"/>
        </w:rPr>
        <w:t xml:space="preserve"> 9</w:t>
      </w:r>
      <w:r w:rsidR="00304423" w:rsidRPr="0023078E">
        <w:rPr>
          <w:rFonts w:eastAsia="Cambria" w:cs="Cambria"/>
        </w:rPr>
        <w:t>0% or more of all reads aligned support</w:t>
      </w:r>
      <w:r w:rsidR="00304423">
        <w:rPr>
          <w:rFonts w:eastAsia="Cambria" w:cs="Cambria"/>
        </w:rPr>
        <w:t>ed</w:t>
      </w:r>
      <w:r w:rsidR="00304423" w:rsidRPr="0023078E">
        <w:rPr>
          <w:rFonts w:eastAsia="Cambria" w:cs="Cambria"/>
        </w:rPr>
        <w:t xml:space="preserve"> it</w:t>
      </w:r>
      <w:r w:rsidR="00304423">
        <w:rPr>
          <w:rFonts w:eastAsia="Cambria" w:cs="Cambria"/>
        </w:rPr>
        <w:t xml:space="preserve">. </w:t>
      </w:r>
      <w:r w:rsidR="00304423" w:rsidRPr="0023078E">
        <w:t xml:space="preserve">If not called homozygous, a variant </w:t>
      </w:r>
      <w:r w:rsidR="00304423">
        <w:t xml:space="preserve">was </w:t>
      </w:r>
      <w:r w:rsidR="00304423" w:rsidRPr="0023078E">
        <w:t>called segregating if</w:t>
      </w:r>
      <w:r w:rsidR="00304423">
        <w:t xml:space="preserve"> two or three </w:t>
      </w:r>
      <w:r w:rsidR="00304423" w:rsidRPr="0023078E">
        <w:rPr>
          <w:rFonts w:eastAsia="Cambria" w:cs="Cambria"/>
        </w:rPr>
        <w:t>reads support</w:t>
      </w:r>
      <w:r w:rsidR="00304423">
        <w:rPr>
          <w:rFonts w:eastAsia="Cambria" w:cs="Cambria"/>
        </w:rPr>
        <w:t>ed</w:t>
      </w:r>
      <w:r w:rsidR="00304423" w:rsidRPr="0023078E">
        <w:rPr>
          <w:rFonts w:eastAsia="Cambria" w:cs="Cambria"/>
        </w:rPr>
        <w:t xml:space="preserve"> it and </w:t>
      </w:r>
      <w:r w:rsidR="00304423">
        <w:rPr>
          <w:rFonts w:eastAsia="Cambria" w:cs="Cambria"/>
        </w:rPr>
        <w:t xml:space="preserve">one </w:t>
      </w:r>
      <w:r w:rsidR="00304423" w:rsidRPr="0023078E">
        <w:rPr>
          <w:rFonts w:eastAsia="Cambria" w:cs="Cambria"/>
        </w:rPr>
        <w:t>oppose</w:t>
      </w:r>
      <w:r w:rsidR="00304423">
        <w:rPr>
          <w:rFonts w:eastAsia="Cambria" w:cs="Cambria"/>
        </w:rPr>
        <w:t>d</w:t>
      </w:r>
      <w:r w:rsidR="00304423" w:rsidRPr="0023078E">
        <w:rPr>
          <w:rFonts w:eastAsia="Cambria" w:cs="Cambria"/>
        </w:rPr>
        <w:t xml:space="preserve"> it</w:t>
      </w:r>
      <w:r w:rsidR="00304423">
        <w:rPr>
          <w:rFonts w:eastAsia="Cambria" w:cs="Cambria"/>
        </w:rPr>
        <w:t xml:space="preserve"> or if </w:t>
      </w:r>
      <w:r w:rsidR="00304423" w:rsidRPr="0023078E">
        <w:rPr>
          <w:rFonts w:eastAsia="Cambria" w:cs="Cambria"/>
        </w:rPr>
        <w:t>10% or more (but at least two) of all reads aligned support</w:t>
      </w:r>
      <w:r w:rsidR="00304423">
        <w:rPr>
          <w:rFonts w:eastAsia="Cambria" w:cs="Cambria"/>
        </w:rPr>
        <w:t>ed</w:t>
      </w:r>
      <w:r w:rsidR="00304423" w:rsidRPr="0023078E">
        <w:rPr>
          <w:rFonts w:eastAsia="Cambria" w:cs="Cambria"/>
        </w:rPr>
        <w:t xml:space="preserve"> it</w:t>
      </w:r>
      <w:r w:rsidR="00304423">
        <w:rPr>
          <w:rFonts w:eastAsia="Cambria" w:cs="Cambria"/>
        </w:rPr>
        <w:t xml:space="preserve">. </w:t>
      </w:r>
      <w:r w:rsidR="00304423">
        <w:t>T</w:t>
      </w:r>
      <w:r w:rsidR="00304423" w:rsidRPr="0023078E">
        <w:t>o reduce the possibility of art</w:t>
      </w:r>
      <w:r w:rsidR="00304423">
        <w:t>i</w:t>
      </w:r>
      <w:r w:rsidR="00304423" w:rsidRPr="0023078E">
        <w:t xml:space="preserve">facts due to duplications, </w:t>
      </w:r>
      <w:r w:rsidR="00304423">
        <w:t xml:space="preserve">we removed </w:t>
      </w:r>
      <w:r w:rsidR="00304423" w:rsidRPr="0023078E">
        <w:t xml:space="preserve">variants </w:t>
      </w:r>
      <w:r w:rsidR="00304423">
        <w:t xml:space="preserve">that were </w:t>
      </w:r>
      <w:r w:rsidR="00304423" w:rsidRPr="0023078E">
        <w:t>called segregating in at least 20 lines but with no homozygous calls in any line</w:t>
      </w:r>
      <w:r w:rsidR="00304423">
        <w:t xml:space="preserve">. </w:t>
      </w:r>
    </w:p>
    <w:p w:rsidR="008627D5" w:rsidRDefault="008627D5" w:rsidP="00304423">
      <w:pPr>
        <w:spacing w:after="0" w:line="360" w:lineRule="auto"/>
      </w:pPr>
    </w:p>
    <w:p w:rsidR="008627D5" w:rsidRPr="008627D5" w:rsidRDefault="008627D5" w:rsidP="00304423">
      <w:pPr>
        <w:spacing w:after="0" w:line="360" w:lineRule="auto"/>
        <w:rPr>
          <w:b/>
        </w:rPr>
      </w:pPr>
      <w:r w:rsidRPr="008627D5">
        <w:rPr>
          <w:b/>
        </w:rPr>
        <w:t>Validation</w:t>
      </w:r>
    </w:p>
    <w:p w:rsidR="008627D5" w:rsidRPr="00EA2227" w:rsidRDefault="008627D5" w:rsidP="008627D5">
      <w:pPr>
        <w:pStyle w:val="Heading4"/>
        <w:keepNext w:val="0"/>
        <w:keepLines w:val="0"/>
        <w:spacing w:before="0" w:line="360" w:lineRule="auto"/>
        <w:rPr>
          <w:rFonts w:asciiTheme="minorHAnsi" w:hAnsiTheme="minorHAnsi"/>
          <w:b w:val="0"/>
          <w:i w:val="0"/>
          <w:color w:val="000000" w:themeColor="text1"/>
        </w:rPr>
      </w:pPr>
      <w:r>
        <w:rPr>
          <w:rFonts w:asciiTheme="minorHAnsi" w:hAnsiTheme="minorHAnsi"/>
          <w:b w:val="0"/>
          <w:i w:val="0"/>
          <w:color w:val="000000" w:themeColor="text1"/>
        </w:rPr>
        <w:t>We</w:t>
      </w:r>
      <w:r w:rsidRPr="00EA2227">
        <w:rPr>
          <w:rFonts w:asciiTheme="minorHAnsi" w:hAnsiTheme="minorHAnsi"/>
          <w:b w:val="0"/>
          <w:i w:val="0"/>
          <w:color w:val="000000" w:themeColor="text1"/>
        </w:rPr>
        <w:t xml:space="preserve"> used </w:t>
      </w:r>
      <w:r w:rsidR="0075055F">
        <w:rPr>
          <w:rFonts w:asciiTheme="minorHAnsi" w:hAnsiTheme="minorHAnsi"/>
          <w:b w:val="0"/>
          <w:i w:val="0"/>
          <w:color w:val="000000" w:themeColor="text1"/>
        </w:rPr>
        <w:t xml:space="preserve">genomic hybridization </w:t>
      </w:r>
      <w:r w:rsidRPr="00EA2227">
        <w:rPr>
          <w:rFonts w:asciiTheme="minorHAnsi" w:hAnsiTheme="minorHAnsi"/>
          <w:b w:val="0"/>
          <w:i w:val="0"/>
          <w:color w:val="000000" w:themeColor="text1"/>
        </w:rPr>
        <w:t xml:space="preserve">to </w:t>
      </w:r>
      <w:proofErr w:type="spellStart"/>
      <w:r w:rsidRPr="00EA2227">
        <w:rPr>
          <w:rFonts w:asciiTheme="minorHAnsi" w:hAnsiTheme="minorHAnsi"/>
          <w:b w:val="0"/>
          <w:i w:val="0"/>
          <w:color w:val="000000" w:themeColor="text1"/>
        </w:rPr>
        <w:t>Affymetrix</w:t>
      </w:r>
      <w:proofErr w:type="spellEnd"/>
      <w:r w:rsidRPr="00EA2227">
        <w:rPr>
          <w:rFonts w:asciiTheme="minorHAnsi" w:hAnsiTheme="minorHAnsi"/>
          <w:b w:val="0"/>
          <w:i w:val="0"/>
          <w:color w:val="000000" w:themeColor="text1"/>
        </w:rPr>
        <w:t xml:space="preserve"> </w:t>
      </w:r>
      <w:proofErr w:type="spellStart"/>
      <w:r w:rsidRPr="00EA2227">
        <w:rPr>
          <w:rFonts w:asciiTheme="minorHAnsi" w:hAnsiTheme="minorHAnsi"/>
          <w:b w:val="0"/>
          <w:i w:val="0"/>
          <w:color w:val="000000" w:themeColor="text1"/>
        </w:rPr>
        <w:t>GeneChip</w:t>
      </w:r>
      <w:proofErr w:type="spellEnd"/>
      <w:r w:rsidRPr="00EA2227">
        <w:rPr>
          <w:rFonts w:asciiTheme="minorHAnsi" w:hAnsiTheme="minorHAnsi"/>
          <w:b w:val="0"/>
          <w:i w:val="0"/>
          <w:color w:val="000000" w:themeColor="text1"/>
        </w:rPr>
        <w:t xml:space="preserve"> Drosophila 1.0R tiling arrays to validate deletions &gt;25bp</w:t>
      </w:r>
      <w:r w:rsidR="0075055F">
        <w:rPr>
          <w:rFonts w:asciiTheme="minorHAnsi" w:hAnsiTheme="minorHAnsi"/>
          <w:b w:val="0"/>
          <w:i w:val="0"/>
          <w:color w:val="000000" w:themeColor="text1"/>
        </w:rPr>
        <w:t xml:space="preserve"> in six DGRP lines</w:t>
      </w:r>
      <w:r w:rsidRPr="00EA2227">
        <w:rPr>
          <w:rFonts w:asciiTheme="minorHAnsi" w:hAnsiTheme="minorHAnsi"/>
          <w:b w:val="0"/>
          <w:i w:val="0"/>
          <w:color w:val="000000" w:themeColor="text1"/>
        </w:rPr>
        <w:t xml:space="preserve">. </w:t>
      </w:r>
      <w:r w:rsidR="0075055F">
        <w:rPr>
          <w:rFonts w:asciiTheme="minorHAnsi" w:hAnsiTheme="minorHAnsi"/>
          <w:b w:val="0"/>
          <w:i w:val="0"/>
          <w:color w:val="000000" w:themeColor="text1"/>
        </w:rPr>
        <w:t>We mapped the p</w:t>
      </w:r>
      <w:r w:rsidRPr="00EA2227">
        <w:rPr>
          <w:rFonts w:asciiTheme="minorHAnsi" w:hAnsiTheme="minorHAnsi"/>
          <w:b w:val="0"/>
          <w:i w:val="0"/>
          <w:color w:val="000000" w:themeColor="text1"/>
        </w:rPr>
        <w:t>robe annotation to the current reference genome</w:t>
      </w:r>
      <w:r w:rsidR="0075055F">
        <w:rPr>
          <w:rFonts w:asciiTheme="minorHAnsi" w:hAnsiTheme="minorHAnsi"/>
          <w:b w:val="0"/>
          <w:i w:val="0"/>
          <w:color w:val="000000" w:themeColor="text1"/>
        </w:rPr>
        <w:t xml:space="preserve">, </w:t>
      </w:r>
      <w:r w:rsidRPr="00EA2227">
        <w:rPr>
          <w:rFonts w:asciiTheme="minorHAnsi" w:hAnsiTheme="minorHAnsi"/>
          <w:b w:val="0"/>
          <w:i w:val="0"/>
          <w:color w:val="000000" w:themeColor="text1"/>
        </w:rPr>
        <w:lastRenderedPageBreak/>
        <w:t>determined the raw intensity for each probe</w:t>
      </w:r>
      <w:r w:rsidR="0075055F">
        <w:rPr>
          <w:rFonts w:asciiTheme="minorHAnsi" w:hAnsiTheme="minorHAnsi"/>
          <w:b w:val="0"/>
          <w:i w:val="0"/>
          <w:color w:val="000000" w:themeColor="text1"/>
        </w:rPr>
        <w:t>,</w:t>
      </w:r>
      <w:r w:rsidRPr="00EA2227">
        <w:rPr>
          <w:rFonts w:asciiTheme="minorHAnsi" w:hAnsiTheme="minorHAnsi"/>
          <w:b w:val="0"/>
          <w:i w:val="0"/>
          <w:color w:val="000000" w:themeColor="text1"/>
        </w:rPr>
        <w:t xml:space="preserve"> and normalized the intensities of each sample array by the median intensity. We evaluated all deletions in the six lines that were fully overlapped by at least one oligonucleotide probe position by computing the median log2 intensity ratio between the sample and the reference for all probes encompassed by the deletion. We excluded deletions if the median probe intensity on the reference array was among the upper or lower 0.05-quantile of all reference array probe intensities. We estimated the False Discovery Rate (FDR) by comparing the log2 intensity ratios for each variant between samples in which a deletion variant was called and samples in which the non-deleted allele was called. We computed the median log2 intensity ratio distribution of negative calls and used the 0.05-quantile as a cutoff for assuming ‘verification’ of the deletion. We inferred the 0.05-quantile based on the opposite right tail of the distribution. We estimated the FDR as the fraction of deletions not reaching the aforementioned cutoff.</w:t>
      </w:r>
    </w:p>
    <w:p w:rsidR="008627D5" w:rsidRDefault="0075055F" w:rsidP="0075055F">
      <w:pPr>
        <w:spacing w:after="0" w:line="360" w:lineRule="auto"/>
        <w:ind w:firstLine="720"/>
      </w:pPr>
      <w:r>
        <w:t>W</w:t>
      </w:r>
      <w:r w:rsidR="008627D5">
        <w:t xml:space="preserve">e used 454 sequence data from 38 DGRP lines to validate SNP and non-SNP calls. We split the 454 reads at </w:t>
      </w:r>
      <w:proofErr w:type="spellStart"/>
      <w:r w:rsidR="008627D5">
        <w:t>homopolymers</w:t>
      </w:r>
      <w:proofErr w:type="spellEnd"/>
      <w:r w:rsidR="008627D5">
        <w:t xml:space="preserve"> </w:t>
      </w:r>
      <w:r w:rsidR="008627D5">
        <w:sym w:font="Symbol" w:char="F0B3"/>
      </w:r>
      <w:r w:rsidR="008627D5">
        <w:t xml:space="preserve"> 5 </w:t>
      </w:r>
      <w:proofErr w:type="spellStart"/>
      <w:r w:rsidR="008627D5">
        <w:t>bp</w:t>
      </w:r>
      <w:proofErr w:type="spellEnd"/>
      <w:r w:rsidR="008627D5">
        <w:t xml:space="preserve">; thus, </w:t>
      </w:r>
      <w:proofErr w:type="spellStart"/>
      <w:r w:rsidR="008627D5">
        <w:t>homopolymer</w:t>
      </w:r>
      <w:proofErr w:type="spellEnd"/>
      <w:r w:rsidR="008627D5">
        <w:t xml:space="preserve"> </w:t>
      </w:r>
      <w:proofErr w:type="spellStart"/>
      <w:r w:rsidR="008627D5">
        <w:t>indels</w:t>
      </w:r>
      <w:proofErr w:type="spellEnd"/>
      <w:r w:rsidR="008627D5">
        <w:t xml:space="preserve"> could not be validated. We required variants to be validated to be covered by a minimum of four 454 and eight </w:t>
      </w:r>
      <w:proofErr w:type="spellStart"/>
      <w:r w:rsidR="008627D5">
        <w:t>Illumina</w:t>
      </w:r>
      <w:proofErr w:type="spellEnd"/>
      <w:r w:rsidR="008627D5">
        <w:t xml:space="preserve"> reads. We used t</w:t>
      </w:r>
      <w:r w:rsidR="008627D5" w:rsidRPr="00FA734A">
        <w:t xml:space="preserve">he </w:t>
      </w:r>
      <w:r w:rsidR="008627D5">
        <w:t xml:space="preserve">integrated genotyping algorithm described above to count supporting and opposing reads of alleles for variants, with two modifications. First, the flanking sequence bins were 300 </w:t>
      </w:r>
      <w:proofErr w:type="spellStart"/>
      <w:r w:rsidR="008627D5">
        <w:t>bp</w:t>
      </w:r>
      <w:proofErr w:type="spellEnd"/>
      <w:r w:rsidR="008627D5">
        <w:t xml:space="preserve"> to account for the longer 454 reads. Second, the algorithm drew the </w:t>
      </w:r>
      <w:r w:rsidR="008627D5" w:rsidRPr="00FA734A">
        <w:t xml:space="preserve">list of variants </w:t>
      </w:r>
      <w:r w:rsidR="008627D5">
        <w:t xml:space="preserve">from the final calls from the </w:t>
      </w:r>
      <w:proofErr w:type="spellStart"/>
      <w:r w:rsidR="008627D5">
        <w:t>Illumina</w:t>
      </w:r>
      <w:proofErr w:type="spellEnd"/>
      <w:r w:rsidR="008627D5">
        <w:t xml:space="preserve"> genotyping analysis compared to </w:t>
      </w:r>
      <w:r w:rsidR="008627D5" w:rsidRPr="00FA734A">
        <w:t xml:space="preserve">no variants. </w:t>
      </w:r>
      <w:r w:rsidR="008627D5">
        <w:t>We tested t</w:t>
      </w:r>
      <w:r w:rsidR="008627D5" w:rsidRPr="00FA734A">
        <w:t xml:space="preserve">he </w:t>
      </w:r>
      <w:r w:rsidR="008627D5">
        <w:t xml:space="preserve">allele counts from </w:t>
      </w:r>
      <w:proofErr w:type="spellStart"/>
      <w:r w:rsidR="008627D5">
        <w:t>Illumina</w:t>
      </w:r>
      <w:proofErr w:type="spellEnd"/>
      <w:r w:rsidR="008627D5">
        <w:t xml:space="preserve"> and 454 for concordance using a Fisher Exact Test. We used a nominal 5% significance threshold to declare discordance, giving a conservative estimate of the number of concordant genotype calls.  </w:t>
      </w:r>
    </w:p>
    <w:p w:rsidR="0075055F" w:rsidRDefault="0075055F" w:rsidP="0075055F">
      <w:pPr>
        <w:spacing w:after="0" w:line="360" w:lineRule="auto"/>
        <w:ind w:firstLine="720"/>
      </w:pPr>
    </w:p>
    <w:p w:rsidR="0075055F" w:rsidRPr="008C479F" w:rsidRDefault="0075055F" w:rsidP="0075055F">
      <w:pPr>
        <w:spacing w:after="0" w:line="360" w:lineRule="auto"/>
        <w:rPr>
          <w:b/>
        </w:rPr>
      </w:pPr>
      <w:proofErr w:type="spellStart"/>
      <w:r w:rsidRPr="008C479F">
        <w:rPr>
          <w:b/>
          <w:i/>
        </w:rPr>
        <w:t>Wolbachia</w:t>
      </w:r>
      <w:proofErr w:type="spellEnd"/>
      <w:r w:rsidRPr="008C479F">
        <w:rPr>
          <w:b/>
        </w:rPr>
        <w:t xml:space="preserve"> status </w:t>
      </w:r>
    </w:p>
    <w:p w:rsidR="0075055F" w:rsidRDefault="00D7280D" w:rsidP="0075055F">
      <w:pPr>
        <w:spacing w:after="0" w:line="360" w:lineRule="auto"/>
      </w:pPr>
      <w:r>
        <w:t>T</w:t>
      </w:r>
      <w:r w:rsidR="0075055F">
        <w:t xml:space="preserve">o determine </w:t>
      </w:r>
      <w:proofErr w:type="spellStart"/>
      <w:r w:rsidRPr="00D7280D">
        <w:rPr>
          <w:i/>
        </w:rPr>
        <w:t>Wolbachia</w:t>
      </w:r>
      <w:proofErr w:type="spellEnd"/>
      <w:r>
        <w:t xml:space="preserve"> </w:t>
      </w:r>
      <w:r w:rsidR="0075055F">
        <w:t xml:space="preserve">infection status of </w:t>
      </w:r>
      <w:r>
        <w:t xml:space="preserve">the DGRP </w:t>
      </w:r>
      <w:r w:rsidR="0075055F">
        <w:t>line</w:t>
      </w:r>
      <w:r>
        <w:t>s w</w:t>
      </w:r>
      <w:r w:rsidR="0075055F">
        <w:t>e used the p</w:t>
      </w:r>
      <w:r w:rsidR="0075055F" w:rsidRPr="003A4DB8">
        <w:t xml:space="preserve">rimers wsp81F (5’-tgg </w:t>
      </w:r>
      <w:proofErr w:type="spellStart"/>
      <w:r w:rsidR="0075055F" w:rsidRPr="003A4DB8">
        <w:t>tcc</w:t>
      </w:r>
      <w:proofErr w:type="spellEnd"/>
      <w:r w:rsidR="0075055F" w:rsidRPr="003A4DB8">
        <w:t xml:space="preserve"> </w:t>
      </w:r>
      <w:proofErr w:type="spellStart"/>
      <w:r w:rsidR="0075055F" w:rsidRPr="003A4DB8">
        <w:t>aat</w:t>
      </w:r>
      <w:proofErr w:type="spellEnd"/>
      <w:r w:rsidR="0075055F" w:rsidRPr="003A4DB8">
        <w:t xml:space="preserve"> </w:t>
      </w:r>
      <w:proofErr w:type="spellStart"/>
      <w:r w:rsidR="0075055F" w:rsidRPr="003A4DB8">
        <w:t>aag</w:t>
      </w:r>
      <w:proofErr w:type="spellEnd"/>
      <w:r w:rsidR="0075055F" w:rsidRPr="003A4DB8">
        <w:t xml:space="preserve"> </w:t>
      </w:r>
      <w:proofErr w:type="spellStart"/>
      <w:r w:rsidR="0075055F" w:rsidRPr="003A4DB8">
        <w:t>tga</w:t>
      </w:r>
      <w:proofErr w:type="spellEnd"/>
      <w:r w:rsidR="0075055F" w:rsidRPr="003A4DB8">
        <w:t xml:space="preserve"> </w:t>
      </w:r>
      <w:proofErr w:type="spellStart"/>
      <w:r w:rsidR="0075055F" w:rsidRPr="003A4DB8">
        <w:t>tga</w:t>
      </w:r>
      <w:proofErr w:type="spellEnd"/>
      <w:r w:rsidR="0075055F" w:rsidRPr="003A4DB8">
        <w:t xml:space="preserve"> </w:t>
      </w:r>
      <w:proofErr w:type="spellStart"/>
      <w:r w:rsidR="0075055F" w:rsidRPr="003A4DB8">
        <w:t>aag</w:t>
      </w:r>
      <w:proofErr w:type="spellEnd"/>
      <w:r w:rsidR="0075055F" w:rsidRPr="003A4DB8">
        <w:t xml:space="preserve"> aac-3’) and wsp691R (5’-</w:t>
      </w:r>
      <w:proofErr w:type="gramStart"/>
      <w:r w:rsidR="0075055F" w:rsidRPr="003A4DB8">
        <w:t>aaa</w:t>
      </w:r>
      <w:proofErr w:type="gramEnd"/>
      <w:r w:rsidR="0075055F" w:rsidRPr="003A4DB8">
        <w:t xml:space="preserve"> </w:t>
      </w:r>
      <w:proofErr w:type="spellStart"/>
      <w:r w:rsidR="0075055F" w:rsidRPr="003A4DB8">
        <w:t>aat</w:t>
      </w:r>
      <w:proofErr w:type="spellEnd"/>
      <w:r w:rsidR="0075055F" w:rsidRPr="003A4DB8">
        <w:t xml:space="preserve"> </w:t>
      </w:r>
      <w:proofErr w:type="spellStart"/>
      <w:r w:rsidR="0075055F" w:rsidRPr="003A4DB8">
        <w:t>taa</w:t>
      </w:r>
      <w:proofErr w:type="spellEnd"/>
      <w:r w:rsidR="0075055F" w:rsidRPr="003A4DB8">
        <w:t xml:space="preserve"> </w:t>
      </w:r>
      <w:proofErr w:type="spellStart"/>
      <w:r w:rsidR="0075055F" w:rsidRPr="003A4DB8">
        <w:t>acg</w:t>
      </w:r>
      <w:proofErr w:type="spellEnd"/>
      <w:r w:rsidR="0075055F" w:rsidRPr="003A4DB8">
        <w:t xml:space="preserve"> </w:t>
      </w:r>
      <w:proofErr w:type="spellStart"/>
      <w:r w:rsidR="0075055F" w:rsidRPr="003A4DB8">
        <w:t>cta</w:t>
      </w:r>
      <w:proofErr w:type="spellEnd"/>
      <w:r w:rsidR="0075055F" w:rsidRPr="003A4DB8">
        <w:t xml:space="preserve"> </w:t>
      </w:r>
      <w:proofErr w:type="spellStart"/>
      <w:r w:rsidR="0075055F" w:rsidRPr="003A4DB8">
        <w:t>ctc</w:t>
      </w:r>
      <w:proofErr w:type="spellEnd"/>
      <w:r w:rsidR="0075055F" w:rsidRPr="003A4DB8">
        <w:t xml:space="preserve"> ca-3’) to amplify a portion of the </w:t>
      </w:r>
      <w:proofErr w:type="spellStart"/>
      <w:r w:rsidR="0075055F" w:rsidRPr="003A4DB8">
        <w:rPr>
          <w:i/>
        </w:rPr>
        <w:t>Wolbachia</w:t>
      </w:r>
      <w:proofErr w:type="spellEnd"/>
      <w:r w:rsidR="0075055F" w:rsidRPr="003A4DB8">
        <w:rPr>
          <w:i/>
        </w:rPr>
        <w:t xml:space="preserve"> </w:t>
      </w:r>
      <w:proofErr w:type="spellStart"/>
      <w:r w:rsidR="0075055F" w:rsidRPr="003A4DB8">
        <w:rPr>
          <w:i/>
        </w:rPr>
        <w:t>wsp</w:t>
      </w:r>
      <w:proofErr w:type="spellEnd"/>
      <w:r w:rsidR="0075055F" w:rsidRPr="003A4DB8">
        <w:t xml:space="preserve"> gene. The PCR consisted of 35 cycles of 94</w:t>
      </w:r>
      <w:r w:rsidR="0075055F">
        <w:t>°</w:t>
      </w:r>
      <w:r w:rsidR="0075055F" w:rsidRPr="003A4DB8">
        <w:t>C for 15 seconds, 55</w:t>
      </w:r>
      <w:r w:rsidR="0075055F">
        <w:t>°</w:t>
      </w:r>
      <w:r w:rsidR="0075055F" w:rsidRPr="003A4DB8">
        <w:t xml:space="preserve">C for </w:t>
      </w:r>
      <w:r w:rsidR="0075055F">
        <w:t>3</w:t>
      </w:r>
      <w:r w:rsidR="0075055F" w:rsidRPr="003A4DB8">
        <w:t>0 seconds and 72</w:t>
      </w:r>
      <w:r w:rsidR="0075055F">
        <w:t>°</w:t>
      </w:r>
      <w:r w:rsidR="0075055F" w:rsidRPr="003A4DB8">
        <w:t>C for 60 seconds.</w:t>
      </w:r>
      <w:r w:rsidR="0075055F">
        <w:t xml:space="preserve"> We used DGRP_101 and DGRP_105 as negative controls and DGRP_142 and DGRP_149 as positive controls.</w:t>
      </w:r>
      <w:r>
        <w:t xml:space="preserve"> We also </w:t>
      </w:r>
      <w:r w:rsidR="0075055F" w:rsidRPr="002E7C3A">
        <w:t>genotype</w:t>
      </w:r>
      <w:r>
        <w:t>d</w:t>
      </w:r>
      <w:r w:rsidR="0075055F" w:rsidRPr="002E7C3A">
        <w:t xml:space="preserve"> all DGRP lines for insertions of </w:t>
      </w:r>
      <w:proofErr w:type="spellStart"/>
      <w:r w:rsidR="0075055F" w:rsidRPr="002E7C3A">
        <w:rPr>
          <w:i/>
        </w:rPr>
        <w:t>Wolbachia</w:t>
      </w:r>
      <w:proofErr w:type="spellEnd"/>
      <w:r w:rsidR="0075055F" w:rsidRPr="002E7C3A">
        <w:rPr>
          <w:i/>
        </w:rPr>
        <w:t xml:space="preserve"> </w:t>
      </w:r>
      <w:r w:rsidR="0075055F" w:rsidRPr="002E7C3A">
        <w:t xml:space="preserve">genome at </w:t>
      </w:r>
      <w:r w:rsidR="0075055F" w:rsidRPr="002E7C3A">
        <w:rPr>
          <w:i/>
        </w:rPr>
        <w:t>2R</w:t>
      </w:r>
      <w:r w:rsidR="0075055F" w:rsidRPr="002E7C3A">
        <w:t xml:space="preserve">:16,594,660 and </w:t>
      </w:r>
      <w:r w:rsidR="0075055F" w:rsidRPr="002E7C3A">
        <w:rPr>
          <w:i/>
        </w:rPr>
        <w:t>2R</w:t>
      </w:r>
      <w:r w:rsidR="0075055F" w:rsidRPr="002E7C3A">
        <w:t xml:space="preserve">:19,117,791. All PCR conditions were as described above for the </w:t>
      </w:r>
      <w:proofErr w:type="spellStart"/>
      <w:r w:rsidR="0075055F" w:rsidRPr="002E7C3A">
        <w:rPr>
          <w:i/>
        </w:rPr>
        <w:t>wsp</w:t>
      </w:r>
      <w:proofErr w:type="spellEnd"/>
      <w:r w:rsidR="0075055F" w:rsidRPr="002E7C3A">
        <w:t xml:space="preserve"> primer set. For each insertion, </w:t>
      </w:r>
      <w:r w:rsidR="0075055F">
        <w:t xml:space="preserve">we performed </w:t>
      </w:r>
      <w:r w:rsidR="0075055F" w:rsidRPr="002E7C3A">
        <w:t>two PCR reactions using the combination of P1 + P3, and P1 + P2 (Fig.</w:t>
      </w:r>
      <w:r>
        <w:t xml:space="preserve"> </w:t>
      </w:r>
      <w:r w:rsidR="0075055F" w:rsidRPr="002E7C3A">
        <w:t xml:space="preserve">3). P1 + P3 hybridize to flanking sequences of the insertion site, and therefore the presence and absence of </w:t>
      </w:r>
      <w:proofErr w:type="spellStart"/>
      <w:r w:rsidR="0075055F" w:rsidRPr="002E7C3A">
        <w:rPr>
          <w:i/>
        </w:rPr>
        <w:t>Wolbachia</w:t>
      </w:r>
      <w:proofErr w:type="spellEnd"/>
      <w:r w:rsidR="0075055F" w:rsidRPr="002E7C3A">
        <w:t xml:space="preserve"> insertion produce different sized </w:t>
      </w:r>
      <w:proofErr w:type="spellStart"/>
      <w:r w:rsidR="0075055F" w:rsidRPr="002E7C3A">
        <w:t>amplicons</w:t>
      </w:r>
      <w:proofErr w:type="spellEnd"/>
      <w:r w:rsidR="0075055F" w:rsidRPr="002E7C3A">
        <w:t xml:space="preserve">. P2 hybridizes with the inserted </w:t>
      </w:r>
      <w:proofErr w:type="spellStart"/>
      <w:r w:rsidR="0075055F" w:rsidRPr="002E7C3A">
        <w:rPr>
          <w:i/>
        </w:rPr>
        <w:t>Wolbachia</w:t>
      </w:r>
      <w:proofErr w:type="spellEnd"/>
      <w:r w:rsidR="0075055F" w:rsidRPr="002E7C3A">
        <w:rPr>
          <w:i/>
        </w:rPr>
        <w:t xml:space="preserve"> </w:t>
      </w:r>
      <w:r w:rsidR="0075055F" w:rsidRPr="002E7C3A">
        <w:t xml:space="preserve">sequence, and therefore P1 + P2 only amplify when the insertion is present. For the </w:t>
      </w:r>
      <w:r w:rsidR="0075055F" w:rsidRPr="002E7C3A">
        <w:rPr>
          <w:i/>
        </w:rPr>
        <w:t>2R</w:t>
      </w:r>
      <w:r w:rsidR="0075055F" w:rsidRPr="002E7C3A">
        <w:t xml:space="preserve">:16,594,660 </w:t>
      </w:r>
      <w:r w:rsidR="0075055F" w:rsidRPr="002E7C3A">
        <w:lastRenderedPageBreak/>
        <w:t xml:space="preserve">insertion, the primer sequences are 5’-atg </w:t>
      </w:r>
      <w:proofErr w:type="spellStart"/>
      <w:r w:rsidR="0075055F" w:rsidRPr="002E7C3A">
        <w:t>acc</w:t>
      </w:r>
      <w:proofErr w:type="spellEnd"/>
      <w:r w:rsidR="0075055F" w:rsidRPr="002E7C3A">
        <w:t xml:space="preserve"> tag </w:t>
      </w:r>
      <w:proofErr w:type="spellStart"/>
      <w:r w:rsidR="0075055F" w:rsidRPr="002E7C3A">
        <w:t>gcg</w:t>
      </w:r>
      <w:proofErr w:type="spellEnd"/>
      <w:r w:rsidR="0075055F" w:rsidRPr="002E7C3A">
        <w:t xml:space="preserve"> </w:t>
      </w:r>
      <w:proofErr w:type="spellStart"/>
      <w:r w:rsidR="0075055F" w:rsidRPr="002E7C3A">
        <w:t>aac</w:t>
      </w:r>
      <w:proofErr w:type="spellEnd"/>
      <w:r w:rsidR="0075055F" w:rsidRPr="002E7C3A">
        <w:t xml:space="preserve"> gat tg-3’ for P1, 5’-cgc </w:t>
      </w:r>
      <w:proofErr w:type="spellStart"/>
      <w:r w:rsidR="0075055F" w:rsidRPr="002E7C3A">
        <w:t>ttg</w:t>
      </w:r>
      <w:proofErr w:type="spellEnd"/>
      <w:r w:rsidR="0075055F" w:rsidRPr="002E7C3A">
        <w:t xml:space="preserve"> </w:t>
      </w:r>
      <w:proofErr w:type="spellStart"/>
      <w:r w:rsidR="0075055F" w:rsidRPr="002E7C3A">
        <w:t>caa</w:t>
      </w:r>
      <w:proofErr w:type="spellEnd"/>
      <w:r w:rsidR="0075055F" w:rsidRPr="002E7C3A">
        <w:t xml:space="preserve"> gag </w:t>
      </w:r>
      <w:proofErr w:type="spellStart"/>
      <w:r w:rsidR="0075055F" w:rsidRPr="002E7C3A">
        <w:t>gta</w:t>
      </w:r>
      <w:proofErr w:type="spellEnd"/>
      <w:r w:rsidR="0075055F" w:rsidRPr="002E7C3A">
        <w:t xml:space="preserve"> </w:t>
      </w:r>
      <w:proofErr w:type="spellStart"/>
      <w:r w:rsidR="0075055F" w:rsidRPr="002E7C3A">
        <w:t>cac</w:t>
      </w:r>
      <w:proofErr w:type="spellEnd"/>
      <w:r w:rsidR="0075055F" w:rsidRPr="002E7C3A">
        <w:t xml:space="preserve"> tg-3’ for P2, and 5’-tgg </w:t>
      </w:r>
      <w:proofErr w:type="spellStart"/>
      <w:r w:rsidR="0075055F" w:rsidRPr="002E7C3A">
        <w:t>cct</w:t>
      </w:r>
      <w:proofErr w:type="spellEnd"/>
      <w:r w:rsidR="0075055F" w:rsidRPr="002E7C3A">
        <w:t xml:space="preserve"> </w:t>
      </w:r>
      <w:proofErr w:type="spellStart"/>
      <w:proofErr w:type="gramStart"/>
      <w:r w:rsidR="0075055F" w:rsidRPr="002E7C3A">
        <w:t>gct</w:t>
      </w:r>
      <w:proofErr w:type="spellEnd"/>
      <w:proofErr w:type="gramEnd"/>
      <w:r w:rsidR="0075055F" w:rsidRPr="002E7C3A">
        <w:t xml:space="preserve"> </w:t>
      </w:r>
      <w:proofErr w:type="spellStart"/>
      <w:r w:rsidR="0075055F" w:rsidRPr="002E7C3A">
        <w:t>gaa</w:t>
      </w:r>
      <w:proofErr w:type="spellEnd"/>
      <w:r w:rsidR="0075055F" w:rsidRPr="002E7C3A">
        <w:t xml:space="preserve"> </w:t>
      </w:r>
      <w:proofErr w:type="spellStart"/>
      <w:r w:rsidR="0075055F" w:rsidRPr="002E7C3A">
        <w:t>gct</w:t>
      </w:r>
      <w:proofErr w:type="spellEnd"/>
      <w:r w:rsidR="0075055F" w:rsidRPr="002E7C3A">
        <w:t xml:space="preserve"> </w:t>
      </w:r>
      <w:proofErr w:type="spellStart"/>
      <w:r w:rsidR="0075055F" w:rsidRPr="002E7C3A">
        <w:t>aaa</w:t>
      </w:r>
      <w:proofErr w:type="spellEnd"/>
      <w:r w:rsidR="0075055F" w:rsidRPr="002E7C3A">
        <w:t xml:space="preserve"> at-3’ for P3. For the </w:t>
      </w:r>
      <w:r w:rsidR="0075055F" w:rsidRPr="002E7C3A">
        <w:rPr>
          <w:i/>
        </w:rPr>
        <w:t>2R</w:t>
      </w:r>
      <w:r w:rsidR="0075055F" w:rsidRPr="002E7C3A">
        <w:t xml:space="preserve">:19,117,791 </w:t>
      </w:r>
      <w:proofErr w:type="gramStart"/>
      <w:r w:rsidR="0075055F" w:rsidRPr="002E7C3A">
        <w:t>insertion</w:t>
      </w:r>
      <w:proofErr w:type="gramEnd"/>
      <w:r w:rsidR="0075055F" w:rsidRPr="002E7C3A">
        <w:t xml:space="preserve">, the primer sequences are 5’-gcc </w:t>
      </w:r>
      <w:proofErr w:type="spellStart"/>
      <w:r w:rsidR="0075055F" w:rsidRPr="002E7C3A">
        <w:t>ccg</w:t>
      </w:r>
      <w:proofErr w:type="spellEnd"/>
      <w:r w:rsidR="0075055F" w:rsidRPr="002E7C3A">
        <w:t xml:space="preserve"> </w:t>
      </w:r>
      <w:proofErr w:type="spellStart"/>
      <w:r w:rsidR="0075055F" w:rsidRPr="002E7C3A">
        <w:t>aag</w:t>
      </w:r>
      <w:proofErr w:type="spellEnd"/>
      <w:r w:rsidR="0075055F" w:rsidRPr="002E7C3A">
        <w:t xml:space="preserve"> </w:t>
      </w:r>
      <w:proofErr w:type="spellStart"/>
      <w:r w:rsidR="0075055F" w:rsidRPr="002E7C3A">
        <w:t>aca</w:t>
      </w:r>
      <w:proofErr w:type="spellEnd"/>
      <w:r w:rsidR="0075055F" w:rsidRPr="002E7C3A">
        <w:t xml:space="preserve"> cat tag aa-3’ for P1, 5’-tcc </w:t>
      </w:r>
      <w:proofErr w:type="spellStart"/>
      <w:r w:rsidR="0075055F" w:rsidRPr="002E7C3A">
        <w:t>ttc</w:t>
      </w:r>
      <w:proofErr w:type="spellEnd"/>
      <w:r w:rsidR="0075055F" w:rsidRPr="002E7C3A">
        <w:t xml:space="preserve"> gat </w:t>
      </w:r>
      <w:proofErr w:type="spellStart"/>
      <w:r w:rsidR="0075055F" w:rsidRPr="002E7C3A">
        <w:t>aat</w:t>
      </w:r>
      <w:proofErr w:type="spellEnd"/>
      <w:r w:rsidR="0075055F" w:rsidRPr="002E7C3A">
        <w:t xml:space="preserve"> </w:t>
      </w:r>
      <w:proofErr w:type="spellStart"/>
      <w:r w:rsidR="0075055F" w:rsidRPr="002E7C3A">
        <w:t>ttt</w:t>
      </w:r>
      <w:proofErr w:type="spellEnd"/>
      <w:r w:rsidR="0075055F" w:rsidRPr="002E7C3A">
        <w:t xml:space="preserve"> </w:t>
      </w:r>
      <w:proofErr w:type="spellStart"/>
      <w:r w:rsidR="0075055F" w:rsidRPr="002E7C3A">
        <w:t>tgc</w:t>
      </w:r>
      <w:proofErr w:type="spellEnd"/>
      <w:r w:rsidR="0075055F" w:rsidRPr="002E7C3A">
        <w:t xml:space="preserve"> </w:t>
      </w:r>
      <w:proofErr w:type="spellStart"/>
      <w:r w:rsidR="0075055F" w:rsidRPr="002E7C3A">
        <w:t>ctt</w:t>
      </w:r>
      <w:proofErr w:type="spellEnd"/>
      <w:r w:rsidR="0075055F" w:rsidRPr="002E7C3A">
        <w:t xml:space="preserve"> t-3’ for P2, and 5’-act </w:t>
      </w:r>
      <w:proofErr w:type="spellStart"/>
      <w:r w:rsidR="0075055F" w:rsidRPr="002E7C3A">
        <w:t>gga</w:t>
      </w:r>
      <w:proofErr w:type="spellEnd"/>
      <w:r w:rsidR="0075055F" w:rsidRPr="002E7C3A">
        <w:t xml:space="preserve"> </w:t>
      </w:r>
      <w:proofErr w:type="spellStart"/>
      <w:r w:rsidR="0075055F" w:rsidRPr="002E7C3A">
        <w:t>aca</w:t>
      </w:r>
      <w:proofErr w:type="spellEnd"/>
      <w:r w:rsidR="0075055F" w:rsidRPr="002E7C3A">
        <w:t xml:space="preserve"> </w:t>
      </w:r>
      <w:proofErr w:type="spellStart"/>
      <w:r w:rsidR="0075055F" w:rsidRPr="002E7C3A">
        <w:t>atg</w:t>
      </w:r>
      <w:proofErr w:type="spellEnd"/>
      <w:r w:rsidR="0075055F" w:rsidRPr="002E7C3A">
        <w:t xml:space="preserve"> </w:t>
      </w:r>
      <w:proofErr w:type="spellStart"/>
      <w:r w:rsidR="0075055F" w:rsidRPr="002E7C3A">
        <w:t>cca</w:t>
      </w:r>
      <w:proofErr w:type="spellEnd"/>
      <w:r w:rsidR="0075055F" w:rsidRPr="002E7C3A">
        <w:t xml:space="preserve"> </w:t>
      </w:r>
      <w:proofErr w:type="spellStart"/>
      <w:r w:rsidR="0075055F" w:rsidRPr="002E7C3A">
        <w:t>agt</w:t>
      </w:r>
      <w:proofErr w:type="spellEnd"/>
      <w:r w:rsidR="0075055F" w:rsidRPr="002E7C3A">
        <w:t xml:space="preserve"> cc-3’. PCRs were performed by 35 cycles of 94°C for 15 seconds, 55°C for 30 seconds and 72°C for 60 seconds. </w:t>
      </w:r>
    </w:p>
    <w:p w:rsidR="00CA1CA0" w:rsidRDefault="00CA1CA0" w:rsidP="00CA1CA0">
      <w:pPr>
        <w:widowControl w:val="0"/>
        <w:autoSpaceDE w:val="0"/>
        <w:autoSpaceDN w:val="0"/>
        <w:adjustRightInd w:val="0"/>
        <w:spacing w:after="0" w:line="360" w:lineRule="auto"/>
        <w:jc w:val="both"/>
        <w:rPr>
          <w:b/>
          <w:color w:val="000000"/>
        </w:rPr>
      </w:pPr>
    </w:p>
    <w:p w:rsidR="00CA1CA0" w:rsidRPr="00461535" w:rsidRDefault="00CA1CA0" w:rsidP="00CA1CA0">
      <w:pPr>
        <w:widowControl w:val="0"/>
        <w:autoSpaceDE w:val="0"/>
        <w:autoSpaceDN w:val="0"/>
        <w:adjustRightInd w:val="0"/>
        <w:spacing w:after="0" w:line="360" w:lineRule="auto"/>
        <w:jc w:val="both"/>
        <w:rPr>
          <w:b/>
          <w:color w:val="000000"/>
        </w:rPr>
      </w:pPr>
      <w:r>
        <w:rPr>
          <w:b/>
          <w:color w:val="000000"/>
        </w:rPr>
        <w:t>Population genomics</w:t>
      </w:r>
    </w:p>
    <w:p w:rsidR="008627D5" w:rsidRDefault="00CA1CA0" w:rsidP="00540AAC">
      <w:pPr>
        <w:widowControl w:val="0"/>
        <w:autoSpaceDE w:val="0"/>
        <w:autoSpaceDN w:val="0"/>
        <w:adjustRightInd w:val="0"/>
        <w:spacing w:after="0" w:line="360" w:lineRule="auto"/>
      </w:pPr>
      <w:r w:rsidRPr="00BA6BDF">
        <w:t>We followed a strict pro</w:t>
      </w:r>
      <w:r>
        <w:t xml:space="preserve">tocol </w:t>
      </w:r>
      <w:r w:rsidRPr="00BA6BDF">
        <w:t xml:space="preserve">to polarize </w:t>
      </w:r>
      <w:proofErr w:type="spellStart"/>
      <w:r w:rsidRPr="00BA6BDF">
        <w:t>indel</w:t>
      </w:r>
      <w:proofErr w:type="spellEnd"/>
      <w:r w:rsidRPr="00BA6BDF">
        <w:t xml:space="preserve"> alleles</w:t>
      </w:r>
      <w:r>
        <w:t xml:space="preserve">. </w:t>
      </w:r>
      <w:r w:rsidRPr="00BA6BDF">
        <w:t>(</w:t>
      </w:r>
      <w:proofErr w:type="spellStart"/>
      <w:r>
        <w:t>i</w:t>
      </w:r>
      <w:proofErr w:type="spellEnd"/>
      <w:r w:rsidRPr="00BA6BDF">
        <w:t xml:space="preserve">) </w:t>
      </w:r>
      <w:r>
        <w:t>F</w:t>
      </w:r>
      <w:r w:rsidRPr="00BA6BDF">
        <w:t xml:space="preserve">or each </w:t>
      </w:r>
      <w:proofErr w:type="spellStart"/>
      <w:r>
        <w:t>b</w:t>
      </w:r>
      <w:r w:rsidRPr="00BA6BDF">
        <w:t>iallelic</w:t>
      </w:r>
      <w:proofErr w:type="spellEnd"/>
      <w:r w:rsidRPr="00BA6BDF">
        <w:t xml:space="preserve"> </w:t>
      </w:r>
      <w:proofErr w:type="spellStart"/>
      <w:r w:rsidRPr="00BA6BDF">
        <w:t>indel</w:t>
      </w:r>
      <w:proofErr w:type="spellEnd"/>
      <w:r>
        <w:t xml:space="preserve">, we added </w:t>
      </w:r>
      <w:r w:rsidRPr="00BA6BDF">
        <w:t xml:space="preserve">100 nucleotides </w:t>
      </w:r>
      <w:r>
        <w:t xml:space="preserve">5’ and 3’ </w:t>
      </w:r>
      <w:r w:rsidRPr="00BA6BDF">
        <w:t>from the reference sequence</w:t>
      </w:r>
      <w:r>
        <w:t xml:space="preserve">. (ii) We blasted </w:t>
      </w:r>
      <w:r w:rsidRPr="00BA6BDF">
        <w:t xml:space="preserve">both allelic sequences </w:t>
      </w:r>
      <w:r>
        <w:t xml:space="preserve">to </w:t>
      </w:r>
      <w:r w:rsidRPr="00BA6BDF">
        <w:rPr>
          <w:i/>
        </w:rPr>
        <w:t xml:space="preserve">D. </w:t>
      </w:r>
      <w:proofErr w:type="spellStart"/>
      <w:r w:rsidRPr="00BA6BDF">
        <w:rPr>
          <w:i/>
        </w:rPr>
        <w:t>simulans</w:t>
      </w:r>
      <w:proofErr w:type="spellEnd"/>
      <w:r>
        <w:t>, retaining t</w:t>
      </w:r>
      <w:r w:rsidRPr="00BA6BDF">
        <w:t xml:space="preserve">he longest </w:t>
      </w:r>
      <w:r w:rsidRPr="00BA6BDF">
        <w:rPr>
          <w:i/>
        </w:rPr>
        <w:t xml:space="preserve">D. </w:t>
      </w:r>
      <w:proofErr w:type="spellStart"/>
      <w:r w:rsidRPr="00BA6BDF">
        <w:rPr>
          <w:i/>
        </w:rPr>
        <w:t>simulans</w:t>
      </w:r>
      <w:proofErr w:type="spellEnd"/>
      <w:r w:rsidRPr="00BA6BDF">
        <w:rPr>
          <w:i/>
        </w:rPr>
        <w:t xml:space="preserve"> </w:t>
      </w:r>
      <w:r w:rsidRPr="00BA6BDF">
        <w:t xml:space="preserve">sequence from both blast results for the next step. </w:t>
      </w:r>
      <w:r>
        <w:t>We discarded b</w:t>
      </w:r>
      <w:r w:rsidRPr="00BA6BDF">
        <w:t xml:space="preserve">last results with multiple hits </w:t>
      </w:r>
      <w:r>
        <w:t xml:space="preserve">and required that a </w:t>
      </w:r>
      <w:r w:rsidRPr="00BA6BDF">
        <w:t xml:space="preserve">valid hit must include at least 80% of </w:t>
      </w:r>
      <w:r>
        <w:t xml:space="preserve">the </w:t>
      </w:r>
      <w:r w:rsidRPr="00BA6BDF">
        <w:t xml:space="preserve">added nucleotides in step </w:t>
      </w:r>
      <w:r>
        <w:t>(</w:t>
      </w:r>
      <w:proofErr w:type="spellStart"/>
      <w:r>
        <w:t>i</w:t>
      </w:r>
      <w:proofErr w:type="spellEnd"/>
      <w:r>
        <w:t>)</w:t>
      </w:r>
      <w:r w:rsidRPr="00BA6BDF">
        <w:t xml:space="preserve">. Because larger </w:t>
      </w:r>
      <w:proofErr w:type="spellStart"/>
      <w:r w:rsidRPr="00BA6BDF">
        <w:t>indels</w:t>
      </w:r>
      <w:proofErr w:type="spellEnd"/>
      <w:r w:rsidRPr="00BA6BDF">
        <w:t xml:space="preserve"> do not always result in a valid blast alignment, we required valid blast hits for both alleles for </w:t>
      </w:r>
      <w:proofErr w:type="spellStart"/>
      <w:r w:rsidRPr="00BA6BDF">
        <w:t>indels</w:t>
      </w:r>
      <w:proofErr w:type="spellEnd"/>
      <w:r w:rsidRPr="00BA6BDF">
        <w:t xml:space="preserve"> </w:t>
      </w:r>
      <w:r w:rsidRPr="00BA6BDF">
        <w:rPr>
          <w:rFonts w:cs="Calibri"/>
        </w:rPr>
        <w:t>≤</w:t>
      </w:r>
      <w:r w:rsidRPr="00BA6BDF">
        <w:t xml:space="preserve"> 25 </w:t>
      </w:r>
      <w:proofErr w:type="spellStart"/>
      <w:r w:rsidRPr="00BA6BDF">
        <w:t>bp</w:t>
      </w:r>
      <w:proofErr w:type="spellEnd"/>
      <w:r w:rsidRPr="00BA6BDF">
        <w:t xml:space="preserve">, while for </w:t>
      </w:r>
      <w:proofErr w:type="spellStart"/>
      <w:r w:rsidRPr="00BA6BDF">
        <w:t>indels</w:t>
      </w:r>
      <w:proofErr w:type="spellEnd"/>
      <w:r w:rsidRPr="00BA6BDF">
        <w:t xml:space="preserve"> &gt; 25 </w:t>
      </w:r>
      <w:proofErr w:type="spellStart"/>
      <w:r w:rsidRPr="00BA6BDF">
        <w:t>bp</w:t>
      </w:r>
      <w:proofErr w:type="spellEnd"/>
      <w:r w:rsidRPr="00BA6BDF">
        <w:t xml:space="preserve"> only one valid hit for any of the two alleles was considered </w:t>
      </w:r>
      <w:r>
        <w:t>sufficient. (iii) We simultaneously aligned b</w:t>
      </w:r>
      <w:r w:rsidRPr="00BA6BDF">
        <w:t xml:space="preserve">oth </w:t>
      </w:r>
      <w:proofErr w:type="spellStart"/>
      <w:r>
        <w:t>indel</w:t>
      </w:r>
      <w:proofErr w:type="spellEnd"/>
      <w:r>
        <w:t xml:space="preserve"> </w:t>
      </w:r>
      <w:r w:rsidRPr="00BA6BDF">
        <w:t>allel</w:t>
      </w:r>
      <w:r>
        <w:t>e</w:t>
      </w:r>
      <w:r w:rsidRPr="00BA6BDF">
        <w:t xml:space="preserve"> sequences plus the </w:t>
      </w:r>
      <w:r>
        <w:t xml:space="preserve">corresponding </w:t>
      </w:r>
      <w:r w:rsidRPr="00BA6BDF">
        <w:rPr>
          <w:i/>
        </w:rPr>
        <w:t xml:space="preserve">D. </w:t>
      </w:r>
      <w:proofErr w:type="spellStart"/>
      <w:r w:rsidRPr="00BA6BDF">
        <w:rPr>
          <w:i/>
        </w:rPr>
        <w:t>simulans</w:t>
      </w:r>
      <w:proofErr w:type="spellEnd"/>
      <w:r w:rsidRPr="00BA6BDF">
        <w:t xml:space="preserve"> sequence using MAFFT software (</w:t>
      </w:r>
      <w:proofErr w:type="spellStart"/>
      <w:r w:rsidRPr="00BA6BDF">
        <w:t>Katoh</w:t>
      </w:r>
      <w:proofErr w:type="spellEnd"/>
      <w:r w:rsidRPr="00BA6BDF">
        <w:t xml:space="preserve"> </w:t>
      </w:r>
      <w:r>
        <w:t>and</w:t>
      </w:r>
      <w:r w:rsidRPr="00BA6BDF">
        <w:t xml:space="preserve"> </w:t>
      </w:r>
      <w:proofErr w:type="spellStart"/>
      <w:r w:rsidRPr="00BA6BDF">
        <w:t>Standley</w:t>
      </w:r>
      <w:proofErr w:type="spellEnd"/>
      <w:r>
        <w:t>,</w:t>
      </w:r>
      <w:r w:rsidRPr="00BA6BDF">
        <w:t xml:space="preserve"> 2013) </w:t>
      </w:r>
      <w:r>
        <w:t xml:space="preserve">using the </w:t>
      </w:r>
      <w:r w:rsidRPr="00BA6BDF">
        <w:t>'--</w:t>
      </w:r>
      <w:proofErr w:type="spellStart"/>
      <w:r w:rsidRPr="00BA6BDF">
        <w:t>globalpair</w:t>
      </w:r>
      <w:proofErr w:type="spellEnd"/>
      <w:r w:rsidRPr="00BA6BDF">
        <w:t xml:space="preserve"> --</w:t>
      </w:r>
      <w:proofErr w:type="spellStart"/>
      <w:r w:rsidRPr="00BA6BDF">
        <w:t>maxiterate</w:t>
      </w:r>
      <w:proofErr w:type="spellEnd"/>
      <w:r w:rsidRPr="00BA6BDF">
        <w:t xml:space="preserve"> 20' options</w:t>
      </w:r>
      <w:r>
        <w:t xml:space="preserve">. This gave comparable results </w:t>
      </w:r>
      <w:r w:rsidRPr="00BA6BDF">
        <w:t xml:space="preserve">compared with other alignment software such as </w:t>
      </w:r>
      <w:proofErr w:type="spellStart"/>
      <w:r w:rsidRPr="00BA6BDF">
        <w:t>ClustalOmega</w:t>
      </w:r>
      <w:proofErr w:type="spellEnd"/>
      <w:r w:rsidRPr="00BA6BDF">
        <w:t xml:space="preserve"> (</w:t>
      </w:r>
      <w:proofErr w:type="spellStart"/>
      <w:r w:rsidRPr="00BA6BDF">
        <w:t>Sievers</w:t>
      </w:r>
      <w:proofErr w:type="spellEnd"/>
      <w:r w:rsidRPr="00BA6BDF">
        <w:t xml:space="preserve"> </w:t>
      </w:r>
      <w:r w:rsidRPr="00D2349A">
        <w:rPr>
          <w:i/>
        </w:rPr>
        <w:t>et al</w:t>
      </w:r>
      <w:r w:rsidRPr="00BA6BDF">
        <w:t>.</w:t>
      </w:r>
      <w:r>
        <w:t>,</w:t>
      </w:r>
      <w:r w:rsidRPr="00BA6BDF">
        <w:t xml:space="preserve"> 2011), </w:t>
      </w:r>
      <w:proofErr w:type="spellStart"/>
      <w:r w:rsidRPr="00BA6BDF">
        <w:t>TCoffe</w:t>
      </w:r>
      <w:proofErr w:type="spellEnd"/>
      <w:r w:rsidRPr="00BA6BDF">
        <w:t xml:space="preserve"> (</w:t>
      </w:r>
      <w:proofErr w:type="spellStart"/>
      <w:r w:rsidRPr="00BA6BDF">
        <w:t>Notredame</w:t>
      </w:r>
      <w:proofErr w:type="spellEnd"/>
      <w:r w:rsidRPr="00BA6BDF">
        <w:t xml:space="preserve"> </w:t>
      </w:r>
      <w:r w:rsidRPr="00D2349A">
        <w:rPr>
          <w:i/>
        </w:rPr>
        <w:t>et al</w:t>
      </w:r>
      <w:r w:rsidRPr="00BA6BDF">
        <w:t>.</w:t>
      </w:r>
      <w:r>
        <w:t>,</w:t>
      </w:r>
      <w:r w:rsidRPr="00BA6BDF">
        <w:t xml:space="preserve"> 2000) and MUSCLE (Edgar</w:t>
      </w:r>
      <w:r>
        <w:t>,</w:t>
      </w:r>
      <w:r w:rsidRPr="00BA6BDF">
        <w:t xml:space="preserve"> 2004)</w:t>
      </w:r>
      <w:r>
        <w:t xml:space="preserve">. </w:t>
      </w:r>
      <w:proofErr w:type="gramStart"/>
      <w:r>
        <w:t>(iv) We</w:t>
      </w:r>
      <w:proofErr w:type="gramEnd"/>
      <w:r>
        <w:t xml:space="preserve"> trimmed the </w:t>
      </w:r>
      <w:r w:rsidRPr="00BA6BDF">
        <w:t xml:space="preserve">alignment at 25 </w:t>
      </w:r>
      <w:proofErr w:type="spellStart"/>
      <w:r w:rsidRPr="00BA6BDF">
        <w:t>bp</w:t>
      </w:r>
      <w:proofErr w:type="spellEnd"/>
      <w:r w:rsidRPr="00BA6BDF">
        <w:t xml:space="preserve"> before and after the </w:t>
      </w:r>
      <w:proofErr w:type="spellStart"/>
      <w:r w:rsidRPr="00BA6BDF">
        <w:t>indel</w:t>
      </w:r>
      <w:proofErr w:type="spellEnd"/>
      <w:r w:rsidRPr="00BA6BDF">
        <w:t xml:space="preserve"> initial and end coordinates, respectively. </w:t>
      </w:r>
      <w:r>
        <w:t>We assigned d</w:t>
      </w:r>
      <w:r w:rsidRPr="00BA6BDF">
        <w:t>erived allele status to th</w:t>
      </w:r>
      <w:r>
        <w:t>e</w:t>
      </w:r>
      <w:r w:rsidRPr="00BA6BDF">
        <w:t xml:space="preserve"> allele sequence which differs from the </w:t>
      </w:r>
      <w:r w:rsidRPr="00BA6BDF">
        <w:rPr>
          <w:i/>
        </w:rPr>
        <w:t xml:space="preserve">D. </w:t>
      </w:r>
      <w:proofErr w:type="spellStart"/>
      <w:r w:rsidRPr="00BA6BDF">
        <w:rPr>
          <w:i/>
        </w:rPr>
        <w:t>simulans</w:t>
      </w:r>
      <w:proofErr w:type="spellEnd"/>
      <w:r w:rsidRPr="00BA6BDF">
        <w:rPr>
          <w:i/>
        </w:rPr>
        <w:t xml:space="preserve"> </w:t>
      </w:r>
      <w:r w:rsidRPr="00BA6BDF">
        <w:t xml:space="preserve">sequence in this alignment region. From the trimmed alignment we discarded any fixed </w:t>
      </w:r>
      <w:proofErr w:type="spellStart"/>
      <w:r w:rsidRPr="00BA6BDF">
        <w:t>indels</w:t>
      </w:r>
      <w:proofErr w:type="spellEnd"/>
      <w:r w:rsidRPr="00BA6BDF">
        <w:t xml:space="preserve"> between </w:t>
      </w:r>
      <w:r w:rsidRPr="00BA6BDF">
        <w:rPr>
          <w:i/>
        </w:rPr>
        <w:t xml:space="preserve">D. </w:t>
      </w:r>
      <w:proofErr w:type="spellStart"/>
      <w:r w:rsidRPr="00BA6BDF">
        <w:rPr>
          <w:i/>
        </w:rPr>
        <w:t>simulans</w:t>
      </w:r>
      <w:proofErr w:type="spellEnd"/>
      <w:r w:rsidRPr="00BA6BDF">
        <w:rPr>
          <w:i/>
        </w:rPr>
        <w:t xml:space="preserve"> </w:t>
      </w:r>
      <w:r w:rsidRPr="00BA6BDF">
        <w:t xml:space="preserve">and </w:t>
      </w:r>
      <w:r w:rsidRPr="00BA6BDF">
        <w:rPr>
          <w:i/>
        </w:rPr>
        <w:t>D. melanogaster</w:t>
      </w:r>
      <w:r w:rsidRPr="00BA6BDF">
        <w:t>, or any partially overlapping gap</w:t>
      </w:r>
      <w:r>
        <w:t>. (v) We determined i</w:t>
      </w:r>
      <w:r w:rsidRPr="00BA6BDF">
        <w:t xml:space="preserve">nsertion or deletion status </w:t>
      </w:r>
      <w:r>
        <w:t xml:space="preserve">based on whether </w:t>
      </w:r>
      <w:r w:rsidRPr="00BA6BDF">
        <w:t xml:space="preserve">the derived allele sequence adds or removes nucleotides compared with </w:t>
      </w:r>
      <w:r w:rsidRPr="00BA6BDF">
        <w:rPr>
          <w:i/>
        </w:rPr>
        <w:t xml:space="preserve">D. </w:t>
      </w:r>
      <w:proofErr w:type="spellStart"/>
      <w:r w:rsidRPr="00BA6BDF">
        <w:rPr>
          <w:i/>
        </w:rPr>
        <w:t>simulans</w:t>
      </w:r>
      <w:proofErr w:type="spellEnd"/>
      <w:r w:rsidRPr="00BA6BDF">
        <w:rPr>
          <w:i/>
        </w:rPr>
        <w:t>.</w:t>
      </w:r>
      <w:r w:rsidRPr="00BA6BDF">
        <w:t xml:space="preserve"> </w:t>
      </w:r>
    </w:p>
    <w:p w:rsidR="00304423" w:rsidRPr="00304423" w:rsidRDefault="00304423" w:rsidP="00304423">
      <w:pPr>
        <w:rPr>
          <w:lang w:eastAsia="ca-ES"/>
        </w:rPr>
      </w:pPr>
    </w:p>
    <w:p w:rsidR="00532F33" w:rsidRPr="00532F33" w:rsidRDefault="00532F33">
      <w:r>
        <w:t xml:space="preserve"> </w:t>
      </w:r>
    </w:p>
    <w:sectPr w:rsidR="00532F33" w:rsidRPr="00532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3"/>
    <w:rsid w:val="001B5513"/>
    <w:rsid w:val="002A21F1"/>
    <w:rsid w:val="00304423"/>
    <w:rsid w:val="003B3496"/>
    <w:rsid w:val="00503595"/>
    <w:rsid w:val="00532F33"/>
    <w:rsid w:val="00540AAC"/>
    <w:rsid w:val="005E4A76"/>
    <w:rsid w:val="00631078"/>
    <w:rsid w:val="00704274"/>
    <w:rsid w:val="0075055F"/>
    <w:rsid w:val="0079632E"/>
    <w:rsid w:val="00852316"/>
    <w:rsid w:val="008627D5"/>
    <w:rsid w:val="00BB6478"/>
    <w:rsid w:val="00CA1CA0"/>
    <w:rsid w:val="00D34586"/>
    <w:rsid w:val="00D7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2F33"/>
    <w:pPr>
      <w:keepNext/>
      <w:spacing w:before="240" w:after="60"/>
      <w:outlineLvl w:val="0"/>
    </w:pPr>
    <w:rPr>
      <w:rFonts w:ascii="Cambria" w:eastAsia="Times New Roman" w:hAnsi="Cambria" w:cs="Times New Roman"/>
      <w:b/>
      <w:bCs/>
      <w:kern w:val="32"/>
      <w:sz w:val="32"/>
      <w:szCs w:val="32"/>
      <w:lang w:eastAsia="ca-ES"/>
    </w:rPr>
  </w:style>
  <w:style w:type="paragraph" w:styleId="Heading4">
    <w:name w:val="heading 4"/>
    <w:basedOn w:val="Normal"/>
    <w:next w:val="Normal"/>
    <w:link w:val="Heading4Char"/>
    <w:uiPriority w:val="9"/>
    <w:semiHidden/>
    <w:unhideWhenUsed/>
    <w:qFormat/>
    <w:rsid w:val="008627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33"/>
    <w:rPr>
      <w:rFonts w:ascii="Cambria" w:eastAsia="Times New Roman" w:hAnsi="Cambria" w:cs="Times New Roman"/>
      <w:b/>
      <w:bCs/>
      <w:kern w:val="32"/>
      <w:sz w:val="32"/>
      <w:szCs w:val="32"/>
      <w:lang w:eastAsia="ca-ES"/>
    </w:rPr>
  </w:style>
  <w:style w:type="character" w:styleId="Hyperlink">
    <w:name w:val="Hyperlink"/>
    <w:uiPriority w:val="99"/>
    <w:unhideWhenUsed/>
    <w:rsid w:val="00304423"/>
    <w:rPr>
      <w:color w:val="0000FF"/>
      <w:u w:val="single"/>
    </w:rPr>
  </w:style>
  <w:style w:type="character" w:customStyle="1" w:styleId="Heading4Char">
    <w:name w:val="Heading 4 Char"/>
    <w:basedOn w:val="DefaultParagraphFont"/>
    <w:link w:val="Heading4"/>
    <w:uiPriority w:val="9"/>
    <w:semiHidden/>
    <w:rsid w:val="008627D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2F33"/>
    <w:pPr>
      <w:keepNext/>
      <w:spacing w:before="240" w:after="60"/>
      <w:outlineLvl w:val="0"/>
    </w:pPr>
    <w:rPr>
      <w:rFonts w:ascii="Cambria" w:eastAsia="Times New Roman" w:hAnsi="Cambria" w:cs="Times New Roman"/>
      <w:b/>
      <w:bCs/>
      <w:kern w:val="32"/>
      <w:sz w:val="32"/>
      <w:szCs w:val="32"/>
      <w:lang w:eastAsia="ca-ES"/>
    </w:rPr>
  </w:style>
  <w:style w:type="paragraph" w:styleId="Heading4">
    <w:name w:val="heading 4"/>
    <w:basedOn w:val="Normal"/>
    <w:next w:val="Normal"/>
    <w:link w:val="Heading4Char"/>
    <w:uiPriority w:val="9"/>
    <w:semiHidden/>
    <w:unhideWhenUsed/>
    <w:qFormat/>
    <w:rsid w:val="008627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33"/>
    <w:rPr>
      <w:rFonts w:ascii="Cambria" w:eastAsia="Times New Roman" w:hAnsi="Cambria" w:cs="Times New Roman"/>
      <w:b/>
      <w:bCs/>
      <w:kern w:val="32"/>
      <w:sz w:val="32"/>
      <w:szCs w:val="32"/>
      <w:lang w:eastAsia="ca-ES"/>
    </w:rPr>
  </w:style>
  <w:style w:type="character" w:styleId="Hyperlink">
    <w:name w:val="Hyperlink"/>
    <w:uiPriority w:val="99"/>
    <w:unhideWhenUsed/>
    <w:rsid w:val="00304423"/>
    <w:rPr>
      <w:color w:val="0000FF"/>
      <w:u w:val="single"/>
    </w:rPr>
  </w:style>
  <w:style w:type="character" w:customStyle="1" w:styleId="Heading4Char">
    <w:name w:val="Heading 4 Char"/>
    <w:basedOn w:val="DefaultParagraphFont"/>
    <w:link w:val="Heading4"/>
    <w:uiPriority w:val="9"/>
    <w:semiHidden/>
    <w:rsid w:val="008627D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Mackay</dc:creator>
  <cp:lastModifiedBy>Trudy Mackay</cp:lastModifiedBy>
  <cp:revision>2</cp:revision>
  <dcterms:created xsi:type="dcterms:W3CDTF">2014-04-02T15:14:00Z</dcterms:created>
  <dcterms:modified xsi:type="dcterms:W3CDTF">2014-04-02T15:14:00Z</dcterms:modified>
</cp:coreProperties>
</file>