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A5" w:rsidRPr="00A42F12" w:rsidRDefault="00E16BA5" w:rsidP="00E16BA5">
      <w:pPr>
        <w:pStyle w:val="Legend"/>
        <w:spacing w:line="360" w:lineRule="auto"/>
        <w:jc w:val="both"/>
        <w:rPr>
          <w:rFonts w:ascii="Arial" w:hAnsi="Arial"/>
          <w:b/>
        </w:rPr>
      </w:pPr>
      <w:r w:rsidRPr="00A42F12">
        <w:rPr>
          <w:rFonts w:ascii="Arial" w:hAnsi="Arial"/>
          <w:b/>
        </w:rPr>
        <w:t>SUPPLEMENTARY FIGURE AND TABLE LEGENDS</w:t>
      </w:r>
    </w:p>
    <w:p w:rsidR="00E16BA5" w:rsidRPr="00152ECB" w:rsidRDefault="00E16BA5" w:rsidP="00E16BA5">
      <w:pPr>
        <w:pStyle w:val="AppendixHead"/>
        <w:spacing w:line="360" w:lineRule="auto"/>
        <w:rPr>
          <w:rFonts w:ascii="Arial" w:hAnsi="Arial"/>
          <w:b w:val="0"/>
        </w:rPr>
      </w:pPr>
      <w:proofErr w:type="gramStart"/>
      <w:r>
        <w:rPr>
          <w:rFonts w:ascii="Arial" w:hAnsi="Arial"/>
        </w:rPr>
        <w:t xml:space="preserve">Supplementary Figure </w:t>
      </w:r>
      <w:r w:rsidRPr="00152ECB">
        <w:rPr>
          <w:rFonts w:ascii="Arial" w:hAnsi="Arial"/>
        </w:rPr>
        <w:t>1.</w:t>
      </w:r>
      <w:proofErr w:type="gramEnd"/>
      <w:r w:rsidRPr="00152ECB">
        <w:rPr>
          <w:rFonts w:ascii="Arial" w:hAnsi="Arial"/>
        </w:rPr>
        <w:t xml:space="preserve"> </w:t>
      </w:r>
      <w:r>
        <w:rPr>
          <w:rFonts w:ascii="Arial" w:hAnsi="Arial"/>
        </w:rPr>
        <w:t>A,</w:t>
      </w:r>
      <w:r w:rsidRPr="00152ECB">
        <w:rPr>
          <w:rFonts w:ascii="Arial" w:hAnsi="Arial"/>
        </w:rPr>
        <w:t xml:space="preserve"> </w:t>
      </w:r>
      <w:r w:rsidRPr="00152ECB">
        <w:rPr>
          <w:rFonts w:ascii="Arial" w:hAnsi="Arial"/>
          <w:b w:val="0"/>
        </w:rPr>
        <w:t>Total</w:t>
      </w:r>
      <w:r w:rsidRPr="00152ECB">
        <w:rPr>
          <w:rFonts w:ascii="Arial" w:hAnsi="Arial"/>
        </w:rPr>
        <w:t xml:space="preserve"> </w:t>
      </w:r>
      <w:r w:rsidRPr="00152ECB">
        <w:rPr>
          <w:rFonts w:ascii="Arial" w:hAnsi="Arial"/>
          <w:b w:val="0"/>
        </w:rPr>
        <w:t xml:space="preserve">number of lineage-specific </w:t>
      </w:r>
      <w:proofErr w:type="spellStart"/>
      <w:r w:rsidRPr="00152ECB">
        <w:rPr>
          <w:rFonts w:ascii="Arial" w:hAnsi="Arial"/>
          <w:b w:val="0"/>
        </w:rPr>
        <w:t>DNaseI</w:t>
      </w:r>
      <w:proofErr w:type="spellEnd"/>
      <w:r w:rsidRPr="00152ECB">
        <w:rPr>
          <w:rFonts w:ascii="Arial" w:hAnsi="Arial"/>
          <w:b w:val="0"/>
        </w:rPr>
        <w:t xml:space="preserve"> Hypersensitive Sites (DHS) at the MET locus in selected lineages </w:t>
      </w:r>
      <w:r>
        <w:rPr>
          <w:rFonts w:ascii="Arial" w:hAnsi="Arial"/>
        </w:rPr>
        <w:t>B,</w:t>
      </w:r>
      <w:r w:rsidRPr="00152ECB">
        <w:rPr>
          <w:rFonts w:ascii="Arial" w:hAnsi="Arial"/>
          <w:b w:val="0"/>
        </w:rPr>
        <w:t xml:space="preserve"> Enhancer activity of the </w:t>
      </w:r>
      <w:r w:rsidRPr="004B2084">
        <w:rPr>
          <w:rFonts w:ascii="Arial" w:hAnsi="Arial"/>
          <w:b w:val="0"/>
          <w:i/>
        </w:rPr>
        <w:t>MET</w:t>
      </w:r>
      <w:r w:rsidRPr="00152ECB">
        <w:rPr>
          <w:rFonts w:ascii="Arial" w:hAnsi="Arial"/>
          <w:b w:val="0"/>
        </w:rPr>
        <w:t xml:space="preserve"> +63kb enhancer in primary human cells relative to empty enhancer reporter </w:t>
      </w:r>
      <w:proofErr w:type="spellStart"/>
      <w:r w:rsidRPr="00152ECB">
        <w:rPr>
          <w:rFonts w:ascii="Arial" w:hAnsi="Arial"/>
          <w:b w:val="0"/>
        </w:rPr>
        <w:t>lentiviral</w:t>
      </w:r>
      <w:proofErr w:type="spellEnd"/>
      <w:r w:rsidRPr="00152ECB">
        <w:rPr>
          <w:rFonts w:ascii="Arial" w:hAnsi="Arial"/>
          <w:b w:val="0"/>
        </w:rPr>
        <w:t xml:space="preserve"> </w:t>
      </w:r>
      <w:proofErr w:type="spellStart"/>
      <w:r w:rsidRPr="00152ECB">
        <w:rPr>
          <w:rFonts w:ascii="Arial" w:hAnsi="Arial"/>
          <w:b w:val="0"/>
        </w:rPr>
        <w:t>vecter</w:t>
      </w:r>
      <w:proofErr w:type="spellEnd"/>
      <w:r w:rsidRPr="00152ECB">
        <w:rPr>
          <w:rFonts w:ascii="Arial" w:hAnsi="Arial"/>
          <w:b w:val="0"/>
        </w:rPr>
        <w:t xml:space="preserve"> in matched cell type population.</w:t>
      </w:r>
    </w:p>
    <w:p w:rsidR="00E16BA5" w:rsidRPr="00152ECB" w:rsidRDefault="00E16BA5" w:rsidP="00E16BA5">
      <w:pPr>
        <w:pStyle w:val="AppendixHead"/>
        <w:spacing w:line="360" w:lineRule="auto"/>
        <w:rPr>
          <w:rFonts w:ascii="Arial" w:hAnsi="Arial"/>
          <w:b w:val="0"/>
        </w:rPr>
      </w:pPr>
      <w:proofErr w:type="gramStart"/>
      <w:r>
        <w:rPr>
          <w:rFonts w:ascii="Arial" w:hAnsi="Arial"/>
        </w:rPr>
        <w:t xml:space="preserve">Supplementary Figure </w:t>
      </w:r>
      <w:r w:rsidRPr="00152ECB">
        <w:rPr>
          <w:rFonts w:ascii="Arial" w:hAnsi="Arial"/>
        </w:rPr>
        <w:t>2.</w:t>
      </w:r>
      <w:proofErr w:type="gramEnd"/>
      <w:r w:rsidRPr="00152ECB">
        <w:rPr>
          <w:rFonts w:ascii="Arial" w:hAnsi="Arial"/>
          <w:b w:val="0"/>
        </w:rPr>
        <w:t xml:space="preserve"> </w:t>
      </w:r>
      <w:r>
        <w:rPr>
          <w:rFonts w:ascii="Arial" w:hAnsi="Arial"/>
        </w:rPr>
        <w:t>A,</w:t>
      </w:r>
      <w:r w:rsidRPr="00152ECB">
        <w:rPr>
          <w:rFonts w:ascii="Arial" w:hAnsi="Arial"/>
          <w:b w:val="0"/>
        </w:rPr>
        <w:t xml:space="preserve"> Validation of BRAF</w:t>
      </w:r>
      <w:r w:rsidRPr="00152ECB">
        <w:rPr>
          <w:rFonts w:ascii="Arial" w:hAnsi="Arial"/>
          <w:b w:val="0"/>
          <w:vertAlign w:val="superscript"/>
        </w:rPr>
        <w:t>V600E</w:t>
      </w:r>
      <w:r w:rsidRPr="00152ECB">
        <w:rPr>
          <w:rFonts w:ascii="Arial" w:hAnsi="Arial"/>
          <w:b w:val="0"/>
        </w:rPr>
        <w:t xml:space="preserve"> overexpression and signaling activation as measured by ERK1/2 phosphorylation Western blots in primary human melanocytes. </w:t>
      </w:r>
      <w:r>
        <w:rPr>
          <w:rFonts w:ascii="Arial" w:hAnsi="Arial"/>
        </w:rPr>
        <w:t>B,</w:t>
      </w:r>
      <w:r w:rsidRPr="00152ECB">
        <w:rPr>
          <w:rFonts w:ascii="Arial" w:hAnsi="Arial"/>
          <w:b w:val="0"/>
        </w:rPr>
        <w:t xml:space="preserve"> Validation of BRAF</w:t>
      </w:r>
      <w:r w:rsidRPr="00152ECB">
        <w:rPr>
          <w:rFonts w:ascii="Arial" w:hAnsi="Arial"/>
          <w:b w:val="0"/>
          <w:vertAlign w:val="superscript"/>
        </w:rPr>
        <w:t>V600E</w:t>
      </w:r>
      <w:r w:rsidRPr="00152ECB">
        <w:rPr>
          <w:rFonts w:ascii="Arial" w:hAnsi="Arial"/>
          <w:b w:val="0"/>
        </w:rPr>
        <w:t xml:space="preserve"> signaling inhibition by PLX4032 in COLO829 melanoma cells. </w:t>
      </w:r>
      <w:r>
        <w:rPr>
          <w:rFonts w:ascii="Arial" w:hAnsi="Arial"/>
        </w:rPr>
        <w:t>C,</w:t>
      </w:r>
      <w:r w:rsidRPr="00152ECB">
        <w:rPr>
          <w:rFonts w:ascii="Arial" w:hAnsi="Arial"/>
        </w:rPr>
        <w:t xml:space="preserve"> </w:t>
      </w:r>
      <w:r w:rsidRPr="00152ECB">
        <w:rPr>
          <w:rFonts w:ascii="Arial" w:hAnsi="Arial"/>
          <w:b w:val="0"/>
        </w:rPr>
        <w:t>Top Gene Ontology (GO) terms for genes associated with MITF peaks in melanocytes.</w:t>
      </w:r>
    </w:p>
    <w:p w:rsidR="00E16BA5" w:rsidRPr="00152ECB" w:rsidRDefault="00E16BA5" w:rsidP="00E16BA5">
      <w:pPr>
        <w:pStyle w:val="AppendixHead"/>
        <w:spacing w:line="360" w:lineRule="auto"/>
        <w:rPr>
          <w:rFonts w:ascii="Arial" w:hAnsi="Arial"/>
          <w:b w:val="0"/>
        </w:rPr>
      </w:pPr>
      <w:proofErr w:type="gramStart"/>
      <w:r>
        <w:rPr>
          <w:rFonts w:ascii="Arial" w:hAnsi="Arial"/>
        </w:rPr>
        <w:t xml:space="preserve">Supplementary Figure </w:t>
      </w:r>
      <w:r w:rsidRPr="00152ECB">
        <w:rPr>
          <w:rFonts w:ascii="Arial" w:hAnsi="Arial"/>
        </w:rPr>
        <w:t>3.</w:t>
      </w:r>
      <w:proofErr w:type="gramEnd"/>
      <w:r w:rsidRPr="00152ECB">
        <w:rPr>
          <w:rFonts w:ascii="Arial" w:hAnsi="Arial"/>
        </w:rPr>
        <w:t xml:space="preserve"> </w:t>
      </w:r>
      <w:r>
        <w:rPr>
          <w:rFonts w:ascii="Arial" w:hAnsi="Arial"/>
        </w:rPr>
        <w:t>A,</w:t>
      </w:r>
      <w:r w:rsidRPr="00152ECB">
        <w:rPr>
          <w:rFonts w:ascii="Arial" w:hAnsi="Arial"/>
        </w:rPr>
        <w:t xml:space="preserve"> </w:t>
      </w:r>
      <w:r w:rsidRPr="004B2084">
        <w:rPr>
          <w:rFonts w:ascii="Arial" w:hAnsi="Arial"/>
          <w:b w:val="0"/>
          <w:i/>
        </w:rPr>
        <w:t>MET</w:t>
      </w:r>
      <w:r w:rsidRPr="00152ECB">
        <w:rPr>
          <w:rFonts w:ascii="Arial" w:hAnsi="Arial"/>
          <w:b w:val="0"/>
        </w:rPr>
        <w:t xml:space="preserve"> expression levels in COLO829 cells as a function of PLX4032 or DMSO control, with MITF depletion and MET overexpression. </w:t>
      </w:r>
      <w:proofErr w:type="gramStart"/>
      <w:r>
        <w:rPr>
          <w:rFonts w:ascii="Arial" w:hAnsi="Arial"/>
          <w:b w:val="0"/>
        </w:rPr>
        <w:t>b</w:t>
      </w:r>
      <w:proofErr w:type="gramEnd"/>
      <w:r>
        <w:rPr>
          <w:rFonts w:ascii="Arial" w:hAnsi="Arial"/>
          <w:b w:val="0"/>
        </w:rPr>
        <w:t>,</w:t>
      </w:r>
      <w:r w:rsidRPr="00152ECB">
        <w:rPr>
          <w:rFonts w:ascii="Arial" w:hAnsi="Arial"/>
          <w:b w:val="0"/>
        </w:rPr>
        <w:t xml:space="preserve"> Dose response curves for PLX4032 in the presence or absence of HGF in the experimental groups present in A.</w:t>
      </w:r>
    </w:p>
    <w:p w:rsidR="00E16BA5" w:rsidRPr="00152ECB" w:rsidRDefault="00E16BA5" w:rsidP="00E16BA5">
      <w:pPr>
        <w:pStyle w:val="AppendixHead"/>
        <w:spacing w:line="360" w:lineRule="auto"/>
        <w:rPr>
          <w:rFonts w:ascii="Arial" w:hAnsi="Arial"/>
          <w:b w:val="0"/>
        </w:rPr>
      </w:pPr>
      <w:proofErr w:type="gramStart"/>
      <w:r>
        <w:rPr>
          <w:rFonts w:ascii="Arial" w:hAnsi="Arial"/>
        </w:rPr>
        <w:t xml:space="preserve">Supplementary Figure </w:t>
      </w:r>
      <w:r w:rsidRPr="00152ECB">
        <w:rPr>
          <w:rFonts w:ascii="Arial" w:hAnsi="Arial"/>
        </w:rPr>
        <w:t>4.</w:t>
      </w:r>
      <w:proofErr w:type="gramEnd"/>
      <w:r w:rsidRPr="00152ECB">
        <w:rPr>
          <w:rFonts w:ascii="Arial" w:hAnsi="Arial"/>
        </w:rPr>
        <w:t xml:space="preserve"> </w:t>
      </w:r>
      <w:r>
        <w:rPr>
          <w:rFonts w:ascii="Arial" w:hAnsi="Arial"/>
        </w:rPr>
        <w:t>A,</w:t>
      </w:r>
      <w:r w:rsidRPr="00152ECB">
        <w:rPr>
          <w:rFonts w:ascii="Arial" w:hAnsi="Arial"/>
          <w:b w:val="0"/>
        </w:rPr>
        <w:t xml:space="preserve"> Western blot of MET protein in enhancer </w:t>
      </w:r>
      <w:proofErr w:type="spellStart"/>
      <w:r w:rsidRPr="00152ECB">
        <w:rPr>
          <w:rFonts w:ascii="Arial" w:hAnsi="Arial"/>
          <w:b w:val="0"/>
        </w:rPr>
        <w:t>wildtype</w:t>
      </w:r>
      <w:proofErr w:type="spellEnd"/>
      <w:r w:rsidRPr="00152ECB">
        <w:rPr>
          <w:rFonts w:ascii="Arial" w:hAnsi="Arial"/>
          <w:b w:val="0"/>
        </w:rPr>
        <w:t xml:space="preserve"> and enhancer edited COLO829 melanoma cells with DMSO and PLX4032 treatment. </w:t>
      </w:r>
      <w:r>
        <w:rPr>
          <w:rFonts w:ascii="Arial" w:hAnsi="Arial"/>
        </w:rPr>
        <w:t>B,</w:t>
      </w:r>
      <w:r w:rsidRPr="00152ECB">
        <w:rPr>
          <w:rFonts w:ascii="Arial" w:hAnsi="Arial"/>
          <w:b w:val="0"/>
        </w:rPr>
        <w:t xml:space="preserve"> Regulation of additional MITF-dependent, BRAF-responsive melanocyte differentiation genes remains intact in </w:t>
      </w:r>
      <w:proofErr w:type="gramStart"/>
      <w:r w:rsidRPr="00152ECB">
        <w:rPr>
          <w:rFonts w:ascii="Arial" w:hAnsi="Arial"/>
          <w:b w:val="0"/>
        </w:rPr>
        <w:t>enhancer edited</w:t>
      </w:r>
      <w:proofErr w:type="gramEnd"/>
      <w:r w:rsidRPr="00152ECB">
        <w:rPr>
          <w:rFonts w:ascii="Arial" w:hAnsi="Arial"/>
          <w:b w:val="0"/>
        </w:rPr>
        <w:t xml:space="preserve"> cells relative to enhancer </w:t>
      </w:r>
      <w:proofErr w:type="spellStart"/>
      <w:r w:rsidRPr="00152ECB">
        <w:rPr>
          <w:rFonts w:ascii="Arial" w:hAnsi="Arial"/>
          <w:b w:val="0"/>
        </w:rPr>
        <w:t>wildtype</w:t>
      </w:r>
      <w:proofErr w:type="spellEnd"/>
      <w:r w:rsidRPr="00152ECB">
        <w:rPr>
          <w:rFonts w:ascii="Arial" w:hAnsi="Arial"/>
          <w:b w:val="0"/>
        </w:rPr>
        <w:t xml:space="preserve"> cells upon treatment with PLX4032.</w:t>
      </w:r>
    </w:p>
    <w:p w:rsidR="00E16BA5" w:rsidRPr="00152ECB" w:rsidRDefault="00E16BA5" w:rsidP="00E16BA5">
      <w:pPr>
        <w:pStyle w:val="AppendixHead"/>
        <w:spacing w:line="360" w:lineRule="auto"/>
        <w:rPr>
          <w:rFonts w:ascii="Arial" w:hAnsi="Arial"/>
          <w:b w:val="0"/>
        </w:rPr>
      </w:pPr>
      <w:proofErr w:type="gramStart"/>
      <w:r>
        <w:rPr>
          <w:rFonts w:ascii="Arial" w:hAnsi="Arial"/>
        </w:rPr>
        <w:t xml:space="preserve">Supplementary Figure </w:t>
      </w:r>
      <w:r w:rsidRPr="00152ECB">
        <w:rPr>
          <w:rFonts w:ascii="Arial" w:hAnsi="Arial"/>
        </w:rPr>
        <w:t>5.</w:t>
      </w:r>
      <w:proofErr w:type="gramEnd"/>
      <w:r w:rsidRPr="00152ECB">
        <w:rPr>
          <w:rFonts w:ascii="Arial" w:hAnsi="Arial"/>
          <w:b w:val="0"/>
        </w:rPr>
        <w:t xml:space="preserve"> </w:t>
      </w:r>
      <w:r>
        <w:rPr>
          <w:rFonts w:ascii="Arial" w:hAnsi="Arial"/>
        </w:rPr>
        <w:t>A,</w:t>
      </w:r>
      <w:r w:rsidRPr="00152ECB">
        <w:rPr>
          <w:rFonts w:ascii="Arial" w:hAnsi="Arial"/>
          <w:b w:val="0"/>
        </w:rPr>
        <w:t xml:space="preserve"> Schematic of the </w:t>
      </w:r>
      <w:r w:rsidRPr="00152ECB">
        <w:rPr>
          <w:rFonts w:ascii="Arial" w:hAnsi="Arial"/>
          <w:b w:val="0"/>
          <w:i/>
        </w:rPr>
        <w:t>MET</w:t>
      </w:r>
      <w:r w:rsidRPr="00152ECB">
        <w:rPr>
          <w:rFonts w:ascii="Arial" w:hAnsi="Arial"/>
          <w:b w:val="0"/>
        </w:rPr>
        <w:t xml:space="preserve"> +63kb DHS TALEN targeting strategy; the </w:t>
      </w:r>
      <w:proofErr w:type="spellStart"/>
      <w:r w:rsidRPr="00152ECB">
        <w:rPr>
          <w:rFonts w:ascii="Arial" w:hAnsi="Arial"/>
          <w:b w:val="0"/>
        </w:rPr>
        <w:t>Mbox</w:t>
      </w:r>
      <w:proofErr w:type="spellEnd"/>
      <w:r w:rsidRPr="00152ECB">
        <w:rPr>
          <w:rFonts w:ascii="Arial" w:hAnsi="Arial"/>
          <w:b w:val="0"/>
        </w:rPr>
        <w:t xml:space="preserve"> sequence motif is shown in green.  The wild-type (WT) normal allele found in COLO829 and an enhancer edited clone #2 (EC2) alleles are shown. Deep sequencing validated that no WT alleles remained in the EC2 clone. </w:t>
      </w:r>
      <w:r>
        <w:rPr>
          <w:rFonts w:ascii="Arial" w:hAnsi="Arial"/>
        </w:rPr>
        <w:t>B,</w:t>
      </w:r>
      <w:r w:rsidRPr="00152ECB">
        <w:rPr>
          <w:rFonts w:ascii="Arial" w:hAnsi="Arial"/>
          <w:b w:val="0"/>
        </w:rPr>
        <w:t xml:space="preserve"> MITF </w:t>
      </w:r>
      <w:proofErr w:type="spellStart"/>
      <w:r w:rsidRPr="00152ECB">
        <w:rPr>
          <w:rFonts w:ascii="Arial" w:hAnsi="Arial"/>
          <w:b w:val="0"/>
        </w:rPr>
        <w:t>ChIP-qPCR</w:t>
      </w:r>
      <w:proofErr w:type="spellEnd"/>
      <w:r w:rsidRPr="00152ECB">
        <w:rPr>
          <w:rFonts w:ascii="Arial" w:hAnsi="Arial"/>
          <w:b w:val="0"/>
        </w:rPr>
        <w:t xml:space="preserve"> at the </w:t>
      </w:r>
      <w:r w:rsidRPr="00152ECB">
        <w:rPr>
          <w:rFonts w:ascii="Arial" w:hAnsi="Arial"/>
          <w:b w:val="0"/>
          <w:i/>
        </w:rPr>
        <w:t>MET</w:t>
      </w:r>
      <w:r w:rsidRPr="00152ECB">
        <w:rPr>
          <w:rFonts w:ascii="Arial" w:hAnsi="Arial"/>
          <w:b w:val="0"/>
        </w:rPr>
        <w:t xml:space="preserve"> +63kb DHS of WT versus EC2 cells. </w:t>
      </w:r>
      <w:r>
        <w:rPr>
          <w:rFonts w:ascii="Arial" w:hAnsi="Arial"/>
        </w:rPr>
        <w:t>C,</w:t>
      </w:r>
      <w:r w:rsidRPr="00152ECB">
        <w:rPr>
          <w:rFonts w:ascii="Arial" w:hAnsi="Arial"/>
          <w:b w:val="0"/>
        </w:rPr>
        <w:t xml:space="preserve"> H3K27ac </w:t>
      </w:r>
      <w:proofErr w:type="spellStart"/>
      <w:r w:rsidRPr="00152ECB">
        <w:rPr>
          <w:rFonts w:ascii="Arial" w:hAnsi="Arial"/>
          <w:b w:val="0"/>
        </w:rPr>
        <w:t>ChIP-qPCR</w:t>
      </w:r>
      <w:proofErr w:type="spellEnd"/>
      <w:r w:rsidRPr="00152ECB">
        <w:rPr>
          <w:rFonts w:ascii="Arial" w:hAnsi="Arial"/>
          <w:b w:val="0"/>
        </w:rPr>
        <w:t xml:space="preserve"> at the </w:t>
      </w:r>
      <w:r w:rsidRPr="00152ECB">
        <w:rPr>
          <w:rFonts w:ascii="Arial" w:hAnsi="Arial"/>
          <w:b w:val="0"/>
          <w:i/>
        </w:rPr>
        <w:t>MET</w:t>
      </w:r>
      <w:r w:rsidRPr="00152ECB">
        <w:rPr>
          <w:rFonts w:ascii="Arial" w:hAnsi="Arial"/>
          <w:b w:val="0"/>
        </w:rPr>
        <w:t xml:space="preserve"> +63kb DHS of WT versus EC2 cells. </w:t>
      </w:r>
      <w:r>
        <w:rPr>
          <w:rFonts w:ascii="Arial" w:hAnsi="Arial"/>
        </w:rPr>
        <w:t>D,</w:t>
      </w:r>
      <w:r w:rsidRPr="00152ECB">
        <w:rPr>
          <w:rFonts w:ascii="Arial" w:hAnsi="Arial"/>
          <w:b w:val="0"/>
        </w:rPr>
        <w:t xml:space="preserve"> 3C of WT versus EC2 cells at the </w:t>
      </w:r>
      <w:r w:rsidRPr="00152ECB">
        <w:rPr>
          <w:rFonts w:ascii="Arial" w:hAnsi="Arial"/>
          <w:b w:val="0"/>
          <w:i/>
        </w:rPr>
        <w:t>MET</w:t>
      </w:r>
      <w:r w:rsidRPr="00152ECB">
        <w:rPr>
          <w:rFonts w:ascii="Arial" w:hAnsi="Arial"/>
          <w:b w:val="0"/>
        </w:rPr>
        <w:t xml:space="preserve"> locus (**p = 0.0040). </w:t>
      </w:r>
      <w:r>
        <w:rPr>
          <w:rFonts w:ascii="Arial" w:hAnsi="Arial"/>
        </w:rPr>
        <w:t>E,</w:t>
      </w:r>
      <w:r w:rsidRPr="00152ECB">
        <w:rPr>
          <w:rFonts w:ascii="Arial" w:hAnsi="Arial"/>
          <w:b w:val="0"/>
        </w:rPr>
        <w:t xml:space="preserve"> Induction of </w:t>
      </w:r>
      <w:r>
        <w:rPr>
          <w:rFonts w:ascii="Arial" w:hAnsi="Arial"/>
          <w:b w:val="0"/>
          <w:i/>
        </w:rPr>
        <w:t>MLANA</w:t>
      </w:r>
      <w:r w:rsidRPr="00152ECB">
        <w:rPr>
          <w:rFonts w:ascii="Arial" w:hAnsi="Arial"/>
          <w:b w:val="0"/>
        </w:rPr>
        <w:t xml:space="preserve"> and </w:t>
      </w:r>
      <w:r w:rsidRPr="00152ECB">
        <w:rPr>
          <w:rFonts w:ascii="Arial" w:hAnsi="Arial"/>
          <w:b w:val="0"/>
          <w:i/>
        </w:rPr>
        <w:t>MET</w:t>
      </w:r>
      <w:r w:rsidRPr="00152ECB">
        <w:rPr>
          <w:rFonts w:ascii="Arial" w:hAnsi="Arial"/>
          <w:b w:val="0"/>
        </w:rPr>
        <w:t xml:space="preserve"> expression by PLX4032 in WT and EC2 cells. </w:t>
      </w:r>
      <w:r>
        <w:rPr>
          <w:rFonts w:ascii="Arial" w:hAnsi="Arial"/>
        </w:rPr>
        <w:t>F,</w:t>
      </w:r>
      <w:r w:rsidRPr="00152ECB">
        <w:rPr>
          <w:rFonts w:ascii="Arial" w:hAnsi="Arial"/>
          <w:b w:val="0"/>
        </w:rPr>
        <w:t xml:space="preserve"> Viability of WT and EC2 cells in PLX4032 dose-response curve +/- exogenous HGF at 72 hours [top] </w:t>
      </w:r>
      <w:r w:rsidRPr="00152ECB">
        <w:rPr>
          <w:rFonts w:ascii="Arial" w:hAnsi="Arial"/>
          <w:b w:val="0"/>
        </w:rPr>
        <w:lastRenderedPageBreak/>
        <w:t xml:space="preserve">quantification of the relative viability [bottom]. </w:t>
      </w:r>
      <w:r>
        <w:rPr>
          <w:rFonts w:ascii="Arial" w:hAnsi="Arial"/>
        </w:rPr>
        <w:t>G,</w:t>
      </w:r>
      <w:r w:rsidRPr="00152ECB">
        <w:rPr>
          <w:rFonts w:ascii="Arial" w:hAnsi="Arial"/>
          <w:b w:val="0"/>
        </w:rPr>
        <w:t xml:space="preserve"> Longer</w:t>
      </w:r>
      <w:r>
        <w:rPr>
          <w:rFonts w:ascii="Arial" w:hAnsi="Arial"/>
          <w:b w:val="0"/>
        </w:rPr>
        <w:t>-</w:t>
      </w:r>
      <w:r w:rsidRPr="00152ECB">
        <w:rPr>
          <w:rFonts w:ascii="Arial" w:hAnsi="Arial"/>
          <w:b w:val="0"/>
        </w:rPr>
        <w:t>term viability of WT and EC2 cells in PLX4032 +/- exogenous HGF at 2 weeks.</w:t>
      </w:r>
    </w:p>
    <w:p w:rsidR="00E16BA5" w:rsidRPr="00152ECB" w:rsidRDefault="00E16BA5" w:rsidP="00E16BA5">
      <w:pPr>
        <w:pStyle w:val="AppendixHead"/>
        <w:spacing w:line="360" w:lineRule="auto"/>
        <w:rPr>
          <w:rFonts w:ascii="Arial" w:hAnsi="Arial"/>
          <w:b w:val="0"/>
        </w:rPr>
      </w:pPr>
      <w:proofErr w:type="gramStart"/>
      <w:r>
        <w:rPr>
          <w:rFonts w:ascii="Arial" w:hAnsi="Arial"/>
        </w:rPr>
        <w:t xml:space="preserve">Supplementary Table </w:t>
      </w:r>
      <w:r w:rsidRPr="00152ECB">
        <w:rPr>
          <w:rFonts w:ascii="Arial" w:hAnsi="Arial"/>
        </w:rPr>
        <w:t>1.</w:t>
      </w:r>
      <w:proofErr w:type="gramEnd"/>
      <w:r w:rsidRPr="00152ECB">
        <w:rPr>
          <w:rFonts w:ascii="Arial" w:hAnsi="Arial"/>
        </w:rPr>
        <w:t xml:space="preserve"> </w:t>
      </w:r>
      <w:r w:rsidRPr="00152ECB">
        <w:rPr>
          <w:rFonts w:ascii="Arial" w:hAnsi="Arial"/>
          <w:b w:val="0"/>
        </w:rPr>
        <w:t xml:space="preserve">Lineage classification and description of </w:t>
      </w:r>
      <w:proofErr w:type="spellStart"/>
      <w:r w:rsidRPr="00152ECB">
        <w:rPr>
          <w:rFonts w:ascii="Arial" w:hAnsi="Arial"/>
          <w:b w:val="0"/>
        </w:rPr>
        <w:t>DNase-seq</w:t>
      </w:r>
      <w:proofErr w:type="spellEnd"/>
      <w:r w:rsidRPr="00152ECB">
        <w:rPr>
          <w:rFonts w:ascii="Arial" w:hAnsi="Arial"/>
          <w:b w:val="0"/>
        </w:rPr>
        <w:t xml:space="preserve"> samples from ENCODE used in clustering analysis.</w:t>
      </w:r>
    </w:p>
    <w:p w:rsidR="00E16BA5" w:rsidRPr="00152ECB" w:rsidRDefault="00E16BA5" w:rsidP="00E16BA5">
      <w:pPr>
        <w:pStyle w:val="AppendixHead"/>
        <w:spacing w:line="360" w:lineRule="auto"/>
        <w:rPr>
          <w:rFonts w:ascii="Arial" w:hAnsi="Arial"/>
          <w:b w:val="0"/>
        </w:rPr>
      </w:pPr>
      <w:proofErr w:type="gramStart"/>
      <w:r>
        <w:rPr>
          <w:rFonts w:ascii="Arial" w:hAnsi="Arial"/>
        </w:rPr>
        <w:t xml:space="preserve">Supplementary Table </w:t>
      </w:r>
      <w:r w:rsidRPr="00152ECB">
        <w:rPr>
          <w:rFonts w:ascii="Arial" w:hAnsi="Arial"/>
        </w:rPr>
        <w:t>2.</w:t>
      </w:r>
      <w:proofErr w:type="gramEnd"/>
      <w:r w:rsidRPr="00152ECB">
        <w:rPr>
          <w:rFonts w:ascii="Arial" w:hAnsi="Arial"/>
          <w:b w:val="0"/>
        </w:rPr>
        <w:t xml:space="preserve"> Primers used for 3C analysis of the </w:t>
      </w:r>
      <w:r w:rsidRPr="004B2084">
        <w:rPr>
          <w:rFonts w:ascii="Arial" w:hAnsi="Arial"/>
          <w:b w:val="0"/>
          <w:i/>
        </w:rPr>
        <w:t>MET</w:t>
      </w:r>
      <w:r w:rsidRPr="00152ECB">
        <w:rPr>
          <w:rFonts w:ascii="Arial" w:hAnsi="Arial"/>
          <w:b w:val="0"/>
        </w:rPr>
        <w:t xml:space="preserve"> locus.</w:t>
      </w:r>
    </w:p>
    <w:p w:rsidR="00E16BA5" w:rsidRPr="00152ECB" w:rsidRDefault="00E16BA5" w:rsidP="00E16BA5">
      <w:pPr>
        <w:pStyle w:val="AppendixHead"/>
        <w:spacing w:line="360" w:lineRule="auto"/>
        <w:rPr>
          <w:rFonts w:ascii="Arial" w:hAnsi="Arial"/>
          <w:b w:val="0"/>
        </w:rPr>
      </w:pPr>
      <w:proofErr w:type="gramStart"/>
      <w:r>
        <w:rPr>
          <w:rFonts w:ascii="Arial" w:hAnsi="Arial"/>
        </w:rPr>
        <w:t xml:space="preserve">Supplementary Table </w:t>
      </w:r>
      <w:r w:rsidRPr="00152ECB">
        <w:rPr>
          <w:rFonts w:ascii="Arial" w:hAnsi="Arial"/>
        </w:rPr>
        <w:t>3.</w:t>
      </w:r>
      <w:proofErr w:type="gramEnd"/>
      <w:r w:rsidRPr="00152ECB">
        <w:rPr>
          <w:rFonts w:ascii="Arial" w:hAnsi="Arial"/>
        </w:rPr>
        <w:t xml:space="preserve"> </w:t>
      </w:r>
      <w:r w:rsidRPr="00152ECB">
        <w:rPr>
          <w:rFonts w:ascii="Arial" w:hAnsi="Arial"/>
          <w:b w:val="0"/>
        </w:rPr>
        <w:t>FOCIS enrichment score algorithm and list of all current FOCIS features.</w:t>
      </w:r>
    </w:p>
    <w:p w:rsidR="00E16BA5" w:rsidRPr="00152ECB" w:rsidRDefault="00E16BA5" w:rsidP="00E16BA5">
      <w:pPr>
        <w:pStyle w:val="AppendixHead"/>
        <w:spacing w:line="360" w:lineRule="auto"/>
        <w:rPr>
          <w:rFonts w:ascii="Arial" w:hAnsi="Arial"/>
          <w:b w:val="0"/>
        </w:rPr>
      </w:pPr>
      <w:proofErr w:type="gramStart"/>
      <w:r>
        <w:rPr>
          <w:rFonts w:ascii="Arial" w:hAnsi="Arial"/>
        </w:rPr>
        <w:t xml:space="preserve">Supplementary Table </w:t>
      </w:r>
      <w:r w:rsidRPr="00152ECB">
        <w:rPr>
          <w:rFonts w:ascii="Arial" w:hAnsi="Arial"/>
        </w:rPr>
        <w:t>4.</w:t>
      </w:r>
      <w:proofErr w:type="gramEnd"/>
      <w:r w:rsidRPr="00152ECB">
        <w:rPr>
          <w:rFonts w:ascii="Arial" w:hAnsi="Arial"/>
          <w:b w:val="0"/>
        </w:rPr>
        <w:t xml:space="preserve"> Genomic coordinates for MITF </w:t>
      </w:r>
      <w:proofErr w:type="spellStart"/>
      <w:r w:rsidRPr="00152ECB">
        <w:rPr>
          <w:rFonts w:ascii="Arial" w:hAnsi="Arial"/>
          <w:b w:val="0"/>
        </w:rPr>
        <w:t>ChIP-seq</w:t>
      </w:r>
      <w:proofErr w:type="spellEnd"/>
      <w:r w:rsidRPr="00152ECB">
        <w:rPr>
          <w:rFonts w:ascii="Arial" w:hAnsi="Arial"/>
          <w:b w:val="0"/>
        </w:rPr>
        <w:t xml:space="preserve"> peaks.</w:t>
      </w:r>
    </w:p>
    <w:p w:rsidR="00E16BA5" w:rsidRPr="00152ECB" w:rsidRDefault="00E16BA5" w:rsidP="00E16BA5">
      <w:pPr>
        <w:pStyle w:val="AppendixHead"/>
        <w:spacing w:line="360" w:lineRule="auto"/>
        <w:rPr>
          <w:rFonts w:ascii="Arial" w:hAnsi="Arial"/>
          <w:b w:val="0"/>
        </w:rPr>
      </w:pPr>
      <w:proofErr w:type="gramStart"/>
      <w:r>
        <w:rPr>
          <w:rFonts w:ascii="Arial" w:hAnsi="Arial"/>
        </w:rPr>
        <w:t xml:space="preserve">Supplementary Table </w:t>
      </w:r>
      <w:r w:rsidRPr="00152ECB">
        <w:rPr>
          <w:rFonts w:ascii="Arial" w:hAnsi="Arial"/>
        </w:rPr>
        <w:t>5.</w:t>
      </w:r>
      <w:proofErr w:type="gramEnd"/>
      <w:r w:rsidRPr="00152ECB">
        <w:rPr>
          <w:rFonts w:ascii="Arial" w:hAnsi="Arial"/>
          <w:b w:val="0"/>
        </w:rPr>
        <w:t xml:space="preserve"> Differentially expressed genes with BRAF inhibition and MITF depletion in melanoma cells.</w:t>
      </w:r>
    </w:p>
    <w:p w:rsidR="00E16BA5" w:rsidRPr="00152ECB" w:rsidRDefault="00E16BA5" w:rsidP="00E16BA5">
      <w:pPr>
        <w:pStyle w:val="AppendixHead"/>
        <w:spacing w:line="360" w:lineRule="auto"/>
        <w:rPr>
          <w:rFonts w:ascii="Arial" w:hAnsi="Arial"/>
          <w:b w:val="0"/>
        </w:rPr>
      </w:pPr>
      <w:proofErr w:type="gramStart"/>
      <w:r>
        <w:rPr>
          <w:rFonts w:ascii="Arial" w:hAnsi="Arial"/>
        </w:rPr>
        <w:t xml:space="preserve">Supplementary Table </w:t>
      </w:r>
      <w:r w:rsidRPr="00152ECB">
        <w:rPr>
          <w:rFonts w:ascii="Arial" w:hAnsi="Arial"/>
        </w:rPr>
        <w:t>6.</w:t>
      </w:r>
      <w:proofErr w:type="gramEnd"/>
      <w:r w:rsidRPr="00152ECB">
        <w:rPr>
          <w:rFonts w:ascii="Arial" w:hAnsi="Arial"/>
        </w:rPr>
        <w:t xml:space="preserve"> </w:t>
      </w:r>
      <w:r w:rsidRPr="00152ECB">
        <w:rPr>
          <w:rFonts w:ascii="Arial" w:hAnsi="Arial"/>
          <w:b w:val="0"/>
        </w:rPr>
        <w:t xml:space="preserve">Primer sequences used in this study for </w:t>
      </w:r>
      <w:proofErr w:type="spellStart"/>
      <w:r w:rsidRPr="00152ECB">
        <w:rPr>
          <w:rFonts w:ascii="Arial" w:hAnsi="Arial"/>
          <w:b w:val="0"/>
        </w:rPr>
        <w:t>qRT</w:t>
      </w:r>
      <w:proofErr w:type="spellEnd"/>
      <w:r w:rsidRPr="00152ECB">
        <w:rPr>
          <w:rFonts w:ascii="Arial" w:hAnsi="Arial"/>
          <w:b w:val="0"/>
        </w:rPr>
        <w:t xml:space="preserve">-PCR, </w:t>
      </w:r>
      <w:proofErr w:type="spellStart"/>
      <w:r w:rsidRPr="00152ECB">
        <w:rPr>
          <w:rFonts w:ascii="Arial" w:hAnsi="Arial"/>
          <w:b w:val="0"/>
        </w:rPr>
        <w:t>ChIP</w:t>
      </w:r>
      <w:proofErr w:type="spellEnd"/>
      <w:r w:rsidRPr="00152ECB">
        <w:rPr>
          <w:rFonts w:ascii="Arial" w:hAnsi="Arial"/>
          <w:b w:val="0"/>
        </w:rPr>
        <w:t>, and cloning</w:t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A5"/>
    <w:rsid w:val="0027073C"/>
    <w:rsid w:val="008420E3"/>
    <w:rsid w:val="00B55501"/>
    <w:rsid w:val="00C14746"/>
    <w:rsid w:val="00C46265"/>
    <w:rsid w:val="00E16BA5"/>
    <w:rsid w:val="00EB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">
    <w:name w:val="AppendixHead"/>
    <w:basedOn w:val="Normal"/>
    <w:rsid w:val="00E16BA5"/>
    <w:pPr>
      <w:keepNext/>
      <w:spacing w:before="240"/>
      <w:outlineLvl w:val="0"/>
    </w:pPr>
    <w:rPr>
      <w:rFonts w:eastAsia="Times New Roman"/>
      <w:b/>
      <w:bCs/>
      <w:color w:val="auto"/>
      <w:kern w:val="28"/>
    </w:rPr>
  </w:style>
  <w:style w:type="paragraph" w:customStyle="1" w:styleId="Legend">
    <w:name w:val="Legend"/>
    <w:basedOn w:val="Normal"/>
    <w:rsid w:val="00E16BA5"/>
    <w:pPr>
      <w:keepNext/>
      <w:spacing w:before="240"/>
      <w:outlineLvl w:val="0"/>
    </w:pPr>
    <w:rPr>
      <w:rFonts w:eastAsia="Times New Roman"/>
      <w:color w:val="auto"/>
      <w:kern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">
    <w:name w:val="AppendixHead"/>
    <w:basedOn w:val="Normal"/>
    <w:rsid w:val="00E16BA5"/>
    <w:pPr>
      <w:keepNext/>
      <w:spacing w:before="240"/>
      <w:outlineLvl w:val="0"/>
    </w:pPr>
    <w:rPr>
      <w:rFonts w:eastAsia="Times New Roman"/>
      <w:b/>
      <w:bCs/>
      <w:color w:val="auto"/>
      <w:kern w:val="28"/>
    </w:rPr>
  </w:style>
  <w:style w:type="paragraph" w:customStyle="1" w:styleId="Legend">
    <w:name w:val="Legend"/>
    <w:basedOn w:val="Normal"/>
    <w:rsid w:val="00E16BA5"/>
    <w:pPr>
      <w:keepNext/>
      <w:spacing w:before="240"/>
      <w:outlineLvl w:val="0"/>
    </w:pPr>
    <w:rPr>
      <w:rFonts w:eastAsia="Times New Roman"/>
      <w:color w:val="auto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Macintosh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2014-02-21T14:27:00Z</dcterms:created>
  <dcterms:modified xsi:type="dcterms:W3CDTF">2014-02-21T14:28:00Z</dcterms:modified>
</cp:coreProperties>
</file>