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5DE" w:rsidRDefault="00EA05DE" w:rsidP="00EA05DE">
      <w:pPr>
        <w:spacing w:line="480" w:lineRule="auto"/>
        <w:jc w:val="center"/>
        <w:rPr>
          <w:sz w:val="24"/>
          <w:szCs w:val="24"/>
        </w:rPr>
      </w:pPr>
    </w:p>
    <w:p w:rsidR="00EA05DE" w:rsidRPr="00EA05DE" w:rsidRDefault="00EA05DE" w:rsidP="004B0B85">
      <w:pPr>
        <w:spacing w:line="480" w:lineRule="auto"/>
        <w:jc w:val="center"/>
        <w:rPr>
          <w:b/>
          <w:bCs/>
          <w:sz w:val="24"/>
          <w:szCs w:val="24"/>
        </w:rPr>
      </w:pPr>
      <w:r w:rsidRPr="00EA05DE">
        <w:rPr>
          <w:b/>
          <w:bCs/>
          <w:sz w:val="24"/>
          <w:szCs w:val="24"/>
        </w:rPr>
        <w:t xml:space="preserve">Supplementary </w:t>
      </w:r>
      <w:r w:rsidR="004B0B85" w:rsidRPr="00A2726E">
        <w:rPr>
          <w:b/>
          <w:bCs/>
          <w:sz w:val="24"/>
          <w:szCs w:val="24"/>
        </w:rPr>
        <w:t>Material</w:t>
      </w:r>
    </w:p>
    <w:p w:rsidR="00EA05DE" w:rsidRDefault="00EA05DE" w:rsidP="00EA05DE">
      <w:pPr>
        <w:spacing w:line="480" w:lineRule="auto"/>
        <w:jc w:val="center"/>
        <w:rPr>
          <w:sz w:val="24"/>
          <w:szCs w:val="24"/>
        </w:rPr>
      </w:pPr>
    </w:p>
    <w:p w:rsidR="00EA05DE" w:rsidRDefault="00EA05DE" w:rsidP="00EA05DE">
      <w:pPr>
        <w:pStyle w:val="Head"/>
        <w:spacing w:line="480" w:lineRule="auto"/>
      </w:pPr>
      <w:r w:rsidRPr="00967B86">
        <w:t>Random Replication of the Inactive X Chromosome</w:t>
      </w:r>
    </w:p>
    <w:p w:rsidR="00EA05DE" w:rsidRPr="00967B86" w:rsidRDefault="00EA05DE" w:rsidP="00EA05DE">
      <w:pPr>
        <w:pStyle w:val="Authors"/>
        <w:spacing w:line="480" w:lineRule="auto"/>
      </w:pPr>
      <w:r>
        <w:t>Amnon Koren, Steven A. McCarroll</w:t>
      </w:r>
    </w:p>
    <w:p w:rsidR="00EA05DE" w:rsidRDefault="00EA05DE" w:rsidP="00005738">
      <w:pPr>
        <w:spacing w:line="480" w:lineRule="auto"/>
        <w:rPr>
          <w:sz w:val="24"/>
          <w:szCs w:val="24"/>
        </w:rPr>
      </w:pPr>
    </w:p>
    <w:p w:rsidR="00EA05DE" w:rsidRDefault="00EA05DE" w:rsidP="00005738">
      <w:pPr>
        <w:spacing w:line="480" w:lineRule="auto"/>
        <w:rPr>
          <w:sz w:val="24"/>
          <w:szCs w:val="24"/>
        </w:rPr>
      </w:pPr>
    </w:p>
    <w:p w:rsidR="00EA05DE" w:rsidRDefault="00EA05DE" w:rsidP="00005738">
      <w:pPr>
        <w:spacing w:line="480" w:lineRule="auto"/>
        <w:rPr>
          <w:sz w:val="24"/>
          <w:szCs w:val="24"/>
        </w:rPr>
      </w:pPr>
    </w:p>
    <w:p w:rsidR="00EA05DE" w:rsidRDefault="00EA05DE" w:rsidP="00EA05DE">
      <w:pPr>
        <w:spacing w:line="480" w:lineRule="auto"/>
        <w:jc w:val="both"/>
        <w:rPr>
          <w:sz w:val="24"/>
          <w:szCs w:val="24"/>
        </w:rPr>
      </w:pPr>
      <w:r w:rsidRPr="00686D7B">
        <w:rPr>
          <w:b/>
          <w:bCs/>
          <w:sz w:val="24"/>
          <w:szCs w:val="24"/>
        </w:rPr>
        <w:t xml:space="preserve">Figure S1. </w:t>
      </w:r>
      <w:r w:rsidRPr="00686D7B">
        <w:rPr>
          <w:sz w:val="24"/>
          <w:szCs w:val="24"/>
        </w:rPr>
        <w:t>Cell lines used in this study.</w:t>
      </w:r>
    </w:p>
    <w:p w:rsidR="002310BC" w:rsidRDefault="002310BC" w:rsidP="00EA05DE">
      <w:pPr>
        <w:spacing w:line="480" w:lineRule="auto"/>
        <w:jc w:val="both"/>
        <w:rPr>
          <w:sz w:val="24"/>
          <w:szCs w:val="24"/>
        </w:rPr>
      </w:pPr>
    </w:p>
    <w:p w:rsidR="002310BC" w:rsidRDefault="002310BC" w:rsidP="00EA05DE">
      <w:pPr>
        <w:spacing w:line="480" w:lineRule="auto"/>
        <w:jc w:val="both"/>
        <w:rPr>
          <w:sz w:val="24"/>
          <w:szCs w:val="24"/>
        </w:rPr>
      </w:pPr>
      <w:r w:rsidRPr="002310BC">
        <w:rPr>
          <w:b/>
          <w:bCs/>
          <w:sz w:val="24"/>
          <w:szCs w:val="24"/>
        </w:rPr>
        <w:t>Figure S2.</w:t>
      </w:r>
      <w:r>
        <w:rPr>
          <w:sz w:val="24"/>
          <w:szCs w:val="24"/>
        </w:rPr>
        <w:t xml:space="preserve"> Detailed replication profiles of the active and inactive X chromosomes.</w:t>
      </w:r>
    </w:p>
    <w:p w:rsidR="002310BC" w:rsidRDefault="003739FB" w:rsidP="00B948C0">
      <w:pPr>
        <w:spacing w:line="480" w:lineRule="auto"/>
        <w:ind w:left="720"/>
        <w:jc w:val="both"/>
        <w:rPr>
          <w:sz w:val="24"/>
          <w:szCs w:val="24"/>
        </w:rPr>
      </w:pPr>
      <w:r>
        <w:rPr>
          <w:sz w:val="24"/>
          <w:szCs w:val="24"/>
        </w:rPr>
        <w:t xml:space="preserve">The active (red) and inactive (blue) X chromosome copies are </w:t>
      </w:r>
      <w:r w:rsidR="00216266">
        <w:rPr>
          <w:sz w:val="24"/>
          <w:szCs w:val="24"/>
        </w:rPr>
        <w:t>shown for the three female cell</w:t>
      </w:r>
      <w:bookmarkStart w:id="0" w:name="_GoBack"/>
      <w:bookmarkEnd w:id="0"/>
      <w:r>
        <w:rPr>
          <w:sz w:val="24"/>
          <w:szCs w:val="24"/>
        </w:rPr>
        <w:t xml:space="preserve"> lines. Vertical green shaded areas are regions in which we have increased the read coverage to 4-11 fold</w:t>
      </w:r>
      <w:r w:rsidR="00CF3469">
        <w:rPr>
          <w:sz w:val="24"/>
          <w:szCs w:val="24"/>
        </w:rPr>
        <w:t xml:space="preserve"> per allele</w:t>
      </w:r>
      <w:r>
        <w:rPr>
          <w:sz w:val="24"/>
          <w:szCs w:val="24"/>
        </w:rPr>
        <w:t xml:space="preserve"> in order to provide </w:t>
      </w:r>
      <w:r w:rsidR="00CF3469">
        <w:rPr>
          <w:sz w:val="24"/>
          <w:szCs w:val="24"/>
        </w:rPr>
        <w:t>higher</w:t>
      </w:r>
      <w:r>
        <w:rPr>
          <w:sz w:val="24"/>
          <w:szCs w:val="24"/>
        </w:rPr>
        <w:t xml:space="preserve"> resolution replication profiles. </w:t>
      </w:r>
      <w:r w:rsidR="0000471A">
        <w:rPr>
          <w:sz w:val="24"/>
          <w:szCs w:val="24"/>
        </w:rPr>
        <w:t>The replication patterns at the regions with increased read coverage were consistent with those seen for the rest of the X chromosome, i.e. consistent replication timing among females for the Xa but random, inconsistent replication of the Xi (with the exception of the 8Mb region on the distal short arm). The correlations between Xa replication timing of the different females for the non-pseudoautosomal</w:t>
      </w:r>
      <w:r w:rsidR="00B948C0">
        <w:rPr>
          <w:sz w:val="24"/>
          <w:szCs w:val="24"/>
        </w:rPr>
        <w:t xml:space="preserve"> high coverage</w:t>
      </w:r>
      <w:r w:rsidR="0000471A">
        <w:rPr>
          <w:sz w:val="24"/>
          <w:szCs w:val="24"/>
        </w:rPr>
        <w:t xml:space="preserve"> regions was on average r=0.72, while</w:t>
      </w:r>
      <w:r w:rsidR="00B948C0" w:rsidRPr="00B948C0">
        <w:rPr>
          <w:sz w:val="24"/>
          <w:szCs w:val="24"/>
        </w:rPr>
        <w:t xml:space="preserve"> </w:t>
      </w:r>
      <w:r w:rsidR="00B948C0">
        <w:rPr>
          <w:sz w:val="24"/>
          <w:szCs w:val="24"/>
        </w:rPr>
        <w:t>the correlations</w:t>
      </w:r>
      <w:r w:rsidR="0000471A">
        <w:rPr>
          <w:sz w:val="24"/>
          <w:szCs w:val="24"/>
        </w:rPr>
        <w:t xml:space="preserve"> for the Xi were significantly lower, r=0.44 on average, and the </w:t>
      </w:r>
      <w:r w:rsidR="00B948C0">
        <w:rPr>
          <w:sz w:val="24"/>
          <w:szCs w:val="24"/>
        </w:rPr>
        <w:t xml:space="preserve">average </w:t>
      </w:r>
      <w:r w:rsidR="0000471A">
        <w:rPr>
          <w:sz w:val="24"/>
          <w:szCs w:val="24"/>
        </w:rPr>
        <w:t xml:space="preserve">correlations between the Xa and Xi were r=0.49. </w:t>
      </w:r>
    </w:p>
    <w:p w:rsidR="00EA05DE" w:rsidRDefault="00EA05DE" w:rsidP="00005738">
      <w:pPr>
        <w:spacing w:line="480" w:lineRule="auto"/>
        <w:rPr>
          <w:sz w:val="24"/>
          <w:szCs w:val="24"/>
        </w:rPr>
      </w:pPr>
    </w:p>
    <w:p w:rsidR="00EA05DE" w:rsidRDefault="00EA05DE" w:rsidP="002310BC">
      <w:pPr>
        <w:spacing w:line="480" w:lineRule="auto"/>
        <w:jc w:val="both"/>
        <w:rPr>
          <w:sz w:val="24"/>
          <w:szCs w:val="24"/>
        </w:rPr>
      </w:pPr>
      <w:r w:rsidRPr="00686D7B">
        <w:rPr>
          <w:b/>
          <w:bCs/>
          <w:sz w:val="24"/>
          <w:szCs w:val="24"/>
        </w:rPr>
        <w:lastRenderedPageBreak/>
        <w:t>Figure S</w:t>
      </w:r>
      <w:r w:rsidR="002310BC">
        <w:rPr>
          <w:b/>
          <w:bCs/>
          <w:sz w:val="24"/>
          <w:szCs w:val="24"/>
        </w:rPr>
        <w:t>3</w:t>
      </w:r>
      <w:r w:rsidRPr="00686D7B">
        <w:rPr>
          <w:b/>
          <w:bCs/>
          <w:sz w:val="24"/>
          <w:szCs w:val="24"/>
        </w:rPr>
        <w:t>.</w:t>
      </w:r>
      <w:r w:rsidRPr="00686D7B">
        <w:rPr>
          <w:sz w:val="24"/>
          <w:szCs w:val="24"/>
        </w:rPr>
        <w:t xml:space="preserve"> Statistical analysis of the replication properties of evolutionary strata. </w:t>
      </w:r>
    </w:p>
    <w:p w:rsidR="00EA05DE" w:rsidRPr="00686D7B" w:rsidRDefault="00EA05DE" w:rsidP="00EA05DE">
      <w:pPr>
        <w:spacing w:line="480" w:lineRule="auto"/>
        <w:jc w:val="both"/>
        <w:rPr>
          <w:sz w:val="24"/>
          <w:szCs w:val="24"/>
        </w:rPr>
      </w:pPr>
    </w:p>
    <w:p w:rsidR="00EA05DE" w:rsidRDefault="00EA05DE" w:rsidP="00816C5A">
      <w:pPr>
        <w:spacing w:line="480" w:lineRule="auto"/>
        <w:ind w:left="720"/>
        <w:jc w:val="both"/>
        <w:rPr>
          <w:sz w:val="24"/>
          <w:szCs w:val="24"/>
        </w:rPr>
      </w:pPr>
      <w:r w:rsidRPr="00686D7B">
        <w:rPr>
          <w:sz w:val="24"/>
          <w:szCs w:val="24"/>
        </w:rPr>
        <w:t xml:space="preserve">Mean and standard errors of the data from Figure1D are shown for each stratum. The PAR2 region is too short (&lt;0.3Mb) to derive any conclusions regarding its replication time or structure on the Xi relative to the </w:t>
      </w:r>
      <w:r w:rsidRPr="00CF3469">
        <w:rPr>
          <w:sz w:val="24"/>
          <w:szCs w:val="24"/>
        </w:rPr>
        <w:t>Xa</w:t>
      </w:r>
      <w:r w:rsidR="009A258C" w:rsidRPr="00CF3469">
        <w:rPr>
          <w:sz w:val="24"/>
          <w:szCs w:val="24"/>
        </w:rPr>
        <w:t xml:space="preserve"> (see Figures 1D and S2)</w:t>
      </w:r>
      <w:r w:rsidRPr="00CF3469">
        <w:rPr>
          <w:sz w:val="24"/>
          <w:szCs w:val="24"/>
        </w:rPr>
        <w:t>. Our</w:t>
      </w:r>
      <w:r w:rsidRPr="00686D7B">
        <w:rPr>
          <w:sz w:val="24"/>
          <w:szCs w:val="24"/>
        </w:rPr>
        <w:t xml:space="preserve"> observation of variability of Xi replication among individuals may explain previously contradictory findings regarding whether the </w:t>
      </w:r>
      <w:r w:rsidRPr="00686D7B">
        <w:rPr>
          <w:i/>
          <w:iCs/>
          <w:sz w:val="24"/>
          <w:szCs w:val="24"/>
        </w:rPr>
        <w:t>XIST</w:t>
      </w:r>
      <w:r w:rsidRPr="00686D7B">
        <w:rPr>
          <w:sz w:val="24"/>
          <w:szCs w:val="24"/>
        </w:rPr>
        <w:t xml:space="preserve"> locus is replicated earlier on the Xi (from which it is exclusively expressed; </w:t>
      </w:r>
      <w:r w:rsidR="001C3B6C">
        <w:rPr>
          <w:sz w:val="24"/>
          <w:szCs w:val="24"/>
        </w:rPr>
        <w:t>Boggs and Chinault, 1994; Torchia and Migeon, 1995</w:t>
      </w:r>
      <w:r w:rsidRPr="00686D7B">
        <w:rPr>
          <w:sz w:val="24"/>
          <w:szCs w:val="24"/>
        </w:rPr>
        <w:t>) or the Xa (</w:t>
      </w:r>
      <w:r w:rsidR="001C3B6C">
        <w:rPr>
          <w:sz w:val="24"/>
          <w:szCs w:val="24"/>
        </w:rPr>
        <w:t xml:space="preserve">Gartler </w:t>
      </w:r>
      <w:r w:rsidR="001C3B6C" w:rsidRPr="001C3B6C">
        <w:rPr>
          <w:i/>
          <w:iCs/>
          <w:sz w:val="24"/>
          <w:szCs w:val="24"/>
        </w:rPr>
        <w:t>et al.,</w:t>
      </w:r>
      <w:r w:rsidR="001C3B6C">
        <w:rPr>
          <w:sz w:val="24"/>
          <w:szCs w:val="24"/>
        </w:rPr>
        <w:t xml:space="preserve"> 1999; Xiong </w:t>
      </w:r>
      <w:r w:rsidR="001C3B6C" w:rsidRPr="001C3B6C">
        <w:rPr>
          <w:i/>
          <w:iCs/>
          <w:sz w:val="24"/>
          <w:szCs w:val="24"/>
        </w:rPr>
        <w:t>et al.,</w:t>
      </w:r>
      <w:r w:rsidR="001C3B6C">
        <w:rPr>
          <w:sz w:val="24"/>
          <w:szCs w:val="24"/>
        </w:rPr>
        <w:t xml:space="preserve"> 1998</w:t>
      </w:r>
      <w:r w:rsidRPr="00686D7B">
        <w:rPr>
          <w:sz w:val="24"/>
          <w:szCs w:val="24"/>
        </w:rPr>
        <w:t xml:space="preserve">); indeed, in our data </w:t>
      </w:r>
      <w:r w:rsidRPr="00686D7B">
        <w:rPr>
          <w:i/>
          <w:iCs/>
          <w:sz w:val="24"/>
          <w:szCs w:val="24"/>
        </w:rPr>
        <w:t>XIST</w:t>
      </w:r>
      <w:r w:rsidRPr="00686D7B">
        <w:rPr>
          <w:sz w:val="24"/>
          <w:szCs w:val="24"/>
        </w:rPr>
        <w:t xml:space="preserve"> replicated earlier on the Xi in one of the cell lines but not the others </w:t>
      </w:r>
      <w:r w:rsidRPr="00CF3469">
        <w:rPr>
          <w:sz w:val="24"/>
          <w:szCs w:val="24"/>
        </w:rPr>
        <w:t xml:space="preserve">(Figure 1D). </w:t>
      </w:r>
      <w:r w:rsidR="005A01ED" w:rsidRPr="00CF3469">
        <w:rPr>
          <w:sz w:val="24"/>
          <w:szCs w:val="24"/>
        </w:rPr>
        <w:t>No other regions beyond the 8Mb distal short arm region, including other regions of escaping genes, showed any indication of organized replication</w:t>
      </w:r>
      <w:r w:rsidR="00566CF1" w:rsidRPr="00CF3469">
        <w:rPr>
          <w:sz w:val="24"/>
          <w:szCs w:val="24"/>
        </w:rPr>
        <w:t xml:space="preserve"> or of earlier replication on the Xi relative to the Xa</w:t>
      </w:r>
      <w:r w:rsidR="005A01ED" w:rsidRPr="00CF3469">
        <w:rPr>
          <w:sz w:val="24"/>
          <w:szCs w:val="24"/>
        </w:rPr>
        <w:t>.</w:t>
      </w:r>
      <w:r w:rsidR="005A01ED">
        <w:rPr>
          <w:sz w:val="24"/>
          <w:szCs w:val="24"/>
        </w:rPr>
        <w:t xml:space="preserve"> </w:t>
      </w:r>
    </w:p>
    <w:p w:rsidR="00EA05DE" w:rsidRDefault="00EA05DE" w:rsidP="00005738">
      <w:pPr>
        <w:spacing w:line="480" w:lineRule="auto"/>
        <w:rPr>
          <w:sz w:val="24"/>
          <w:szCs w:val="24"/>
        </w:rPr>
      </w:pPr>
    </w:p>
    <w:p w:rsidR="00EA05DE" w:rsidRDefault="00EA05DE" w:rsidP="00005738">
      <w:pPr>
        <w:spacing w:line="480" w:lineRule="auto"/>
        <w:rPr>
          <w:sz w:val="24"/>
          <w:szCs w:val="24"/>
        </w:rPr>
      </w:pPr>
    </w:p>
    <w:p w:rsidR="00EA05DE" w:rsidRDefault="00EA05DE" w:rsidP="002310BC">
      <w:pPr>
        <w:spacing w:line="480" w:lineRule="auto"/>
        <w:jc w:val="both"/>
        <w:rPr>
          <w:sz w:val="24"/>
          <w:szCs w:val="24"/>
        </w:rPr>
      </w:pPr>
      <w:r w:rsidRPr="00686D7B">
        <w:rPr>
          <w:b/>
          <w:bCs/>
          <w:sz w:val="24"/>
          <w:szCs w:val="24"/>
        </w:rPr>
        <w:t>Figure S</w:t>
      </w:r>
      <w:r w:rsidR="002310BC">
        <w:rPr>
          <w:b/>
          <w:bCs/>
          <w:sz w:val="24"/>
          <w:szCs w:val="24"/>
        </w:rPr>
        <w:t>4</w:t>
      </w:r>
      <w:r w:rsidRPr="00686D7B">
        <w:rPr>
          <w:b/>
          <w:bCs/>
          <w:sz w:val="24"/>
          <w:szCs w:val="24"/>
        </w:rPr>
        <w:t>.</w:t>
      </w:r>
      <w:r w:rsidRPr="00686D7B">
        <w:rPr>
          <w:sz w:val="24"/>
          <w:szCs w:val="24"/>
        </w:rPr>
        <w:t xml:space="preserve"> The gradual increase in replication randomness along S phase can explain the random replication of the Xi. </w:t>
      </w:r>
    </w:p>
    <w:p w:rsidR="00EA05DE" w:rsidRPr="00686D7B" w:rsidRDefault="00EA05DE" w:rsidP="00EA05DE">
      <w:pPr>
        <w:spacing w:line="480" w:lineRule="auto"/>
        <w:jc w:val="both"/>
        <w:rPr>
          <w:sz w:val="24"/>
          <w:szCs w:val="24"/>
        </w:rPr>
      </w:pPr>
    </w:p>
    <w:p w:rsidR="00EA05DE" w:rsidRPr="00CF3469" w:rsidRDefault="00EA05DE" w:rsidP="00816C5A">
      <w:pPr>
        <w:spacing w:line="480" w:lineRule="auto"/>
        <w:ind w:left="720"/>
        <w:jc w:val="both"/>
        <w:rPr>
          <w:sz w:val="24"/>
          <w:szCs w:val="24"/>
        </w:rPr>
      </w:pPr>
      <w:r w:rsidRPr="00686D7B">
        <w:rPr>
          <w:sz w:val="24"/>
          <w:szCs w:val="24"/>
        </w:rPr>
        <w:t xml:space="preserve">We specifically looked at autosomal autocorrelation (as in Figure 3) for the time range that parallels the time when the Xi replicates, and for an equal amount of data centered on the mean Xa replication time. The difference between these two time ranges was similar to the differences between the Xa and Xi (see Figure 2B). Data for the YRI samples were less </w:t>
      </w:r>
      <w:r w:rsidRPr="00CF3469">
        <w:rPr>
          <w:sz w:val="24"/>
          <w:szCs w:val="24"/>
        </w:rPr>
        <w:t>reliable due to an overall lower read depth (</w:t>
      </w:r>
      <w:r w:rsidR="001C3B6C">
        <w:rPr>
          <w:sz w:val="24"/>
          <w:szCs w:val="24"/>
        </w:rPr>
        <w:t xml:space="preserve">Koren </w:t>
      </w:r>
      <w:r w:rsidR="001C3B6C" w:rsidRPr="001C3B6C">
        <w:rPr>
          <w:i/>
          <w:iCs/>
          <w:sz w:val="24"/>
          <w:szCs w:val="24"/>
        </w:rPr>
        <w:t>et al.,</w:t>
      </w:r>
      <w:r w:rsidR="001C3B6C">
        <w:rPr>
          <w:sz w:val="24"/>
          <w:szCs w:val="24"/>
        </w:rPr>
        <w:t xml:space="preserve"> 2012</w:t>
      </w:r>
      <w:r w:rsidRPr="00CF3469">
        <w:rPr>
          <w:sz w:val="24"/>
          <w:szCs w:val="24"/>
        </w:rPr>
        <w:t xml:space="preserve">).  </w:t>
      </w:r>
    </w:p>
    <w:p w:rsidR="00EA05DE" w:rsidRPr="00CF3469" w:rsidRDefault="00EA05DE" w:rsidP="00EA05DE">
      <w:pPr>
        <w:spacing w:line="480" w:lineRule="auto"/>
        <w:rPr>
          <w:sz w:val="24"/>
          <w:szCs w:val="24"/>
        </w:rPr>
      </w:pPr>
    </w:p>
    <w:p w:rsidR="00EA21C2" w:rsidRPr="00CF3469" w:rsidRDefault="00EA21C2" w:rsidP="00EA21C2">
      <w:pPr>
        <w:spacing w:line="480" w:lineRule="auto"/>
        <w:rPr>
          <w:sz w:val="24"/>
          <w:szCs w:val="24"/>
        </w:rPr>
      </w:pPr>
      <w:r w:rsidRPr="00CF3469">
        <w:rPr>
          <w:b/>
          <w:bCs/>
          <w:sz w:val="24"/>
          <w:szCs w:val="24"/>
        </w:rPr>
        <w:lastRenderedPageBreak/>
        <w:t>Table S1.</w:t>
      </w:r>
      <w:r w:rsidRPr="00CF3469">
        <w:rPr>
          <w:sz w:val="24"/>
          <w:szCs w:val="24"/>
        </w:rPr>
        <w:t xml:space="preserve"> Number of reads available for</w:t>
      </w:r>
      <w:r w:rsidR="005259CA" w:rsidRPr="00CF3469">
        <w:rPr>
          <w:sz w:val="24"/>
          <w:szCs w:val="24"/>
        </w:rPr>
        <w:t xml:space="preserve"> the X chromosome in</w:t>
      </w:r>
      <w:r w:rsidRPr="00CF3469">
        <w:rPr>
          <w:sz w:val="24"/>
          <w:szCs w:val="24"/>
        </w:rPr>
        <w:t xml:space="preserve"> each sample.</w:t>
      </w:r>
    </w:p>
    <w:tbl>
      <w:tblPr>
        <w:tblStyle w:val="TableGrid"/>
        <w:tblW w:w="0" w:type="auto"/>
        <w:tblInd w:w="648" w:type="dxa"/>
        <w:tblLook w:val="04A0" w:firstRow="1" w:lastRow="0" w:firstColumn="1" w:lastColumn="0" w:noHBand="0" w:noVBand="1"/>
      </w:tblPr>
      <w:tblGrid>
        <w:gridCol w:w="1656"/>
        <w:gridCol w:w="1656"/>
        <w:gridCol w:w="1656"/>
        <w:gridCol w:w="1656"/>
        <w:gridCol w:w="1656"/>
      </w:tblGrid>
      <w:tr w:rsidR="00EA21C2" w:rsidRPr="00CF3469" w:rsidTr="00EA21C2">
        <w:tc>
          <w:tcPr>
            <w:tcW w:w="1656" w:type="dxa"/>
            <w:vAlign w:val="bottom"/>
          </w:tcPr>
          <w:p w:rsidR="00EA21C2" w:rsidRPr="00CF3469" w:rsidRDefault="00EA21C2">
            <w:pPr>
              <w:rPr>
                <w:rFonts w:ascii="Calibri" w:hAnsi="Calibri" w:cs="Calibri"/>
                <w:color w:val="000000"/>
                <w:sz w:val="22"/>
                <w:szCs w:val="22"/>
              </w:rPr>
            </w:pPr>
          </w:p>
        </w:tc>
        <w:tc>
          <w:tcPr>
            <w:tcW w:w="1656" w:type="dxa"/>
            <w:vAlign w:val="bottom"/>
          </w:tcPr>
          <w:p w:rsidR="00EA21C2" w:rsidRPr="00CF3469" w:rsidRDefault="00EA21C2">
            <w:pPr>
              <w:rPr>
                <w:rFonts w:ascii="Calibri" w:hAnsi="Calibri" w:cs="Calibri"/>
                <w:color w:val="000000"/>
                <w:sz w:val="22"/>
                <w:szCs w:val="22"/>
              </w:rPr>
            </w:pPr>
            <w:r w:rsidRPr="00CF3469">
              <w:rPr>
                <w:rFonts w:ascii="Calibri" w:hAnsi="Calibri" w:cs="Calibri"/>
                <w:color w:val="000000"/>
                <w:sz w:val="22"/>
                <w:szCs w:val="22"/>
              </w:rPr>
              <w:t>G1 paternal</w:t>
            </w:r>
          </w:p>
        </w:tc>
        <w:tc>
          <w:tcPr>
            <w:tcW w:w="1656" w:type="dxa"/>
            <w:vAlign w:val="bottom"/>
          </w:tcPr>
          <w:p w:rsidR="00EA21C2" w:rsidRPr="00CF3469" w:rsidRDefault="00EA21C2">
            <w:pPr>
              <w:rPr>
                <w:rFonts w:ascii="Calibri" w:hAnsi="Calibri" w:cs="Calibri"/>
                <w:color w:val="000000"/>
                <w:sz w:val="22"/>
                <w:szCs w:val="22"/>
              </w:rPr>
            </w:pPr>
            <w:r w:rsidRPr="00CF3469">
              <w:rPr>
                <w:rFonts w:ascii="Calibri" w:hAnsi="Calibri" w:cs="Calibri"/>
                <w:color w:val="000000"/>
                <w:sz w:val="22"/>
                <w:szCs w:val="22"/>
              </w:rPr>
              <w:t>G1 maternal</w:t>
            </w:r>
          </w:p>
        </w:tc>
        <w:tc>
          <w:tcPr>
            <w:tcW w:w="1656" w:type="dxa"/>
            <w:vAlign w:val="bottom"/>
          </w:tcPr>
          <w:p w:rsidR="00EA21C2" w:rsidRPr="00CF3469" w:rsidRDefault="00EA21C2">
            <w:pPr>
              <w:rPr>
                <w:rFonts w:ascii="Calibri" w:hAnsi="Calibri" w:cs="Calibri"/>
                <w:color w:val="000000"/>
                <w:sz w:val="22"/>
                <w:szCs w:val="22"/>
              </w:rPr>
            </w:pPr>
            <w:r w:rsidRPr="00CF3469">
              <w:rPr>
                <w:rFonts w:ascii="Calibri" w:hAnsi="Calibri" w:cs="Calibri"/>
                <w:color w:val="000000"/>
                <w:sz w:val="22"/>
                <w:szCs w:val="22"/>
              </w:rPr>
              <w:t>S paternal</w:t>
            </w:r>
          </w:p>
        </w:tc>
        <w:tc>
          <w:tcPr>
            <w:tcW w:w="1656" w:type="dxa"/>
            <w:vAlign w:val="bottom"/>
          </w:tcPr>
          <w:p w:rsidR="00EA21C2" w:rsidRPr="00CF3469" w:rsidRDefault="00EA21C2">
            <w:pPr>
              <w:rPr>
                <w:rFonts w:ascii="Calibri" w:hAnsi="Calibri" w:cs="Calibri"/>
                <w:color w:val="000000"/>
                <w:sz w:val="22"/>
                <w:szCs w:val="22"/>
              </w:rPr>
            </w:pPr>
            <w:r w:rsidRPr="00CF3469">
              <w:rPr>
                <w:rFonts w:ascii="Calibri" w:hAnsi="Calibri" w:cs="Calibri"/>
                <w:color w:val="000000"/>
                <w:sz w:val="22"/>
                <w:szCs w:val="22"/>
              </w:rPr>
              <w:t>S maternal</w:t>
            </w:r>
          </w:p>
        </w:tc>
      </w:tr>
      <w:tr w:rsidR="00EA21C2" w:rsidRPr="00CF3469" w:rsidTr="00EA21C2">
        <w:tc>
          <w:tcPr>
            <w:tcW w:w="1656" w:type="dxa"/>
            <w:vAlign w:val="bottom"/>
          </w:tcPr>
          <w:p w:rsidR="00EA21C2" w:rsidRPr="00CF3469" w:rsidRDefault="00EA21C2">
            <w:pPr>
              <w:rPr>
                <w:rFonts w:ascii="Calibri" w:hAnsi="Calibri" w:cs="Calibri"/>
                <w:color w:val="000000"/>
                <w:sz w:val="22"/>
                <w:szCs w:val="22"/>
              </w:rPr>
            </w:pPr>
            <w:r w:rsidRPr="00CF3469">
              <w:rPr>
                <w:rFonts w:ascii="Calibri" w:hAnsi="Calibri" w:cs="Calibri"/>
                <w:color w:val="000000"/>
                <w:sz w:val="22"/>
                <w:szCs w:val="22"/>
              </w:rPr>
              <w:t>NA19240</w:t>
            </w:r>
          </w:p>
        </w:tc>
        <w:tc>
          <w:tcPr>
            <w:tcW w:w="1656" w:type="dxa"/>
            <w:vAlign w:val="bottom"/>
          </w:tcPr>
          <w:p w:rsidR="00EA21C2" w:rsidRPr="00CF3469" w:rsidRDefault="00EA21C2">
            <w:pPr>
              <w:jc w:val="right"/>
              <w:rPr>
                <w:rFonts w:ascii="Calibri" w:hAnsi="Calibri" w:cs="Calibri"/>
                <w:color w:val="000000"/>
                <w:sz w:val="22"/>
                <w:szCs w:val="22"/>
              </w:rPr>
            </w:pPr>
            <w:r w:rsidRPr="00CF3469">
              <w:rPr>
                <w:rFonts w:ascii="Calibri" w:hAnsi="Calibri" w:cs="Calibri"/>
                <w:color w:val="000000"/>
                <w:sz w:val="22"/>
                <w:szCs w:val="22"/>
              </w:rPr>
              <w:t>113800</w:t>
            </w:r>
          </w:p>
        </w:tc>
        <w:tc>
          <w:tcPr>
            <w:tcW w:w="1656" w:type="dxa"/>
            <w:vAlign w:val="bottom"/>
          </w:tcPr>
          <w:p w:rsidR="00EA21C2" w:rsidRPr="00CF3469" w:rsidRDefault="00EA21C2">
            <w:pPr>
              <w:jc w:val="right"/>
              <w:rPr>
                <w:rFonts w:ascii="Calibri" w:hAnsi="Calibri" w:cs="Calibri"/>
                <w:color w:val="000000"/>
                <w:sz w:val="22"/>
                <w:szCs w:val="22"/>
              </w:rPr>
            </w:pPr>
            <w:r w:rsidRPr="00CF3469">
              <w:rPr>
                <w:rFonts w:ascii="Calibri" w:hAnsi="Calibri" w:cs="Calibri"/>
                <w:color w:val="000000"/>
                <w:sz w:val="22"/>
                <w:szCs w:val="22"/>
              </w:rPr>
              <w:t>135261</w:t>
            </w:r>
          </w:p>
        </w:tc>
        <w:tc>
          <w:tcPr>
            <w:tcW w:w="1656" w:type="dxa"/>
            <w:vAlign w:val="bottom"/>
          </w:tcPr>
          <w:p w:rsidR="00EA21C2" w:rsidRPr="00CF3469" w:rsidRDefault="00EA21C2">
            <w:pPr>
              <w:jc w:val="right"/>
              <w:rPr>
                <w:rFonts w:ascii="Calibri" w:hAnsi="Calibri" w:cs="Calibri"/>
                <w:color w:val="000000"/>
                <w:sz w:val="22"/>
                <w:szCs w:val="22"/>
              </w:rPr>
            </w:pPr>
            <w:r w:rsidRPr="00CF3469">
              <w:rPr>
                <w:rFonts w:ascii="Calibri" w:hAnsi="Calibri" w:cs="Calibri"/>
                <w:color w:val="000000"/>
                <w:sz w:val="22"/>
                <w:szCs w:val="22"/>
              </w:rPr>
              <w:t>99895</w:t>
            </w:r>
          </w:p>
        </w:tc>
        <w:tc>
          <w:tcPr>
            <w:tcW w:w="1656" w:type="dxa"/>
            <w:vAlign w:val="bottom"/>
          </w:tcPr>
          <w:p w:rsidR="00EA21C2" w:rsidRPr="00CF3469" w:rsidRDefault="00EA21C2">
            <w:pPr>
              <w:jc w:val="right"/>
              <w:rPr>
                <w:rFonts w:ascii="Calibri" w:hAnsi="Calibri" w:cs="Calibri"/>
                <w:color w:val="000000"/>
                <w:sz w:val="22"/>
                <w:szCs w:val="22"/>
              </w:rPr>
            </w:pPr>
            <w:r w:rsidRPr="00CF3469">
              <w:rPr>
                <w:rFonts w:ascii="Calibri" w:hAnsi="Calibri" w:cs="Calibri"/>
                <w:color w:val="000000"/>
                <w:sz w:val="22"/>
                <w:szCs w:val="22"/>
              </w:rPr>
              <w:t>140470</w:t>
            </w:r>
          </w:p>
        </w:tc>
      </w:tr>
      <w:tr w:rsidR="00EA21C2" w:rsidRPr="00CF3469" w:rsidTr="00EA21C2">
        <w:tc>
          <w:tcPr>
            <w:tcW w:w="1656" w:type="dxa"/>
            <w:vAlign w:val="bottom"/>
          </w:tcPr>
          <w:p w:rsidR="00EA21C2" w:rsidRPr="00CF3469" w:rsidRDefault="00EA21C2">
            <w:pPr>
              <w:rPr>
                <w:rFonts w:ascii="Calibri" w:hAnsi="Calibri" w:cs="Calibri"/>
                <w:color w:val="000000"/>
                <w:sz w:val="22"/>
                <w:szCs w:val="22"/>
              </w:rPr>
            </w:pPr>
            <w:r w:rsidRPr="00CF3469">
              <w:rPr>
                <w:rFonts w:ascii="Calibri" w:hAnsi="Calibri" w:cs="Calibri"/>
                <w:color w:val="000000"/>
                <w:sz w:val="22"/>
                <w:szCs w:val="22"/>
              </w:rPr>
              <w:t>NA12878</w:t>
            </w:r>
          </w:p>
        </w:tc>
        <w:tc>
          <w:tcPr>
            <w:tcW w:w="1656" w:type="dxa"/>
            <w:vAlign w:val="bottom"/>
          </w:tcPr>
          <w:p w:rsidR="00EA21C2" w:rsidRPr="00CF3469" w:rsidRDefault="00EA21C2">
            <w:pPr>
              <w:jc w:val="right"/>
              <w:rPr>
                <w:rFonts w:ascii="Calibri" w:hAnsi="Calibri" w:cs="Calibri"/>
                <w:color w:val="000000"/>
                <w:sz w:val="22"/>
                <w:szCs w:val="22"/>
              </w:rPr>
            </w:pPr>
            <w:r w:rsidRPr="00CF3469">
              <w:rPr>
                <w:rFonts w:ascii="Calibri" w:hAnsi="Calibri" w:cs="Calibri"/>
                <w:color w:val="000000"/>
                <w:sz w:val="22"/>
                <w:szCs w:val="22"/>
              </w:rPr>
              <w:t>63716</w:t>
            </w:r>
          </w:p>
        </w:tc>
        <w:tc>
          <w:tcPr>
            <w:tcW w:w="1656" w:type="dxa"/>
            <w:vAlign w:val="bottom"/>
          </w:tcPr>
          <w:p w:rsidR="00EA21C2" w:rsidRPr="00CF3469" w:rsidRDefault="00EA21C2">
            <w:pPr>
              <w:jc w:val="right"/>
              <w:rPr>
                <w:rFonts w:ascii="Calibri" w:hAnsi="Calibri" w:cs="Calibri"/>
                <w:color w:val="000000"/>
                <w:sz w:val="22"/>
                <w:szCs w:val="22"/>
              </w:rPr>
            </w:pPr>
            <w:r w:rsidRPr="00CF3469">
              <w:rPr>
                <w:rFonts w:ascii="Calibri" w:hAnsi="Calibri" w:cs="Calibri"/>
                <w:color w:val="000000"/>
                <w:sz w:val="22"/>
                <w:szCs w:val="22"/>
              </w:rPr>
              <w:t>69583</w:t>
            </w:r>
          </w:p>
        </w:tc>
        <w:tc>
          <w:tcPr>
            <w:tcW w:w="1656" w:type="dxa"/>
            <w:vAlign w:val="bottom"/>
          </w:tcPr>
          <w:p w:rsidR="00EA21C2" w:rsidRPr="00CF3469" w:rsidRDefault="00EA21C2">
            <w:pPr>
              <w:jc w:val="right"/>
              <w:rPr>
                <w:rFonts w:ascii="Calibri" w:hAnsi="Calibri" w:cs="Calibri"/>
                <w:color w:val="000000"/>
                <w:sz w:val="22"/>
                <w:szCs w:val="22"/>
              </w:rPr>
            </w:pPr>
            <w:r w:rsidRPr="00CF3469">
              <w:rPr>
                <w:rFonts w:ascii="Calibri" w:hAnsi="Calibri" w:cs="Calibri"/>
                <w:color w:val="000000"/>
                <w:sz w:val="22"/>
                <w:szCs w:val="22"/>
              </w:rPr>
              <w:t>114006</w:t>
            </w:r>
          </w:p>
        </w:tc>
        <w:tc>
          <w:tcPr>
            <w:tcW w:w="1656" w:type="dxa"/>
            <w:vAlign w:val="bottom"/>
          </w:tcPr>
          <w:p w:rsidR="00EA21C2" w:rsidRPr="00CF3469" w:rsidRDefault="00EA21C2">
            <w:pPr>
              <w:jc w:val="right"/>
              <w:rPr>
                <w:rFonts w:ascii="Calibri" w:hAnsi="Calibri" w:cs="Calibri"/>
                <w:color w:val="000000"/>
                <w:sz w:val="22"/>
                <w:szCs w:val="22"/>
              </w:rPr>
            </w:pPr>
            <w:r w:rsidRPr="00CF3469">
              <w:rPr>
                <w:rFonts w:ascii="Calibri" w:hAnsi="Calibri" w:cs="Calibri"/>
                <w:color w:val="000000"/>
                <w:sz w:val="22"/>
                <w:szCs w:val="22"/>
              </w:rPr>
              <w:t>142934</w:t>
            </w:r>
          </w:p>
        </w:tc>
      </w:tr>
      <w:tr w:rsidR="00EA21C2" w:rsidRPr="00CF3469" w:rsidTr="00EA21C2">
        <w:tc>
          <w:tcPr>
            <w:tcW w:w="1656" w:type="dxa"/>
            <w:vAlign w:val="bottom"/>
          </w:tcPr>
          <w:p w:rsidR="00EA21C2" w:rsidRPr="00CF3469" w:rsidRDefault="00EA21C2">
            <w:pPr>
              <w:rPr>
                <w:rFonts w:ascii="Calibri" w:hAnsi="Calibri" w:cs="Calibri"/>
                <w:color w:val="000000"/>
                <w:sz w:val="22"/>
                <w:szCs w:val="22"/>
              </w:rPr>
            </w:pPr>
            <w:r w:rsidRPr="00CF3469">
              <w:rPr>
                <w:rFonts w:ascii="Calibri" w:hAnsi="Calibri" w:cs="Calibri"/>
                <w:color w:val="000000"/>
                <w:sz w:val="22"/>
                <w:szCs w:val="22"/>
              </w:rPr>
              <w:t>NA12892</w:t>
            </w:r>
          </w:p>
        </w:tc>
        <w:tc>
          <w:tcPr>
            <w:tcW w:w="1656" w:type="dxa"/>
            <w:vAlign w:val="bottom"/>
          </w:tcPr>
          <w:p w:rsidR="00EA21C2" w:rsidRPr="00CF3469" w:rsidRDefault="00EA21C2">
            <w:pPr>
              <w:jc w:val="right"/>
              <w:rPr>
                <w:rFonts w:ascii="Calibri" w:hAnsi="Calibri" w:cs="Calibri"/>
                <w:color w:val="000000"/>
                <w:sz w:val="22"/>
                <w:szCs w:val="22"/>
              </w:rPr>
            </w:pPr>
            <w:r w:rsidRPr="00CF3469">
              <w:rPr>
                <w:rFonts w:ascii="Calibri" w:hAnsi="Calibri" w:cs="Calibri"/>
                <w:color w:val="000000"/>
                <w:sz w:val="22"/>
                <w:szCs w:val="22"/>
              </w:rPr>
              <w:t>59476</w:t>
            </w:r>
          </w:p>
        </w:tc>
        <w:tc>
          <w:tcPr>
            <w:tcW w:w="1656" w:type="dxa"/>
            <w:vAlign w:val="bottom"/>
          </w:tcPr>
          <w:p w:rsidR="00EA21C2" w:rsidRPr="00CF3469" w:rsidRDefault="00EA21C2">
            <w:pPr>
              <w:jc w:val="right"/>
              <w:rPr>
                <w:rFonts w:ascii="Calibri" w:hAnsi="Calibri" w:cs="Calibri"/>
                <w:color w:val="000000"/>
                <w:sz w:val="22"/>
                <w:szCs w:val="22"/>
              </w:rPr>
            </w:pPr>
            <w:r w:rsidRPr="00CF3469">
              <w:rPr>
                <w:rFonts w:ascii="Calibri" w:hAnsi="Calibri" w:cs="Calibri"/>
                <w:color w:val="000000"/>
                <w:sz w:val="22"/>
                <w:szCs w:val="22"/>
              </w:rPr>
              <w:t>60068</w:t>
            </w:r>
          </w:p>
        </w:tc>
        <w:tc>
          <w:tcPr>
            <w:tcW w:w="1656" w:type="dxa"/>
            <w:vAlign w:val="bottom"/>
          </w:tcPr>
          <w:p w:rsidR="00EA21C2" w:rsidRPr="00CF3469" w:rsidRDefault="00EA21C2">
            <w:pPr>
              <w:jc w:val="right"/>
              <w:rPr>
                <w:rFonts w:ascii="Calibri" w:hAnsi="Calibri" w:cs="Calibri"/>
                <w:color w:val="000000"/>
                <w:sz w:val="22"/>
                <w:szCs w:val="22"/>
              </w:rPr>
            </w:pPr>
            <w:r w:rsidRPr="00CF3469">
              <w:rPr>
                <w:rFonts w:ascii="Calibri" w:hAnsi="Calibri" w:cs="Calibri"/>
                <w:color w:val="000000"/>
                <w:sz w:val="22"/>
                <w:szCs w:val="22"/>
              </w:rPr>
              <w:t>111877</w:t>
            </w:r>
          </w:p>
        </w:tc>
        <w:tc>
          <w:tcPr>
            <w:tcW w:w="1656" w:type="dxa"/>
            <w:vAlign w:val="bottom"/>
          </w:tcPr>
          <w:p w:rsidR="00EA21C2" w:rsidRPr="00CF3469" w:rsidRDefault="00EA21C2">
            <w:pPr>
              <w:jc w:val="right"/>
              <w:rPr>
                <w:rFonts w:ascii="Calibri" w:hAnsi="Calibri" w:cs="Calibri"/>
                <w:color w:val="000000"/>
                <w:sz w:val="22"/>
                <w:szCs w:val="22"/>
              </w:rPr>
            </w:pPr>
            <w:r w:rsidRPr="00CF3469">
              <w:rPr>
                <w:rFonts w:ascii="Calibri" w:hAnsi="Calibri" w:cs="Calibri"/>
                <w:color w:val="000000"/>
                <w:sz w:val="22"/>
                <w:szCs w:val="22"/>
              </w:rPr>
              <w:t>120698</w:t>
            </w:r>
          </w:p>
        </w:tc>
      </w:tr>
    </w:tbl>
    <w:p w:rsidR="00EA21C2" w:rsidRPr="00CF3469" w:rsidRDefault="00EA21C2" w:rsidP="00EA05DE">
      <w:pPr>
        <w:spacing w:line="480" w:lineRule="auto"/>
        <w:rPr>
          <w:sz w:val="24"/>
          <w:szCs w:val="24"/>
        </w:rPr>
      </w:pPr>
    </w:p>
    <w:p w:rsidR="00EA21C2" w:rsidRDefault="00EA21C2" w:rsidP="00EA21C2">
      <w:pPr>
        <w:spacing w:line="480" w:lineRule="auto"/>
        <w:ind w:left="720"/>
        <w:rPr>
          <w:sz w:val="24"/>
          <w:szCs w:val="24"/>
        </w:rPr>
      </w:pPr>
      <w:r w:rsidRPr="00CF3469">
        <w:rPr>
          <w:sz w:val="24"/>
          <w:szCs w:val="24"/>
        </w:rPr>
        <w:t>Note: for NA12892, the numbers in the ‘paternal’ columns refer to the transmitted copy of the chromosome, and the numbers in the ‘maternal’ columns to the non-transmitted copy of the chromosome.</w:t>
      </w:r>
      <w:r>
        <w:rPr>
          <w:sz w:val="24"/>
          <w:szCs w:val="24"/>
        </w:rPr>
        <w:t xml:space="preserve"> </w:t>
      </w:r>
    </w:p>
    <w:p w:rsidR="00EA21C2" w:rsidRDefault="00EA21C2" w:rsidP="00EA05DE">
      <w:pPr>
        <w:spacing w:line="480" w:lineRule="auto"/>
        <w:rPr>
          <w:sz w:val="24"/>
          <w:szCs w:val="24"/>
        </w:rPr>
      </w:pPr>
    </w:p>
    <w:p w:rsidR="00EA05DE" w:rsidRDefault="00EA05DE" w:rsidP="00005738">
      <w:pPr>
        <w:spacing w:line="480" w:lineRule="auto"/>
        <w:rPr>
          <w:sz w:val="24"/>
          <w:szCs w:val="24"/>
        </w:rPr>
      </w:pPr>
    </w:p>
    <w:p w:rsidR="00EA05DE" w:rsidRDefault="00816C5A" w:rsidP="00816C5A">
      <w:pPr>
        <w:spacing w:line="480" w:lineRule="auto"/>
        <w:jc w:val="both"/>
        <w:rPr>
          <w:b/>
          <w:bCs/>
          <w:sz w:val="24"/>
          <w:szCs w:val="24"/>
        </w:rPr>
      </w:pPr>
      <w:r>
        <w:rPr>
          <w:b/>
          <w:bCs/>
          <w:sz w:val="24"/>
          <w:szCs w:val="24"/>
        </w:rPr>
        <w:t>Supplementary r</w:t>
      </w:r>
      <w:r w:rsidR="00EA05DE" w:rsidRPr="00EA05DE">
        <w:rPr>
          <w:b/>
          <w:bCs/>
          <w:sz w:val="24"/>
          <w:szCs w:val="24"/>
        </w:rPr>
        <w:t>eferences</w:t>
      </w:r>
    </w:p>
    <w:p w:rsidR="00C67CC2" w:rsidRPr="00C67CC2" w:rsidRDefault="00C67CC2" w:rsidP="00C67CC2">
      <w:pPr>
        <w:rPr>
          <w:sz w:val="24"/>
          <w:szCs w:val="24"/>
        </w:rPr>
      </w:pPr>
      <w:r w:rsidRPr="00C67CC2">
        <w:rPr>
          <w:sz w:val="24"/>
          <w:szCs w:val="24"/>
        </w:rPr>
        <w:t xml:space="preserve">Boggs BA, Chinault AC. 1994. Analysis of replication timing properties of human X-chromosomal loci by fluorescence in situ hybridization. Proceedings of the National Academy of Sciences 91 6083-6087 </w:t>
      </w:r>
    </w:p>
    <w:p w:rsidR="00C67CC2" w:rsidRPr="00C67CC2" w:rsidRDefault="00C67CC2" w:rsidP="00C67CC2">
      <w:pPr>
        <w:rPr>
          <w:sz w:val="24"/>
          <w:szCs w:val="24"/>
        </w:rPr>
      </w:pPr>
    </w:p>
    <w:p w:rsidR="00C67CC2" w:rsidRPr="00C67CC2" w:rsidRDefault="00C67CC2" w:rsidP="00C67CC2">
      <w:pPr>
        <w:rPr>
          <w:sz w:val="24"/>
          <w:szCs w:val="24"/>
        </w:rPr>
      </w:pPr>
      <w:r w:rsidRPr="00C67CC2">
        <w:rPr>
          <w:sz w:val="24"/>
          <w:szCs w:val="24"/>
        </w:rPr>
        <w:t xml:space="preserve">Gartler SM, Goldstein L, Tyler-Freer SE, Hansen RS. 1999. The Timing of XIST Replication: Dominance of the Domain. Human Molecular Genetics 8 1085-1089 </w:t>
      </w:r>
    </w:p>
    <w:p w:rsidR="00C67CC2" w:rsidRDefault="00C67CC2" w:rsidP="00C67CC2">
      <w:pPr>
        <w:rPr>
          <w:sz w:val="24"/>
          <w:szCs w:val="24"/>
        </w:rPr>
      </w:pPr>
    </w:p>
    <w:p w:rsidR="00C67CC2" w:rsidRPr="00C67CC2" w:rsidRDefault="00C67CC2" w:rsidP="00C67CC2">
      <w:pPr>
        <w:rPr>
          <w:sz w:val="24"/>
          <w:szCs w:val="24"/>
        </w:rPr>
      </w:pPr>
      <w:r w:rsidRPr="00C67CC2">
        <w:rPr>
          <w:sz w:val="24"/>
          <w:szCs w:val="24"/>
        </w:rPr>
        <w:t>Koren A, Polak P, Nemesh J, Michaelson JJ, Sebat J, Sunyaev SR, McCarroll SA. 2012. Differential Relationship of DNA Replication Timing to Different Forms of Human Mutation and Variation. The American Journal of Human Genetics 91:1033-1040</w:t>
      </w:r>
    </w:p>
    <w:p w:rsidR="00C67CC2" w:rsidRDefault="00C67CC2" w:rsidP="00C67CC2">
      <w:pPr>
        <w:rPr>
          <w:sz w:val="24"/>
          <w:szCs w:val="24"/>
        </w:rPr>
      </w:pPr>
    </w:p>
    <w:p w:rsidR="00C67CC2" w:rsidRPr="00C67CC2" w:rsidRDefault="00C67CC2" w:rsidP="00C67CC2">
      <w:pPr>
        <w:rPr>
          <w:sz w:val="24"/>
          <w:szCs w:val="24"/>
        </w:rPr>
      </w:pPr>
      <w:r w:rsidRPr="00C67CC2">
        <w:rPr>
          <w:sz w:val="24"/>
          <w:szCs w:val="24"/>
        </w:rPr>
        <w:t>Torchia BS, Migeon BR. 1995. The XIST locus replicates late on the active X, and earlier on the inactive X based on FISH DNA replication analysis of somatic cell hybrids. Somat Cell Mol Genet 21:327-333</w:t>
      </w:r>
    </w:p>
    <w:p w:rsidR="00C67CC2" w:rsidRDefault="00C67CC2" w:rsidP="00C67CC2">
      <w:pPr>
        <w:rPr>
          <w:sz w:val="24"/>
          <w:szCs w:val="24"/>
        </w:rPr>
      </w:pPr>
    </w:p>
    <w:p w:rsidR="00C67CC2" w:rsidRPr="00C67CC2" w:rsidRDefault="00C67CC2" w:rsidP="00C67CC2">
      <w:pPr>
        <w:rPr>
          <w:sz w:val="24"/>
          <w:szCs w:val="24"/>
        </w:rPr>
      </w:pPr>
      <w:r w:rsidRPr="00C67CC2">
        <w:rPr>
          <w:sz w:val="24"/>
          <w:szCs w:val="24"/>
        </w:rPr>
        <w:t xml:space="preserve">Xiong Z, Tsark W, Singer-Sam J, Riggs AD. 1998. Differential replication timing of X-linked genes measured by a novel method using single-nucleotide primer extension. Nucleic Acids Research 26 684-686 </w:t>
      </w:r>
    </w:p>
    <w:p w:rsidR="00C67CC2" w:rsidRDefault="00C67CC2" w:rsidP="00C67CC2">
      <w:pPr>
        <w:ind w:left="720"/>
        <w:rPr>
          <w:sz w:val="24"/>
          <w:szCs w:val="24"/>
        </w:rPr>
      </w:pPr>
    </w:p>
    <w:p w:rsidR="00C67CC2" w:rsidRDefault="00C67CC2" w:rsidP="00C67CC2">
      <w:pPr>
        <w:spacing w:before="120" w:line="480" w:lineRule="auto"/>
        <w:rPr>
          <w:sz w:val="24"/>
          <w:szCs w:val="24"/>
        </w:rPr>
      </w:pPr>
    </w:p>
    <w:p w:rsidR="00C67CC2" w:rsidRDefault="00C67CC2">
      <w:pPr>
        <w:rPr>
          <w:sz w:val="24"/>
          <w:szCs w:val="24"/>
        </w:rPr>
      </w:pPr>
      <w:r>
        <w:rPr>
          <w:sz w:val="24"/>
          <w:szCs w:val="24"/>
        </w:rPr>
        <w:br w:type="page"/>
      </w:r>
    </w:p>
    <w:p w:rsidR="00D9249E" w:rsidRPr="00D9249E" w:rsidRDefault="00D9249E" w:rsidP="00005738">
      <w:pPr>
        <w:spacing w:line="480" w:lineRule="auto"/>
        <w:rPr>
          <w:b/>
          <w:bCs/>
          <w:sz w:val="24"/>
          <w:szCs w:val="24"/>
        </w:rPr>
      </w:pPr>
      <w:r w:rsidRPr="00D9249E">
        <w:rPr>
          <w:b/>
          <w:bCs/>
          <w:sz w:val="24"/>
          <w:szCs w:val="24"/>
        </w:rPr>
        <w:lastRenderedPageBreak/>
        <w:t xml:space="preserve">Figure </w:t>
      </w:r>
      <w:r>
        <w:rPr>
          <w:b/>
          <w:bCs/>
          <w:sz w:val="24"/>
          <w:szCs w:val="24"/>
        </w:rPr>
        <w:t>S</w:t>
      </w:r>
      <w:r w:rsidRPr="00D9249E">
        <w:rPr>
          <w:b/>
          <w:bCs/>
          <w:sz w:val="24"/>
          <w:szCs w:val="24"/>
        </w:rPr>
        <w:t>1</w:t>
      </w:r>
    </w:p>
    <w:p w:rsidR="00005738" w:rsidRDefault="00005738" w:rsidP="00005738">
      <w:pPr>
        <w:spacing w:line="480" w:lineRule="auto"/>
        <w:rPr>
          <w:sz w:val="24"/>
          <w:szCs w:val="24"/>
        </w:rPr>
      </w:pPr>
      <w:r>
        <w:rPr>
          <w:noProof/>
          <w:sz w:val="24"/>
          <w:szCs w:val="24"/>
          <w:lang w:bidi="he-IL"/>
        </w:rPr>
        <w:drawing>
          <wp:inline distT="0" distB="0" distL="0" distR="0">
            <wp:extent cx="3381375" cy="3295015"/>
            <wp:effectExtent l="0" t="0" r="9525" b="635"/>
            <wp:docPr id="3" name="Picture 3" descr="FigureS1_s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S1_samples"/>
                    <pic:cNvPicPr>
                      <a:picLocks noChangeAspect="1" noChangeArrowheads="1"/>
                    </pic:cNvPicPr>
                  </pic:nvPicPr>
                  <pic:blipFill>
                    <a:blip r:embed="rId8">
                      <a:extLst>
                        <a:ext uri="{28A0092B-C50C-407E-A947-70E740481C1C}">
                          <a14:useLocalDpi xmlns:a14="http://schemas.microsoft.com/office/drawing/2010/main" val="0"/>
                        </a:ext>
                      </a:extLst>
                    </a:blip>
                    <a:srcRect l="18579" t="8514" r="19594" b="11220"/>
                    <a:stretch>
                      <a:fillRect/>
                    </a:stretch>
                  </pic:blipFill>
                  <pic:spPr bwMode="auto">
                    <a:xfrm>
                      <a:off x="0" y="0"/>
                      <a:ext cx="3381375" cy="3295015"/>
                    </a:xfrm>
                    <a:prstGeom prst="rect">
                      <a:avLst/>
                    </a:prstGeom>
                    <a:noFill/>
                    <a:ln>
                      <a:noFill/>
                    </a:ln>
                  </pic:spPr>
                </pic:pic>
              </a:graphicData>
            </a:graphic>
          </wp:inline>
        </w:drawing>
      </w:r>
    </w:p>
    <w:p w:rsidR="00005738" w:rsidRDefault="00005738" w:rsidP="00005738">
      <w:pPr>
        <w:spacing w:line="480" w:lineRule="auto"/>
        <w:jc w:val="both"/>
        <w:rPr>
          <w:b/>
          <w:bCs/>
          <w:sz w:val="24"/>
          <w:szCs w:val="24"/>
        </w:rPr>
      </w:pPr>
    </w:p>
    <w:p w:rsidR="003D2D0F" w:rsidRDefault="003D2D0F" w:rsidP="003D2D0F">
      <w:pPr>
        <w:spacing w:line="480" w:lineRule="auto"/>
        <w:rPr>
          <w:b/>
          <w:bCs/>
          <w:sz w:val="24"/>
          <w:szCs w:val="24"/>
        </w:rPr>
      </w:pPr>
      <w:r>
        <w:rPr>
          <w:b/>
          <w:bCs/>
          <w:sz w:val="24"/>
          <w:szCs w:val="24"/>
        </w:rPr>
        <w:t>Figure S2</w:t>
      </w:r>
    </w:p>
    <w:p w:rsidR="003D2D0F" w:rsidRDefault="003D2D0F" w:rsidP="003D2D0F">
      <w:pPr>
        <w:spacing w:line="480" w:lineRule="auto"/>
        <w:rPr>
          <w:sz w:val="24"/>
          <w:szCs w:val="24"/>
        </w:rPr>
      </w:pPr>
      <w:r>
        <w:rPr>
          <w:noProof/>
          <w:sz w:val="24"/>
          <w:szCs w:val="24"/>
          <w:lang w:bidi="he-IL"/>
        </w:rPr>
        <w:drawing>
          <wp:inline distT="0" distB="0" distL="0" distR="0">
            <wp:extent cx="5943600" cy="3053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S_cap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053080"/>
                    </a:xfrm>
                    <a:prstGeom prst="rect">
                      <a:avLst/>
                    </a:prstGeom>
                  </pic:spPr>
                </pic:pic>
              </a:graphicData>
            </a:graphic>
          </wp:inline>
        </w:drawing>
      </w:r>
    </w:p>
    <w:p w:rsidR="003D2D0F" w:rsidRDefault="003D2D0F" w:rsidP="00005738">
      <w:pPr>
        <w:spacing w:line="480" w:lineRule="auto"/>
        <w:jc w:val="both"/>
        <w:rPr>
          <w:b/>
          <w:bCs/>
          <w:sz w:val="24"/>
          <w:szCs w:val="24"/>
        </w:rPr>
      </w:pPr>
    </w:p>
    <w:p w:rsidR="00005738" w:rsidRDefault="003D2D0F" w:rsidP="00D9249E">
      <w:pPr>
        <w:spacing w:line="480" w:lineRule="auto"/>
        <w:rPr>
          <w:sz w:val="24"/>
          <w:szCs w:val="24"/>
        </w:rPr>
      </w:pPr>
      <w:r>
        <w:rPr>
          <w:b/>
          <w:bCs/>
          <w:sz w:val="24"/>
          <w:szCs w:val="24"/>
        </w:rPr>
        <w:lastRenderedPageBreak/>
        <w:t>Figure S3</w:t>
      </w:r>
    </w:p>
    <w:p w:rsidR="00005738" w:rsidRDefault="00005738" w:rsidP="00005738">
      <w:pPr>
        <w:spacing w:line="480" w:lineRule="auto"/>
        <w:jc w:val="both"/>
        <w:rPr>
          <w:sz w:val="24"/>
          <w:szCs w:val="24"/>
        </w:rPr>
      </w:pPr>
    </w:p>
    <w:p w:rsidR="00005738" w:rsidRDefault="00005738" w:rsidP="00005738">
      <w:pPr>
        <w:spacing w:line="480" w:lineRule="auto"/>
        <w:jc w:val="both"/>
        <w:rPr>
          <w:sz w:val="24"/>
          <w:szCs w:val="24"/>
        </w:rPr>
      </w:pPr>
      <w:r>
        <w:rPr>
          <w:sz w:val="24"/>
          <w:szCs w:val="24"/>
        </w:rPr>
        <w:t xml:space="preserve"> </w:t>
      </w:r>
      <w:r>
        <w:rPr>
          <w:noProof/>
          <w:sz w:val="24"/>
          <w:szCs w:val="24"/>
          <w:lang w:bidi="he-IL"/>
        </w:rPr>
        <w:drawing>
          <wp:inline distT="0" distB="0" distL="0" distR="0">
            <wp:extent cx="3648710" cy="2579370"/>
            <wp:effectExtent l="0" t="0" r="8890" b="0"/>
            <wp:docPr id="2" name="Picture 2" descr="FigureS2_strata_s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S2_strata_sta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48710" cy="2579370"/>
                    </a:xfrm>
                    <a:prstGeom prst="rect">
                      <a:avLst/>
                    </a:prstGeom>
                    <a:noFill/>
                    <a:ln>
                      <a:noFill/>
                    </a:ln>
                  </pic:spPr>
                </pic:pic>
              </a:graphicData>
            </a:graphic>
          </wp:inline>
        </w:drawing>
      </w:r>
    </w:p>
    <w:p w:rsidR="00263231" w:rsidRDefault="00263231" w:rsidP="00D9249E">
      <w:pPr>
        <w:spacing w:line="480" w:lineRule="auto"/>
        <w:rPr>
          <w:b/>
          <w:bCs/>
          <w:sz w:val="24"/>
          <w:szCs w:val="24"/>
        </w:rPr>
      </w:pPr>
    </w:p>
    <w:p w:rsidR="00816C5A" w:rsidRDefault="00816C5A" w:rsidP="00D9249E">
      <w:pPr>
        <w:spacing w:line="480" w:lineRule="auto"/>
        <w:rPr>
          <w:b/>
          <w:bCs/>
          <w:sz w:val="24"/>
          <w:szCs w:val="24"/>
        </w:rPr>
      </w:pPr>
    </w:p>
    <w:p w:rsidR="00005738" w:rsidRDefault="003D2D0F" w:rsidP="00D9249E">
      <w:pPr>
        <w:spacing w:line="480" w:lineRule="auto"/>
        <w:rPr>
          <w:b/>
          <w:bCs/>
          <w:sz w:val="24"/>
          <w:szCs w:val="24"/>
        </w:rPr>
      </w:pPr>
      <w:r>
        <w:rPr>
          <w:b/>
          <w:bCs/>
          <w:sz w:val="24"/>
          <w:szCs w:val="24"/>
        </w:rPr>
        <w:t>Figure S4</w:t>
      </w:r>
    </w:p>
    <w:p w:rsidR="00D9249E" w:rsidRDefault="00D9249E" w:rsidP="00D9249E">
      <w:pPr>
        <w:spacing w:line="480" w:lineRule="auto"/>
        <w:rPr>
          <w:sz w:val="24"/>
          <w:szCs w:val="24"/>
        </w:rPr>
      </w:pPr>
    </w:p>
    <w:p w:rsidR="00005738" w:rsidRPr="00686D7B" w:rsidRDefault="00005738" w:rsidP="00816C5A">
      <w:pPr>
        <w:spacing w:line="480" w:lineRule="auto"/>
        <w:jc w:val="both"/>
        <w:rPr>
          <w:sz w:val="24"/>
          <w:szCs w:val="24"/>
        </w:rPr>
      </w:pPr>
      <w:r>
        <w:rPr>
          <w:noProof/>
          <w:sz w:val="24"/>
          <w:szCs w:val="24"/>
          <w:lang w:bidi="he-IL"/>
        </w:rPr>
        <w:drawing>
          <wp:inline distT="0" distB="0" distL="0" distR="0" wp14:anchorId="4C220B4E" wp14:editId="51187AB7">
            <wp:extent cx="4554855" cy="3234690"/>
            <wp:effectExtent l="0" t="0" r="0" b="3810"/>
            <wp:docPr id="1" name="Picture 1" descr="FigureS3_autoco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S3_autocor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54855" cy="3234690"/>
                    </a:xfrm>
                    <a:prstGeom prst="rect">
                      <a:avLst/>
                    </a:prstGeom>
                    <a:noFill/>
                    <a:ln>
                      <a:noFill/>
                    </a:ln>
                  </pic:spPr>
                </pic:pic>
              </a:graphicData>
            </a:graphic>
          </wp:inline>
        </w:drawing>
      </w:r>
    </w:p>
    <w:sectPr w:rsidR="00005738" w:rsidRPr="00686D7B" w:rsidSect="00EA698C">
      <w:footerReference w:type="default" r:id="rId12"/>
      <w:headerReference w:type="first" r:id="rId13"/>
      <w:footerReference w:type="first" r:id="rId14"/>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457" w:rsidRDefault="003F1457">
      <w:r>
        <w:separator/>
      </w:r>
    </w:p>
  </w:endnote>
  <w:endnote w:type="continuationSeparator" w:id="0">
    <w:p w:rsidR="003F1457" w:rsidRDefault="003F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8C" w:rsidRDefault="00005738">
    <w:pPr>
      <w:pStyle w:val="Footer"/>
      <w:jc w:val="center"/>
    </w:pPr>
    <w:r>
      <w:fldChar w:fldCharType="begin"/>
    </w:r>
    <w:r>
      <w:instrText xml:space="preserve"> PAGE   \* MERGEFORMAT </w:instrText>
    </w:r>
    <w:r>
      <w:fldChar w:fldCharType="separate"/>
    </w:r>
    <w:r w:rsidR="00216266">
      <w:rPr>
        <w:noProof/>
      </w:rPr>
      <w:t>2</w:t>
    </w:r>
    <w:r>
      <w:rPr>
        <w:noProof/>
      </w:rPr>
      <w:fldChar w:fldCharType="end"/>
    </w:r>
  </w:p>
  <w:p w:rsidR="00EA698C" w:rsidRDefault="003F14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4E" w:rsidRDefault="00005738">
    <w:pPr>
      <w:pStyle w:val="Footer"/>
      <w:jc w:val="center"/>
    </w:pPr>
    <w:r>
      <w:fldChar w:fldCharType="begin"/>
    </w:r>
    <w:r>
      <w:instrText xml:space="preserve"> PAGE   \* MERGEFORMAT </w:instrText>
    </w:r>
    <w:r>
      <w:fldChar w:fldCharType="separate"/>
    </w:r>
    <w:r w:rsidR="00216266">
      <w:rPr>
        <w:noProof/>
      </w:rPr>
      <w:t>1</w:t>
    </w:r>
    <w:r>
      <w:rPr>
        <w:noProof/>
      </w:rPr>
      <w:fldChar w:fldCharType="end"/>
    </w:r>
  </w:p>
  <w:p w:rsidR="008A4E4E" w:rsidRDefault="003F1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457" w:rsidRDefault="003F1457">
      <w:r>
        <w:separator/>
      </w:r>
    </w:p>
  </w:footnote>
  <w:footnote w:type="continuationSeparator" w:id="0">
    <w:p w:rsidR="003F1457" w:rsidRDefault="003F1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714" w:rsidRDefault="00005738" w:rsidP="00590AF6">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17F45"/>
    <w:multiLevelType w:val="hybridMultilevel"/>
    <w:tmpl w:val="B4EEC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738"/>
    <w:rsid w:val="0000471A"/>
    <w:rsid w:val="00005738"/>
    <w:rsid w:val="00090807"/>
    <w:rsid w:val="001203F5"/>
    <w:rsid w:val="001C3B6C"/>
    <w:rsid w:val="00216266"/>
    <w:rsid w:val="002310BC"/>
    <w:rsid w:val="00263231"/>
    <w:rsid w:val="00277B12"/>
    <w:rsid w:val="00313FCC"/>
    <w:rsid w:val="003739FB"/>
    <w:rsid w:val="003D2D0F"/>
    <w:rsid w:val="003F1457"/>
    <w:rsid w:val="004B0B85"/>
    <w:rsid w:val="004F4098"/>
    <w:rsid w:val="00523506"/>
    <w:rsid w:val="005259CA"/>
    <w:rsid w:val="00542B13"/>
    <w:rsid w:val="00566CF1"/>
    <w:rsid w:val="005A01ED"/>
    <w:rsid w:val="005A0D51"/>
    <w:rsid w:val="00687DD6"/>
    <w:rsid w:val="00816C5A"/>
    <w:rsid w:val="008E0B01"/>
    <w:rsid w:val="009A258C"/>
    <w:rsid w:val="00A938AF"/>
    <w:rsid w:val="00B948C0"/>
    <w:rsid w:val="00C2501D"/>
    <w:rsid w:val="00C67CC2"/>
    <w:rsid w:val="00CF3469"/>
    <w:rsid w:val="00D17328"/>
    <w:rsid w:val="00D4701B"/>
    <w:rsid w:val="00D9249E"/>
    <w:rsid w:val="00EA05DE"/>
    <w:rsid w:val="00EA21C2"/>
    <w:rsid w:val="00F37854"/>
    <w:rsid w:val="00FC43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738"/>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573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005738"/>
    <w:rPr>
      <w:rFonts w:ascii="Times New Roman" w:eastAsia="Times New Roman" w:hAnsi="Times New Roman" w:cs="Times New Roman"/>
      <w:sz w:val="20"/>
      <w:szCs w:val="20"/>
    </w:rPr>
  </w:style>
  <w:style w:type="paragraph" w:styleId="Header">
    <w:name w:val="header"/>
    <w:basedOn w:val="Normal"/>
    <w:link w:val="HeaderChar"/>
    <w:rsid w:val="00005738"/>
    <w:pPr>
      <w:tabs>
        <w:tab w:val="center" w:pos="4320"/>
        <w:tab w:val="right" w:pos="8640"/>
      </w:tabs>
    </w:pPr>
    <w:rPr>
      <w:rFonts w:eastAsia="Times New Roman"/>
    </w:rPr>
  </w:style>
  <w:style w:type="character" w:customStyle="1" w:styleId="HeaderChar">
    <w:name w:val="Header Char"/>
    <w:basedOn w:val="DefaultParagraphFont"/>
    <w:link w:val="Header"/>
    <w:rsid w:val="0000573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5738"/>
    <w:rPr>
      <w:rFonts w:ascii="Tahoma" w:hAnsi="Tahoma" w:cs="Tahoma"/>
      <w:sz w:val="16"/>
      <w:szCs w:val="16"/>
    </w:rPr>
  </w:style>
  <w:style w:type="character" w:customStyle="1" w:styleId="BalloonTextChar">
    <w:name w:val="Balloon Text Char"/>
    <w:basedOn w:val="DefaultParagraphFont"/>
    <w:link w:val="BalloonText"/>
    <w:uiPriority w:val="99"/>
    <w:semiHidden/>
    <w:rsid w:val="00005738"/>
    <w:rPr>
      <w:rFonts w:ascii="Tahoma" w:eastAsia="Calibri" w:hAnsi="Tahoma" w:cs="Tahoma"/>
      <w:sz w:val="16"/>
      <w:szCs w:val="16"/>
    </w:rPr>
  </w:style>
  <w:style w:type="paragraph" w:customStyle="1" w:styleId="Authors">
    <w:name w:val="Authors"/>
    <w:basedOn w:val="Normal"/>
    <w:rsid w:val="00EA05DE"/>
    <w:pPr>
      <w:spacing w:before="120" w:after="360"/>
      <w:jc w:val="center"/>
    </w:pPr>
    <w:rPr>
      <w:rFonts w:eastAsia="Times New Roman"/>
      <w:sz w:val="24"/>
      <w:szCs w:val="24"/>
    </w:rPr>
  </w:style>
  <w:style w:type="paragraph" w:customStyle="1" w:styleId="Head">
    <w:name w:val="Head"/>
    <w:basedOn w:val="Normal"/>
    <w:rsid w:val="00EA05DE"/>
    <w:pPr>
      <w:keepNext/>
      <w:spacing w:before="120" w:after="120"/>
      <w:jc w:val="center"/>
      <w:outlineLvl w:val="0"/>
    </w:pPr>
    <w:rPr>
      <w:rFonts w:eastAsia="Times New Roman"/>
      <w:b/>
      <w:bCs/>
      <w:kern w:val="28"/>
      <w:sz w:val="28"/>
      <w:szCs w:val="28"/>
    </w:rPr>
  </w:style>
  <w:style w:type="table" w:styleId="TableGrid">
    <w:name w:val="Table Grid"/>
    <w:basedOn w:val="TableNormal"/>
    <w:uiPriority w:val="59"/>
    <w:rsid w:val="00EA21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7C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738"/>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573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005738"/>
    <w:rPr>
      <w:rFonts w:ascii="Times New Roman" w:eastAsia="Times New Roman" w:hAnsi="Times New Roman" w:cs="Times New Roman"/>
      <w:sz w:val="20"/>
      <w:szCs w:val="20"/>
    </w:rPr>
  </w:style>
  <w:style w:type="paragraph" w:styleId="Header">
    <w:name w:val="header"/>
    <w:basedOn w:val="Normal"/>
    <w:link w:val="HeaderChar"/>
    <w:rsid w:val="00005738"/>
    <w:pPr>
      <w:tabs>
        <w:tab w:val="center" w:pos="4320"/>
        <w:tab w:val="right" w:pos="8640"/>
      </w:tabs>
    </w:pPr>
    <w:rPr>
      <w:rFonts w:eastAsia="Times New Roman"/>
    </w:rPr>
  </w:style>
  <w:style w:type="character" w:customStyle="1" w:styleId="HeaderChar">
    <w:name w:val="Header Char"/>
    <w:basedOn w:val="DefaultParagraphFont"/>
    <w:link w:val="Header"/>
    <w:rsid w:val="0000573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5738"/>
    <w:rPr>
      <w:rFonts w:ascii="Tahoma" w:hAnsi="Tahoma" w:cs="Tahoma"/>
      <w:sz w:val="16"/>
      <w:szCs w:val="16"/>
    </w:rPr>
  </w:style>
  <w:style w:type="character" w:customStyle="1" w:styleId="BalloonTextChar">
    <w:name w:val="Balloon Text Char"/>
    <w:basedOn w:val="DefaultParagraphFont"/>
    <w:link w:val="BalloonText"/>
    <w:uiPriority w:val="99"/>
    <w:semiHidden/>
    <w:rsid w:val="00005738"/>
    <w:rPr>
      <w:rFonts w:ascii="Tahoma" w:eastAsia="Calibri" w:hAnsi="Tahoma" w:cs="Tahoma"/>
      <w:sz w:val="16"/>
      <w:szCs w:val="16"/>
    </w:rPr>
  </w:style>
  <w:style w:type="paragraph" w:customStyle="1" w:styleId="Authors">
    <w:name w:val="Authors"/>
    <w:basedOn w:val="Normal"/>
    <w:rsid w:val="00EA05DE"/>
    <w:pPr>
      <w:spacing w:before="120" w:after="360"/>
      <w:jc w:val="center"/>
    </w:pPr>
    <w:rPr>
      <w:rFonts w:eastAsia="Times New Roman"/>
      <w:sz w:val="24"/>
      <w:szCs w:val="24"/>
    </w:rPr>
  </w:style>
  <w:style w:type="paragraph" w:customStyle="1" w:styleId="Head">
    <w:name w:val="Head"/>
    <w:basedOn w:val="Normal"/>
    <w:rsid w:val="00EA05DE"/>
    <w:pPr>
      <w:keepNext/>
      <w:spacing w:before="120" w:after="120"/>
      <w:jc w:val="center"/>
      <w:outlineLvl w:val="0"/>
    </w:pPr>
    <w:rPr>
      <w:rFonts w:eastAsia="Times New Roman"/>
      <w:b/>
      <w:bCs/>
      <w:kern w:val="28"/>
      <w:sz w:val="28"/>
      <w:szCs w:val="28"/>
    </w:rPr>
  </w:style>
  <w:style w:type="table" w:styleId="TableGrid">
    <w:name w:val="Table Grid"/>
    <w:basedOn w:val="TableNormal"/>
    <w:uiPriority w:val="59"/>
    <w:rsid w:val="00EA21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7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Amnon Koren</dc:creator>
  <cp:lastModifiedBy>Amnon Koren</cp:lastModifiedBy>
  <cp:revision>5</cp:revision>
  <dcterms:created xsi:type="dcterms:W3CDTF">2013-09-04T14:21:00Z</dcterms:created>
  <dcterms:modified xsi:type="dcterms:W3CDTF">2013-09-04T16:42:00Z</dcterms:modified>
</cp:coreProperties>
</file>