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1ABC" w14:textId="77777777" w:rsidR="00625394" w:rsidRPr="00ED641C" w:rsidRDefault="00625394" w:rsidP="006253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Helvetica Neue" w:hAnsi="Times New Roman" w:cs="Helvetica Neue"/>
          <w:sz w:val="28"/>
        </w:rPr>
      </w:pPr>
      <w:r>
        <w:rPr>
          <w:rFonts w:ascii="Times New Roman" w:eastAsia="Helvetica Neue" w:hAnsi="Times New Roman" w:cs="Helvetica Neue"/>
          <w:b/>
          <w:bCs/>
          <w:sz w:val="28"/>
        </w:rPr>
        <w:t xml:space="preserve">Massively parallel synthetic promoter assays reveal the </w:t>
      </w:r>
      <w:r w:rsidRPr="00A5777B">
        <w:rPr>
          <w:rFonts w:ascii="Times New Roman" w:eastAsia="Helvetica Neue" w:hAnsi="Times New Roman" w:cs="Helvetica Neue"/>
          <w:b/>
          <w:bCs/>
          <w:i/>
          <w:sz w:val="28"/>
        </w:rPr>
        <w:t>in vivo</w:t>
      </w:r>
      <w:r>
        <w:rPr>
          <w:rFonts w:ascii="Times New Roman" w:eastAsia="Helvetica Neue" w:hAnsi="Times New Roman" w:cs="Helvetica Neue"/>
          <w:b/>
          <w:bCs/>
          <w:sz w:val="28"/>
        </w:rPr>
        <w:t xml:space="preserve"> effects of binding site variants – Supplementary Information</w:t>
      </w:r>
    </w:p>
    <w:p w14:paraId="17657F55" w14:textId="77777777" w:rsidR="00625394" w:rsidRDefault="00625394" w:rsidP="00625394">
      <w:pPr>
        <w:spacing w:line="360" w:lineRule="auto"/>
        <w:rPr>
          <w:rFonts w:ascii="Times New Roman" w:hAnsi="Times New Roman"/>
        </w:rPr>
      </w:pPr>
    </w:p>
    <w:p w14:paraId="2BD29BF9" w14:textId="77777777" w:rsidR="00625394" w:rsidRDefault="00625394" w:rsidP="00625394">
      <w:pPr>
        <w:spacing w:line="360" w:lineRule="auto"/>
        <w:rPr>
          <w:rFonts w:ascii="Times New Roman" w:hAnsi="Times New Roman"/>
        </w:rPr>
      </w:pPr>
    </w:p>
    <w:p w14:paraId="49B66CDC" w14:textId="77777777" w:rsidR="00625394" w:rsidRDefault="00625394" w:rsidP="006253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Ilaria Mogno</w:t>
      </w:r>
      <w:r w:rsidRPr="00C9736E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, 2</w:t>
      </w:r>
      <w:r>
        <w:rPr>
          <w:rFonts w:ascii="Times New Roman" w:hAnsi="Times New Roman"/>
        </w:rPr>
        <w:t>, Jamie C. Kwasnieski</w:t>
      </w:r>
      <w:r w:rsidRPr="00C9736E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, 2</w:t>
      </w:r>
      <w:r>
        <w:rPr>
          <w:rFonts w:ascii="Times New Roman" w:hAnsi="Times New Roman"/>
        </w:rPr>
        <w:t>, and Barak A. Cohen</w:t>
      </w:r>
      <w:r>
        <w:rPr>
          <w:rFonts w:ascii="Times New Roman" w:hAnsi="Times New Roman"/>
          <w:vertAlign w:val="superscript"/>
        </w:rPr>
        <w:t>1, 3</w:t>
      </w:r>
    </w:p>
    <w:p w14:paraId="767AFFBF" w14:textId="77777777" w:rsidR="00625394" w:rsidRDefault="00625394" w:rsidP="00625394">
      <w:pPr>
        <w:spacing w:line="360" w:lineRule="auto"/>
        <w:rPr>
          <w:rFonts w:ascii="Times New Roman" w:hAnsi="Times New Roman"/>
        </w:rPr>
      </w:pPr>
    </w:p>
    <w:p w14:paraId="67B23BB2" w14:textId="77777777" w:rsidR="00625394" w:rsidRPr="006D3C14" w:rsidRDefault="00625394" w:rsidP="006253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D3C14">
        <w:rPr>
          <w:rFonts w:ascii="Times New Roman" w:hAnsi="Times New Roman"/>
        </w:rPr>
        <w:t>Center for Genome Sciences and Systems Biology, Department of Genetics, Washington University School of Medicine in St. Louis, MO, 63108</w:t>
      </w:r>
    </w:p>
    <w:p w14:paraId="3BA8F880" w14:textId="77777777" w:rsidR="00625394" w:rsidRPr="006D3C14" w:rsidRDefault="00625394" w:rsidP="006253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D3C14">
        <w:rPr>
          <w:rFonts w:ascii="Times New Roman" w:hAnsi="Times New Roman"/>
        </w:rPr>
        <w:t>These authors contributed equally to this work</w:t>
      </w:r>
    </w:p>
    <w:p w14:paraId="5C52225C" w14:textId="77777777" w:rsidR="00625394" w:rsidRPr="006D3C14" w:rsidRDefault="00625394" w:rsidP="00625394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imes New Roman" w:hAnsi="Times New Roman"/>
        </w:rPr>
      </w:pPr>
      <w:r w:rsidRPr="006D3C14">
        <w:rPr>
          <w:rFonts w:ascii="Times New Roman" w:hAnsi="Times New Roman"/>
        </w:rPr>
        <w:t xml:space="preserve">To whom correspondence may be addressed. Email: </w:t>
      </w:r>
      <w:hyperlink r:id="rId8" w:history="1">
        <w:r w:rsidRPr="006D3C14">
          <w:rPr>
            <w:rStyle w:val="Hyperlink"/>
            <w:rFonts w:ascii="Times New Roman" w:hAnsi="Times New Roman"/>
          </w:rPr>
          <w:t>cohen@genetics.wustl.edu</w:t>
        </w:r>
      </w:hyperlink>
    </w:p>
    <w:p w14:paraId="55FD17C9" w14:textId="77777777" w:rsidR="00625394" w:rsidRDefault="00625394" w:rsidP="0062539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86573A" w14:textId="77777777" w:rsidR="00E21450" w:rsidRDefault="00E21450" w:rsidP="00E21450"/>
    <w:p w14:paraId="61CD4AC6" w14:textId="77777777" w:rsidR="00E21450" w:rsidRDefault="00E21450" w:rsidP="00E21450">
      <w:r>
        <w:t>Table S1</w:t>
      </w:r>
    </w:p>
    <w:p w14:paraId="1BBA6DB1" w14:textId="77777777" w:rsidR="00E21450" w:rsidRDefault="00E21450" w:rsidP="00E21450">
      <w:r>
        <w:t>TableS2</w:t>
      </w:r>
    </w:p>
    <w:p w14:paraId="5A0ED805" w14:textId="77777777" w:rsidR="00E21450" w:rsidRDefault="00E21450" w:rsidP="00E21450">
      <w:r>
        <w:t>Figure S1</w:t>
      </w:r>
    </w:p>
    <w:p w14:paraId="068224EA" w14:textId="77777777" w:rsidR="00E21450" w:rsidRDefault="00E21450" w:rsidP="00E21450">
      <w:r>
        <w:t>Figure S2</w:t>
      </w:r>
    </w:p>
    <w:p w14:paraId="49CEEA77" w14:textId="77777777" w:rsidR="00E21450" w:rsidRDefault="00E21450" w:rsidP="00E21450">
      <w:r>
        <w:t xml:space="preserve">Figure S3 </w:t>
      </w:r>
    </w:p>
    <w:p w14:paraId="2205BFAF" w14:textId="77777777" w:rsidR="00E21450" w:rsidRDefault="00E21450" w:rsidP="00E21450">
      <w:r>
        <w:t>Figure S4</w:t>
      </w:r>
    </w:p>
    <w:p w14:paraId="519757FE" w14:textId="77777777" w:rsidR="00E21450" w:rsidRDefault="00E21450" w:rsidP="00E21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21450" w14:paraId="18FC295A" w14:textId="77777777" w:rsidTr="00153095">
        <w:tc>
          <w:tcPr>
            <w:tcW w:w="4428" w:type="dxa"/>
          </w:tcPr>
          <w:p w14:paraId="361786B0" w14:textId="77777777" w:rsidR="00E21450" w:rsidRPr="00115EDB" w:rsidRDefault="00E21450" w:rsidP="00153095">
            <w:pPr>
              <w:rPr>
                <w:b/>
              </w:rPr>
            </w:pPr>
            <w:r w:rsidRPr="00115EDB">
              <w:rPr>
                <w:b/>
              </w:rPr>
              <w:t>Parameter</w:t>
            </w:r>
          </w:p>
        </w:tc>
        <w:tc>
          <w:tcPr>
            <w:tcW w:w="4428" w:type="dxa"/>
          </w:tcPr>
          <w:p w14:paraId="3F96D87E" w14:textId="77777777" w:rsidR="00E21450" w:rsidRPr="00115EDB" w:rsidRDefault="00E21450" w:rsidP="00153095">
            <w:pPr>
              <w:rPr>
                <w:b/>
              </w:rPr>
            </w:pPr>
            <w:r w:rsidRPr="00115EDB">
              <w:rPr>
                <w:b/>
              </w:rPr>
              <w:t xml:space="preserve">Values </w:t>
            </w:r>
            <w:r w:rsidRPr="00115EDB">
              <w:rPr>
                <w:b/>
              </w:rPr>
              <w:sym w:font="Symbol" w:char="F0B1"/>
            </w:r>
            <w:r w:rsidRPr="00115EDB">
              <w:rPr>
                <w:b/>
              </w:rPr>
              <w:t>95% CI</w:t>
            </w:r>
          </w:p>
        </w:tc>
      </w:tr>
      <w:tr w:rsidR="00E21450" w14:paraId="7DFCF9E2" w14:textId="77777777" w:rsidTr="00153095">
        <w:tc>
          <w:tcPr>
            <w:tcW w:w="4428" w:type="dxa"/>
          </w:tcPr>
          <w:p w14:paraId="1CCB116D" w14:textId="77777777" w:rsidR="00E21450" w:rsidRDefault="00E21450" w:rsidP="00153095"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Mig1-RNAP</w:t>
            </w:r>
          </w:p>
        </w:tc>
        <w:tc>
          <w:tcPr>
            <w:tcW w:w="4428" w:type="dxa"/>
          </w:tcPr>
          <w:p w14:paraId="35685120" w14:textId="77777777" w:rsidR="00E21450" w:rsidRDefault="00E21450" w:rsidP="00153095">
            <w:r>
              <w:t>3.76</w:t>
            </w:r>
            <w:r>
              <w:sym w:font="Symbol" w:char="F0B1"/>
            </w:r>
            <w:r>
              <w:t>1.95</w:t>
            </w:r>
          </w:p>
        </w:tc>
      </w:tr>
      <w:tr w:rsidR="00E21450" w14:paraId="14DF8D3C" w14:textId="77777777" w:rsidTr="00153095">
        <w:tc>
          <w:tcPr>
            <w:tcW w:w="4428" w:type="dxa"/>
          </w:tcPr>
          <w:p w14:paraId="6D0B5B52" w14:textId="77777777" w:rsidR="00E21450" w:rsidRDefault="00E21450" w:rsidP="00153095"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67BB3B51" w14:textId="77777777" w:rsidR="00E21450" w:rsidRDefault="00E21450" w:rsidP="00153095">
            <w:r>
              <w:t>3.95</w:t>
            </w:r>
            <w:r>
              <w:sym w:font="Symbol" w:char="F0B1"/>
            </w:r>
            <w:r>
              <w:t>2.68</w:t>
            </w:r>
          </w:p>
        </w:tc>
      </w:tr>
      <w:tr w:rsidR="00E21450" w14:paraId="62555225" w14:textId="77777777" w:rsidTr="00153095">
        <w:tc>
          <w:tcPr>
            <w:tcW w:w="4428" w:type="dxa"/>
          </w:tcPr>
          <w:p w14:paraId="5F3A0578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Reb</w:t>
            </w:r>
            <w:r w:rsidRPr="00C019B5">
              <w:rPr>
                <w:sz w:val="20"/>
                <w:szCs w:val="20"/>
              </w:rPr>
              <w:t>1-RNAP</w:t>
            </w:r>
          </w:p>
        </w:tc>
        <w:tc>
          <w:tcPr>
            <w:tcW w:w="4428" w:type="dxa"/>
          </w:tcPr>
          <w:p w14:paraId="4FF0C228" w14:textId="77777777" w:rsidR="00E21450" w:rsidRDefault="00E21450" w:rsidP="00153095">
            <w:r>
              <w:t>-0.14</w:t>
            </w:r>
            <w:r>
              <w:sym w:font="Symbol" w:char="F0B1"/>
            </w:r>
            <w:r>
              <w:t>0.08</w:t>
            </w:r>
          </w:p>
        </w:tc>
      </w:tr>
      <w:tr w:rsidR="00E21450" w14:paraId="389A1EFF" w14:textId="77777777" w:rsidTr="00153095">
        <w:tc>
          <w:tcPr>
            <w:tcW w:w="4428" w:type="dxa"/>
          </w:tcPr>
          <w:p w14:paraId="7E3D3891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Reb1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0DB01ECC" w14:textId="77777777" w:rsidR="00E21450" w:rsidRDefault="00E21450" w:rsidP="00153095">
            <w:r>
              <w:t>-0.05</w:t>
            </w:r>
            <w:r>
              <w:sym w:font="Symbol" w:char="F0B1"/>
            </w:r>
            <w:r>
              <w:t>0.11</w:t>
            </w:r>
          </w:p>
        </w:tc>
      </w:tr>
      <w:tr w:rsidR="00E21450" w14:paraId="2DCAA377" w14:textId="77777777" w:rsidTr="00153095">
        <w:tc>
          <w:tcPr>
            <w:tcW w:w="4428" w:type="dxa"/>
          </w:tcPr>
          <w:p w14:paraId="0BA400E5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Rap</w:t>
            </w:r>
            <w:r w:rsidRPr="00C019B5">
              <w:rPr>
                <w:sz w:val="20"/>
                <w:szCs w:val="20"/>
              </w:rPr>
              <w:t>1-RNAP</w:t>
            </w:r>
          </w:p>
        </w:tc>
        <w:tc>
          <w:tcPr>
            <w:tcW w:w="4428" w:type="dxa"/>
          </w:tcPr>
          <w:p w14:paraId="2DC30604" w14:textId="77777777" w:rsidR="00E21450" w:rsidRDefault="00E21450" w:rsidP="00153095">
            <w:r>
              <w:t>-0.35</w:t>
            </w:r>
            <w:r>
              <w:sym w:font="Symbol" w:char="F0B1"/>
            </w:r>
            <w:r>
              <w:t>0.11</w:t>
            </w:r>
          </w:p>
        </w:tc>
      </w:tr>
      <w:tr w:rsidR="00E21450" w14:paraId="5D9B0FF2" w14:textId="77777777" w:rsidTr="00153095">
        <w:tc>
          <w:tcPr>
            <w:tcW w:w="4428" w:type="dxa"/>
          </w:tcPr>
          <w:p w14:paraId="51EDE82B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Rap1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2EF08E97" w14:textId="77777777" w:rsidR="00E21450" w:rsidRDefault="00E21450" w:rsidP="00153095">
            <w:r>
              <w:t>-0.21</w:t>
            </w:r>
            <w:r>
              <w:sym w:font="Symbol" w:char="F0B1"/>
            </w:r>
            <w:r>
              <w:t>0.11</w:t>
            </w:r>
          </w:p>
        </w:tc>
      </w:tr>
      <w:tr w:rsidR="00E21450" w14:paraId="48FA7D0D" w14:textId="77777777" w:rsidTr="00153095">
        <w:tc>
          <w:tcPr>
            <w:tcW w:w="4428" w:type="dxa"/>
          </w:tcPr>
          <w:p w14:paraId="20BF8FA2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1-RNAP</w:t>
            </w:r>
          </w:p>
        </w:tc>
        <w:tc>
          <w:tcPr>
            <w:tcW w:w="4428" w:type="dxa"/>
          </w:tcPr>
          <w:p w14:paraId="6FF5EFB9" w14:textId="77777777" w:rsidR="00E21450" w:rsidRDefault="00E21450" w:rsidP="00153095">
            <w:r>
              <w:t>-0.27</w:t>
            </w:r>
            <w:r>
              <w:sym w:font="Symbol" w:char="F0B1"/>
            </w:r>
            <w:r>
              <w:t>0.10</w:t>
            </w:r>
          </w:p>
        </w:tc>
      </w:tr>
      <w:tr w:rsidR="00E21450" w14:paraId="5FBF9BDD" w14:textId="77777777" w:rsidTr="00153095">
        <w:tc>
          <w:tcPr>
            <w:tcW w:w="4428" w:type="dxa"/>
          </w:tcPr>
          <w:p w14:paraId="4C9C247A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Gcr1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1D304479" w14:textId="77777777" w:rsidR="00E21450" w:rsidRDefault="00E21450" w:rsidP="00153095">
            <w:r>
              <w:t>-0.37</w:t>
            </w:r>
            <w:r>
              <w:sym w:font="Symbol" w:char="F0B1"/>
            </w:r>
            <w:r>
              <w:t>0.08</w:t>
            </w:r>
          </w:p>
        </w:tc>
      </w:tr>
      <w:tr w:rsidR="00E21450" w14:paraId="7E1BB4A5" w14:textId="77777777" w:rsidTr="00153095">
        <w:tc>
          <w:tcPr>
            <w:tcW w:w="4428" w:type="dxa"/>
          </w:tcPr>
          <w:p w14:paraId="54CB592E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X-</w:t>
            </w:r>
            <w:r w:rsidRPr="00C019B5">
              <w:rPr>
                <w:sz w:val="20"/>
                <w:szCs w:val="20"/>
              </w:rPr>
              <w:t>RNAP</w:t>
            </w:r>
          </w:p>
        </w:tc>
        <w:tc>
          <w:tcPr>
            <w:tcW w:w="4428" w:type="dxa"/>
          </w:tcPr>
          <w:p w14:paraId="18292922" w14:textId="77777777" w:rsidR="00E21450" w:rsidRDefault="00E21450" w:rsidP="00153095">
            <w:r>
              <w:t>-0.24</w:t>
            </w:r>
            <w:r>
              <w:sym w:font="Symbol" w:char="F0B1"/>
            </w:r>
            <w:r>
              <w:t>0.08</w:t>
            </w:r>
          </w:p>
        </w:tc>
      </w:tr>
      <w:tr w:rsidR="00E21450" w14:paraId="45D029F4" w14:textId="77777777" w:rsidTr="00153095">
        <w:tc>
          <w:tcPr>
            <w:tcW w:w="4428" w:type="dxa"/>
          </w:tcPr>
          <w:p w14:paraId="07EE2018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5551FFD3" w14:textId="77777777" w:rsidR="00E21450" w:rsidRDefault="00E21450" w:rsidP="00153095">
            <w:r>
              <w:t>-0.13</w:t>
            </w:r>
            <w:r>
              <w:sym w:font="Symbol" w:char="F0B1"/>
            </w:r>
            <w:r>
              <w:t>0.07</w:t>
            </w:r>
          </w:p>
        </w:tc>
      </w:tr>
      <w:tr w:rsidR="00E21450" w14:paraId="561AAC32" w14:textId="77777777" w:rsidTr="00153095">
        <w:tc>
          <w:tcPr>
            <w:tcW w:w="4428" w:type="dxa"/>
          </w:tcPr>
          <w:p w14:paraId="5DE6497C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Y-</w:t>
            </w:r>
            <w:r w:rsidRPr="00C019B5">
              <w:rPr>
                <w:sz w:val="20"/>
                <w:szCs w:val="20"/>
              </w:rPr>
              <w:t>RNAP</w:t>
            </w:r>
          </w:p>
        </w:tc>
        <w:tc>
          <w:tcPr>
            <w:tcW w:w="4428" w:type="dxa"/>
          </w:tcPr>
          <w:p w14:paraId="669DFDB3" w14:textId="77777777" w:rsidR="00E21450" w:rsidRDefault="00E21450" w:rsidP="00153095">
            <w:r>
              <w:t>-0.18</w:t>
            </w:r>
            <w:r>
              <w:sym w:font="Symbol" w:char="F0B1"/>
            </w:r>
            <w:r>
              <w:t>0.06</w:t>
            </w:r>
          </w:p>
        </w:tc>
      </w:tr>
      <w:tr w:rsidR="00E21450" w14:paraId="0E96F55D" w14:textId="77777777" w:rsidTr="00153095">
        <w:tc>
          <w:tcPr>
            <w:tcW w:w="4428" w:type="dxa"/>
          </w:tcPr>
          <w:p w14:paraId="584CD0C8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  <w:vertAlign w:val="superscript"/>
              </w:rPr>
              <w:t>(R)</w:t>
            </w:r>
            <w:r w:rsidRPr="00C019B5">
              <w:rPr>
                <w:sz w:val="20"/>
                <w:szCs w:val="20"/>
              </w:rPr>
              <w:t>-RNAP</w:t>
            </w:r>
          </w:p>
        </w:tc>
        <w:tc>
          <w:tcPr>
            <w:tcW w:w="4428" w:type="dxa"/>
          </w:tcPr>
          <w:p w14:paraId="15F26199" w14:textId="77777777" w:rsidR="00E21450" w:rsidRDefault="00E21450" w:rsidP="00153095">
            <w:r>
              <w:t>-0.20</w:t>
            </w:r>
            <w:r>
              <w:sym w:font="Symbol" w:char="F0B1"/>
            </w:r>
            <w:r>
              <w:t>0.06</w:t>
            </w:r>
          </w:p>
        </w:tc>
      </w:tr>
      <w:tr w:rsidR="00E21450" w14:paraId="38ADB8F4" w14:textId="77777777" w:rsidTr="00153095">
        <w:tc>
          <w:tcPr>
            <w:tcW w:w="4428" w:type="dxa"/>
          </w:tcPr>
          <w:p w14:paraId="504FAEE6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Mig1-Mig1</w:t>
            </w:r>
          </w:p>
        </w:tc>
        <w:tc>
          <w:tcPr>
            <w:tcW w:w="4428" w:type="dxa"/>
          </w:tcPr>
          <w:p w14:paraId="1BF59DA6" w14:textId="77777777" w:rsidR="00E21450" w:rsidRDefault="00E21450" w:rsidP="00153095">
            <w:r>
              <w:t>-0.68</w:t>
            </w:r>
            <w:r>
              <w:sym w:font="Symbol" w:char="F0B1"/>
            </w:r>
            <w:r>
              <w:t>0.33</w:t>
            </w:r>
          </w:p>
        </w:tc>
      </w:tr>
      <w:tr w:rsidR="00E21450" w14:paraId="04FB57D3" w14:textId="77777777" w:rsidTr="00153095">
        <w:tc>
          <w:tcPr>
            <w:tcW w:w="4428" w:type="dxa"/>
          </w:tcPr>
          <w:p w14:paraId="7B9D45B3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Gcr1</w:t>
            </w:r>
          </w:p>
        </w:tc>
        <w:tc>
          <w:tcPr>
            <w:tcW w:w="4428" w:type="dxa"/>
          </w:tcPr>
          <w:p w14:paraId="5B87D4CB" w14:textId="77777777" w:rsidR="00E21450" w:rsidRDefault="00E21450" w:rsidP="00153095">
            <w:r>
              <w:t>-0.15</w:t>
            </w:r>
            <w:r>
              <w:sym w:font="Symbol" w:char="F0B1"/>
            </w:r>
            <w:r>
              <w:t>0.12</w:t>
            </w:r>
          </w:p>
        </w:tc>
      </w:tr>
      <w:tr w:rsidR="00E21450" w14:paraId="61D8620E" w14:textId="77777777" w:rsidTr="00153095">
        <w:tc>
          <w:tcPr>
            <w:tcW w:w="4428" w:type="dxa"/>
          </w:tcPr>
          <w:p w14:paraId="3964F898" w14:textId="77777777" w:rsidR="00E21450" w:rsidRPr="00115EDB" w:rsidRDefault="00E21450" w:rsidP="00153095"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71A1A8DF" w14:textId="77777777" w:rsidR="00E21450" w:rsidRDefault="00E21450" w:rsidP="00153095">
            <w:r w:rsidRPr="00622472">
              <w:t>1.1</w:t>
            </w:r>
            <w:r>
              <w:t>0</w:t>
            </w:r>
            <w:r w:rsidRPr="00622472">
              <w:t xml:space="preserve"> </w:t>
            </w:r>
            <w:r w:rsidRPr="00622472">
              <w:sym w:font="Symbol" w:char="F0B1"/>
            </w:r>
            <w:r>
              <w:t xml:space="preserve"> </w:t>
            </w:r>
            <w:r w:rsidRPr="00622472">
              <w:t>0.12</w:t>
            </w:r>
          </w:p>
        </w:tc>
      </w:tr>
      <w:tr w:rsidR="00E21450" w14:paraId="4D088906" w14:textId="77777777" w:rsidTr="00153095">
        <w:tc>
          <w:tcPr>
            <w:tcW w:w="4428" w:type="dxa"/>
          </w:tcPr>
          <w:p w14:paraId="4536946B" w14:textId="77777777" w:rsidR="00E21450" w:rsidRPr="00115EDB" w:rsidRDefault="00E21450" w:rsidP="00153095"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 w:rsidRPr="00C019B5">
              <w:rPr>
                <w:sz w:val="20"/>
                <w:szCs w:val="20"/>
              </w:rPr>
              <w:t>Mig1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59E8A4D6" w14:textId="77777777" w:rsidR="00E21450" w:rsidRPr="00622472" w:rsidRDefault="00E21450" w:rsidP="00153095">
            <w:r w:rsidRPr="00622472">
              <w:t>4.40</w:t>
            </w:r>
            <w:r>
              <w:t xml:space="preserve"> </w:t>
            </w:r>
            <w:r w:rsidRPr="00622472">
              <w:sym w:font="Symbol" w:char="F0B1"/>
            </w:r>
            <w:r>
              <w:t xml:space="preserve"> </w:t>
            </w:r>
            <w:r w:rsidRPr="00622472">
              <w:t>1.88</w:t>
            </w:r>
          </w:p>
        </w:tc>
      </w:tr>
      <w:tr w:rsidR="00E21450" w14:paraId="3E629B0F" w14:textId="77777777" w:rsidTr="00153095">
        <w:tc>
          <w:tcPr>
            <w:tcW w:w="4428" w:type="dxa"/>
          </w:tcPr>
          <w:p w14:paraId="5B7D7881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Rap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Rap1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7784D815" w14:textId="77777777" w:rsidR="00E21450" w:rsidRPr="00622472" w:rsidRDefault="00E21450" w:rsidP="00153095">
            <w:r>
              <w:t xml:space="preserve">-1.52 </w:t>
            </w:r>
            <w:r>
              <w:sym w:font="Symbol" w:char="F0B1"/>
            </w:r>
            <w:r>
              <w:t xml:space="preserve"> 0.51</w:t>
            </w:r>
          </w:p>
        </w:tc>
      </w:tr>
      <w:tr w:rsidR="00E21450" w14:paraId="0E7CF50B" w14:textId="77777777" w:rsidTr="00153095">
        <w:tc>
          <w:tcPr>
            <w:tcW w:w="4428" w:type="dxa"/>
          </w:tcPr>
          <w:p w14:paraId="67E36AFC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Reb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Reb1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1A8C2BE7" w14:textId="77777777" w:rsidR="00E21450" w:rsidRDefault="00E21450" w:rsidP="00153095">
            <w:r>
              <w:t xml:space="preserve">-0.14 </w:t>
            </w:r>
            <w:r>
              <w:sym w:font="Symbol" w:char="F0B1"/>
            </w:r>
            <w:r>
              <w:t xml:space="preserve"> 0.11</w:t>
            </w:r>
          </w:p>
        </w:tc>
      </w:tr>
      <w:tr w:rsidR="00E21450" w14:paraId="66274238" w14:textId="77777777" w:rsidTr="00153095">
        <w:tc>
          <w:tcPr>
            <w:tcW w:w="4428" w:type="dxa"/>
          </w:tcPr>
          <w:p w14:paraId="6AD15C58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7CD08264" w14:textId="77777777" w:rsidR="00E21450" w:rsidRDefault="00E21450" w:rsidP="00153095">
            <w:r>
              <w:t xml:space="preserve">-0.86 </w:t>
            </w:r>
            <w:r>
              <w:sym w:font="Symbol" w:char="F0B1"/>
            </w:r>
            <w:r>
              <w:t xml:space="preserve"> 0.24</w:t>
            </w:r>
          </w:p>
        </w:tc>
      </w:tr>
      <w:tr w:rsidR="00E21450" w14:paraId="3A6AD5C7" w14:textId="77777777" w:rsidTr="00153095">
        <w:tc>
          <w:tcPr>
            <w:tcW w:w="4428" w:type="dxa"/>
          </w:tcPr>
          <w:p w14:paraId="0B243CFB" w14:textId="77777777" w:rsidR="00E21450" w:rsidRPr="00C019B5" w:rsidRDefault="00E21450" w:rsidP="00153095">
            <w:pPr>
              <w:rPr>
                <w:rFonts w:ascii="Symbol" w:hAnsi="Symbol"/>
              </w:rPr>
            </w:pP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DNA - </w:t>
            </w:r>
            <w:r w:rsidRPr="00C019B5">
              <w:rPr>
                <w:rFonts w:ascii="Symbol" w:hAnsi="Symbol"/>
              </w:rPr>
              <w:t></w:t>
            </w:r>
            <w:r>
              <w:t>G</w:t>
            </w:r>
            <w:r>
              <w:rPr>
                <w:sz w:val="20"/>
                <w:szCs w:val="20"/>
              </w:rPr>
              <w:t>Gcr</w:t>
            </w:r>
            <w:r w:rsidRPr="00C01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1</w:t>
            </w:r>
            <w:r w:rsidRPr="00C019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DNA</w:t>
            </w:r>
          </w:p>
        </w:tc>
        <w:tc>
          <w:tcPr>
            <w:tcW w:w="4428" w:type="dxa"/>
          </w:tcPr>
          <w:p w14:paraId="08442C79" w14:textId="77777777" w:rsidR="00E21450" w:rsidRDefault="00E21450" w:rsidP="00153095">
            <w:r>
              <w:t xml:space="preserve">-0.37 </w:t>
            </w:r>
            <w:r>
              <w:sym w:font="Symbol" w:char="F0B1"/>
            </w:r>
            <w:r>
              <w:t xml:space="preserve"> 0.30</w:t>
            </w:r>
          </w:p>
        </w:tc>
      </w:tr>
      <w:tr w:rsidR="00E21450" w14:paraId="7FA93686" w14:textId="77777777" w:rsidTr="00153095">
        <w:tc>
          <w:tcPr>
            <w:tcW w:w="4428" w:type="dxa"/>
          </w:tcPr>
          <w:p w14:paraId="2F98197F" w14:textId="77777777" w:rsidR="00E21450" w:rsidRPr="00C019B5" w:rsidRDefault="00E21450" w:rsidP="00153095">
            <w:pPr>
              <w:rPr>
                <w:rFonts w:ascii="Symbol" w:hAnsi="Symbol"/>
              </w:rPr>
            </w:pPr>
            <w:r>
              <w:t>R</w:t>
            </w:r>
            <w:r>
              <w:rPr>
                <w:vertAlign w:val="superscript"/>
              </w:rPr>
              <w:t>2</w:t>
            </w:r>
          </w:p>
        </w:tc>
        <w:tc>
          <w:tcPr>
            <w:tcW w:w="4428" w:type="dxa"/>
          </w:tcPr>
          <w:p w14:paraId="7916EDAE" w14:textId="77777777" w:rsidR="00E21450" w:rsidRDefault="00E21450" w:rsidP="00153095">
            <w:r>
              <w:t>0.57</w:t>
            </w:r>
          </w:p>
        </w:tc>
      </w:tr>
    </w:tbl>
    <w:p w14:paraId="199DBEE0" w14:textId="77777777" w:rsidR="00E21450" w:rsidRDefault="00E21450" w:rsidP="00E21450">
      <w:r>
        <w:t xml:space="preserve">Table S1: This table reports the estimated parameters of our thermodynamic model as proportional to </w:t>
      </w:r>
      <w:r w:rsidRPr="00115EDB">
        <w:rPr>
          <w:rFonts w:ascii="Symbol" w:hAnsi="Symbol"/>
        </w:rPr>
        <w:t></w:t>
      </w:r>
      <w:r>
        <w:t xml:space="preserve">G or the difference of </w:t>
      </w:r>
      <w:r w:rsidRPr="00115EDB">
        <w:rPr>
          <w:rFonts w:ascii="Symbol" w:hAnsi="Symbol"/>
        </w:rPr>
        <w:t></w:t>
      </w:r>
      <w:r>
        <w:t>Gs (</w:t>
      </w:r>
      <w:r w:rsidRPr="00115EDB">
        <w:rPr>
          <w:rFonts w:ascii="Symbol" w:hAnsi="Symbol"/>
        </w:rPr>
        <w:t></w:t>
      </w:r>
      <w:r w:rsidRPr="00115EDB">
        <w:rPr>
          <w:rFonts w:ascii="Symbol" w:hAnsi="Symbol"/>
        </w:rPr>
        <w:t></w:t>
      </w:r>
      <w:r>
        <w:t>G). X and Y denote the unknown TFs predicted to bind at site Reb1</w:t>
      </w:r>
      <w:r>
        <w:rPr>
          <w:vertAlign w:val="subscript"/>
        </w:rPr>
        <w:t>3</w:t>
      </w:r>
      <w:r>
        <w:t xml:space="preserve"> and Rap1</w:t>
      </w:r>
      <w:r>
        <w:rPr>
          <w:vertAlign w:val="subscript"/>
        </w:rPr>
        <w:t>2</w:t>
      </w:r>
      <w:r>
        <w:t xml:space="preserve"> respectively. (R) denotes the TFBS in the reverse </w:t>
      </w:r>
      <w:r w:rsidRPr="00F95742">
        <w:t xml:space="preserve">orientation. A negative value for </w:t>
      </w:r>
      <w:r w:rsidRPr="00F95742">
        <w:t xml:space="preserve">G between TF and RNAP or TF-TF indicates a favorable interaction, while a positive value indicates an unfavorable interaction.  A negative value for the difference of </w:t>
      </w:r>
      <w:r w:rsidRPr="00F95742">
        <w:t>Gs between TF and DNA indicate</w:t>
      </w:r>
      <w:r w:rsidR="001C2763" w:rsidRPr="00F95742">
        <w:t>s</w:t>
      </w:r>
      <w:r w:rsidRPr="00F95742">
        <w:t xml:space="preserve"> a stronger site (higher affinity), while a positive value indicates a weaker site (lower affinity). </w:t>
      </w:r>
      <w:r w:rsidR="00F95742" w:rsidRPr="00F95742">
        <w:rPr>
          <w:color w:val="000000"/>
        </w:rPr>
        <w:t xml:space="preserve">For each model we performed 100 independent fits to the data. </w:t>
      </w:r>
      <w:r w:rsidR="00F95742" w:rsidRPr="00F95742">
        <w:rPr>
          <w:color w:val="000000"/>
        </w:rPr>
        <w:lastRenderedPageBreak/>
        <w:t>In general the fits converged ~40% of the time. In all cases where the fits did converge, we recovered parameters that were with</w:t>
      </w:r>
      <w:r w:rsidR="00F95742">
        <w:rPr>
          <w:color w:val="000000"/>
        </w:rPr>
        <w:t xml:space="preserve">in the 95% confidence interval. </w:t>
      </w:r>
      <w:bookmarkStart w:id="0" w:name="_GoBack"/>
      <w:bookmarkEnd w:id="0"/>
    </w:p>
    <w:p w14:paraId="53B04528" w14:textId="77777777" w:rsidR="00E21450" w:rsidRDefault="00E21450" w:rsidP="00E21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7178"/>
      </w:tblGrid>
      <w:tr w:rsidR="00E21450" w14:paraId="221F3273" w14:textId="77777777" w:rsidTr="00153095">
        <w:tc>
          <w:tcPr>
            <w:tcW w:w="1678" w:type="dxa"/>
          </w:tcPr>
          <w:p w14:paraId="2C59E8B3" w14:textId="77777777" w:rsidR="00E21450" w:rsidRPr="00740534" w:rsidRDefault="00E21450" w:rsidP="00153095">
            <w:pPr>
              <w:rPr>
                <w:b/>
              </w:rPr>
            </w:pPr>
            <w:r w:rsidRPr="00740534">
              <w:rPr>
                <w:b/>
              </w:rPr>
              <w:t>Primer name</w:t>
            </w:r>
          </w:p>
        </w:tc>
        <w:tc>
          <w:tcPr>
            <w:tcW w:w="7178" w:type="dxa"/>
          </w:tcPr>
          <w:p w14:paraId="1040D45A" w14:textId="77777777" w:rsidR="00E21450" w:rsidRPr="00740534" w:rsidRDefault="00E21450" w:rsidP="00153095">
            <w:pPr>
              <w:rPr>
                <w:b/>
              </w:rPr>
            </w:pPr>
            <w:r w:rsidRPr="00740534">
              <w:rPr>
                <w:b/>
              </w:rPr>
              <w:t>Sequence</w:t>
            </w:r>
          </w:p>
        </w:tc>
      </w:tr>
      <w:tr w:rsidR="00E21450" w14:paraId="25F46BCC" w14:textId="77777777" w:rsidTr="00153095">
        <w:tc>
          <w:tcPr>
            <w:tcW w:w="1678" w:type="dxa"/>
          </w:tcPr>
          <w:p w14:paraId="21DF30A2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prIM01</w:t>
            </w:r>
          </w:p>
        </w:tc>
        <w:tc>
          <w:tcPr>
            <w:tcW w:w="7178" w:type="dxa"/>
          </w:tcPr>
          <w:p w14:paraId="0A597BF0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GGCCGAANNNNWNNNNWNNNNNAGCTCGT</w:t>
            </w:r>
          </w:p>
        </w:tc>
      </w:tr>
      <w:tr w:rsidR="00E21450" w14:paraId="77419CFD" w14:textId="77777777" w:rsidTr="00153095">
        <w:tc>
          <w:tcPr>
            <w:tcW w:w="1678" w:type="dxa"/>
          </w:tcPr>
          <w:p w14:paraId="2CD84122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prIM02</w:t>
            </w:r>
          </w:p>
        </w:tc>
        <w:tc>
          <w:tcPr>
            <w:tcW w:w="7178" w:type="dxa"/>
          </w:tcPr>
          <w:p w14:paraId="7F478EE3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CTAGACGAGCTNNNNNWNNNNWNNNNTTC</w:t>
            </w:r>
          </w:p>
        </w:tc>
      </w:tr>
      <w:tr w:rsidR="00E21450" w14:paraId="2D0942E1" w14:textId="77777777" w:rsidTr="00153095">
        <w:tc>
          <w:tcPr>
            <w:tcW w:w="1678" w:type="dxa"/>
          </w:tcPr>
          <w:p w14:paraId="2B307FEF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prIM03</w:t>
            </w:r>
          </w:p>
        </w:tc>
        <w:tc>
          <w:tcPr>
            <w:tcW w:w="7178" w:type="dxa"/>
          </w:tcPr>
          <w:p w14:paraId="7EA8CE8F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TATAGGTACCGGCTCGGGTTGGCAAA</w:t>
            </w:r>
          </w:p>
        </w:tc>
      </w:tr>
      <w:tr w:rsidR="00E21450" w14:paraId="193A88B3" w14:textId="77777777" w:rsidTr="00153095">
        <w:tc>
          <w:tcPr>
            <w:tcW w:w="1678" w:type="dxa"/>
          </w:tcPr>
          <w:p w14:paraId="57578030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prIM04</w:t>
            </w:r>
          </w:p>
        </w:tc>
        <w:tc>
          <w:tcPr>
            <w:tcW w:w="7178" w:type="dxa"/>
          </w:tcPr>
          <w:p w14:paraId="52DD9218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GTTCCGGCCGTTATTTGTACAATTCATCCATACCATGGGT</w:t>
            </w:r>
          </w:p>
        </w:tc>
      </w:tr>
      <w:tr w:rsidR="00E21450" w14:paraId="79C92350" w14:textId="77777777" w:rsidTr="00153095">
        <w:tc>
          <w:tcPr>
            <w:tcW w:w="1678" w:type="dxa"/>
          </w:tcPr>
          <w:p w14:paraId="759AF6AB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prIM05</w:t>
            </w:r>
          </w:p>
        </w:tc>
        <w:tc>
          <w:tcPr>
            <w:tcW w:w="7178" w:type="dxa"/>
          </w:tcPr>
          <w:p w14:paraId="54F5EE70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TGAATTGTACAAATAAG</w:t>
            </w:r>
            <w:r w:rsidRPr="00740534">
              <w:rPr>
                <w:rFonts w:ascii="Courier" w:eastAsia="Times New Roman" w:hAnsi="Courier" w:cs="Times New Roman"/>
                <w:bCs/>
                <w:sz w:val="20"/>
                <w:szCs w:val="20"/>
                <w:lang w:eastAsia="en-US"/>
              </w:rPr>
              <w:t>CGGCCG</w:t>
            </w: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AA</w:t>
            </w:r>
          </w:p>
        </w:tc>
      </w:tr>
      <w:tr w:rsidR="00E21450" w14:paraId="387C0B2D" w14:textId="77777777" w:rsidTr="00153095">
        <w:tc>
          <w:tcPr>
            <w:tcW w:w="1678" w:type="dxa"/>
          </w:tcPr>
          <w:p w14:paraId="345CB218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prIM06</w:t>
            </w:r>
          </w:p>
        </w:tc>
        <w:tc>
          <w:tcPr>
            <w:tcW w:w="7178" w:type="dxa"/>
          </w:tcPr>
          <w:p w14:paraId="63290A46" w14:textId="77777777" w:rsidR="00E21450" w:rsidRPr="00740534" w:rsidRDefault="00E21450" w:rsidP="00153095">
            <w:pPr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</w:pP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TTAA</w:t>
            </w:r>
            <w:r w:rsidRPr="00740534">
              <w:rPr>
                <w:rFonts w:ascii="Courier" w:eastAsia="Times New Roman" w:hAnsi="Courier" w:cs="Times New Roman"/>
                <w:bCs/>
                <w:sz w:val="20"/>
                <w:szCs w:val="20"/>
                <w:lang w:eastAsia="en-US"/>
              </w:rPr>
              <w:t>CTCGAG</w:t>
            </w: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AAGTAGATAAAGTCAGTGCTTAAACAC</w:t>
            </w:r>
          </w:p>
        </w:tc>
      </w:tr>
      <w:tr w:rsidR="00E21450" w14:paraId="0F74E26A" w14:textId="77777777" w:rsidTr="00153095">
        <w:tc>
          <w:tcPr>
            <w:tcW w:w="1678" w:type="dxa"/>
          </w:tcPr>
          <w:p w14:paraId="09C59ED5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prIM07</w:t>
            </w:r>
          </w:p>
        </w:tc>
        <w:tc>
          <w:tcPr>
            <w:tcW w:w="7178" w:type="dxa"/>
          </w:tcPr>
          <w:p w14:paraId="7D6B10EA" w14:textId="77777777" w:rsidR="00E21450" w:rsidRPr="00740534" w:rsidRDefault="00E21450" w:rsidP="00153095">
            <w:pPr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</w:pP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ATAT</w:t>
            </w:r>
            <w:r w:rsidRPr="00740534">
              <w:rPr>
                <w:rFonts w:ascii="Courier" w:eastAsia="Times New Roman" w:hAnsi="Courier" w:cs="Times New Roman"/>
                <w:bCs/>
                <w:sz w:val="20"/>
                <w:szCs w:val="20"/>
                <w:lang w:eastAsia="en-US"/>
              </w:rPr>
              <w:t>CTCGAG</w:t>
            </w:r>
            <w:r w:rsidRPr="00740534"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  <w:t>CCTGCGATGTATATTTTCCTGTAC</w:t>
            </w:r>
          </w:p>
        </w:tc>
      </w:tr>
      <w:tr w:rsidR="00E21450" w14:paraId="3DF53ECA" w14:textId="77777777" w:rsidTr="00153095">
        <w:tc>
          <w:tcPr>
            <w:tcW w:w="1678" w:type="dxa"/>
          </w:tcPr>
          <w:p w14:paraId="121EA44C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prIM08</w:t>
            </w:r>
          </w:p>
        </w:tc>
        <w:tc>
          <w:tcPr>
            <w:tcW w:w="7178" w:type="dxa"/>
          </w:tcPr>
          <w:p w14:paraId="3C91BC65" w14:textId="77777777" w:rsidR="00E21450" w:rsidRPr="00740534" w:rsidRDefault="00E21450" w:rsidP="00153095">
            <w:pPr>
              <w:rPr>
                <w:rFonts w:ascii="Courier" w:eastAsia="Times New Roman" w:hAnsi="Courier" w:cs="Times New Roman"/>
                <w:sz w:val="20"/>
                <w:szCs w:val="20"/>
                <w:lang w:eastAsia="en-US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CAAGCAGAAGACGGCATACGAGCTCTTCCGATCT</w:t>
            </w:r>
          </w:p>
        </w:tc>
      </w:tr>
      <w:tr w:rsidR="00E21450" w14:paraId="27F92BE6" w14:textId="77777777" w:rsidTr="00153095">
        <w:tc>
          <w:tcPr>
            <w:tcW w:w="1678" w:type="dxa"/>
          </w:tcPr>
          <w:p w14:paraId="0476ABE5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prIM09</w:t>
            </w:r>
          </w:p>
        </w:tc>
        <w:tc>
          <w:tcPr>
            <w:tcW w:w="7178" w:type="dxa"/>
          </w:tcPr>
          <w:p w14:paraId="57AD21DE" w14:textId="77777777" w:rsidR="00E21450" w:rsidRPr="00740534" w:rsidRDefault="00E21450" w:rsidP="00153095">
            <w:pPr>
              <w:rPr>
                <w:rFonts w:ascii="Courier" w:hAnsi="Courier"/>
                <w:sz w:val="20"/>
                <w:szCs w:val="20"/>
              </w:rPr>
            </w:pPr>
            <w:r w:rsidRPr="00740534">
              <w:rPr>
                <w:rFonts w:ascii="Courier" w:hAnsi="Courier"/>
                <w:sz w:val="20"/>
                <w:szCs w:val="20"/>
              </w:rPr>
              <w:t>AATGATACGGCGACCACCGAGATCTACACTCTTTCCCTACACGACGCTCTTCCGATCT</w:t>
            </w:r>
          </w:p>
        </w:tc>
      </w:tr>
    </w:tbl>
    <w:p w14:paraId="1D15DFC3" w14:textId="77777777" w:rsidR="00E21450" w:rsidRDefault="00E21450" w:rsidP="00E21450">
      <w:r>
        <w:t>Table S2: Primer sequences</w:t>
      </w:r>
    </w:p>
    <w:p w14:paraId="6B360112" w14:textId="77777777" w:rsidR="00E21450" w:rsidRDefault="00E21450" w:rsidP="00E21450"/>
    <w:p w14:paraId="11D40973" w14:textId="77777777" w:rsidR="00E21450" w:rsidRDefault="00E21450" w:rsidP="00E21450"/>
    <w:p w14:paraId="0E7B48A3" w14:textId="77777777" w:rsidR="00F215A6" w:rsidRDefault="00F215A6" w:rsidP="00E21450"/>
    <w:p w14:paraId="2A9E501C" w14:textId="77777777" w:rsidR="00E21450" w:rsidRDefault="00E21450" w:rsidP="00E21450">
      <w:r>
        <w:rPr>
          <w:noProof/>
          <w:lang w:eastAsia="en-US"/>
        </w:rPr>
        <w:lastRenderedPageBreak/>
        <w:drawing>
          <wp:inline distT="0" distB="0" distL="0" distR="0" wp14:anchorId="7FA35FA1" wp14:editId="399890BC">
            <wp:extent cx="5478145" cy="5241290"/>
            <wp:effectExtent l="0" t="0" r="8255" b="0"/>
            <wp:docPr id="20" name="Picture 20" descr="Macintosh HD:Users:mogno:Documents:FILESERVER:Research:BC:newPlasmid:M7M8M9:paper:figures:Figure_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ogno:Documents:FILESERVER:Research:BC:newPlasmid:M7M8M9:paper:figures:Figure_S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4132C" w14:textId="77777777" w:rsidR="00E21450" w:rsidRDefault="007E74EF" w:rsidP="00E21450">
      <w:r>
        <w:t>Figure S1: The complete CRE-s</w:t>
      </w:r>
      <w:r w:rsidR="00E21450">
        <w:t>eq cloning strategy with chromosomal integration. First, we cloned the CREs into a plasmid creating a library of CRE sequences.  Into this library we then cloned a library of BCs downstream of the CREs. To match CREs to BCs we digested away the plasmid backbone, ligated Illumina adapt</w:t>
      </w:r>
      <w:r w:rsidR="001C2763">
        <w:t>e</w:t>
      </w:r>
      <w:r w:rsidR="00E21450">
        <w:t xml:space="preserve">rs, and sequenced the DNA with a paired end run. We then inserted the basal promoter and YFP gene between the CREs and the BCs. Finally, we integrated the library cassette into </w:t>
      </w:r>
      <w:r w:rsidR="00E21450" w:rsidRPr="00BC5B27">
        <w:rPr>
          <w:i/>
        </w:rPr>
        <w:t xml:space="preserve">S. cerevisiae </w:t>
      </w:r>
      <w:r w:rsidR="00E21450">
        <w:t xml:space="preserve">at the </w:t>
      </w:r>
      <w:r w:rsidR="00E21450" w:rsidRPr="00ED310A">
        <w:rPr>
          <w:i/>
        </w:rPr>
        <w:t>TRP1</w:t>
      </w:r>
      <w:r w:rsidR="00E21450">
        <w:t xml:space="preserve"> locus, and pooled colonies for use in the CRE-seq assay. </w:t>
      </w:r>
    </w:p>
    <w:p w14:paraId="7E104005" w14:textId="77777777" w:rsidR="00E21450" w:rsidRDefault="00E21450" w:rsidP="00E21450"/>
    <w:p w14:paraId="5074F321" w14:textId="77777777" w:rsidR="00E21450" w:rsidRDefault="00E21450" w:rsidP="00E21450"/>
    <w:p w14:paraId="31A027CF" w14:textId="77777777" w:rsidR="00E21450" w:rsidRDefault="00E21450" w:rsidP="00E21450"/>
    <w:p w14:paraId="6823FC79" w14:textId="77777777" w:rsidR="00E21450" w:rsidRDefault="00E21450" w:rsidP="00E21450"/>
    <w:p w14:paraId="4799AAB6" w14:textId="77777777" w:rsidR="00E21450" w:rsidRDefault="00E21450" w:rsidP="00E21450"/>
    <w:p w14:paraId="6D36F283" w14:textId="77777777" w:rsidR="00E21450" w:rsidRDefault="00E21450" w:rsidP="00E21450"/>
    <w:p w14:paraId="70028918" w14:textId="77777777" w:rsidR="00E21450" w:rsidRDefault="00E21450" w:rsidP="00E21450"/>
    <w:p w14:paraId="2C524126" w14:textId="77777777" w:rsidR="00E21450" w:rsidRDefault="00E21450" w:rsidP="00E21450"/>
    <w:p w14:paraId="6A9A2A24" w14:textId="77777777" w:rsidR="00E21450" w:rsidRDefault="00E21450" w:rsidP="00E21450">
      <w:r>
        <w:rPr>
          <w:noProof/>
          <w:lang w:eastAsia="en-US"/>
        </w:rPr>
        <w:drawing>
          <wp:inline distT="0" distB="0" distL="0" distR="0" wp14:anchorId="2CF54FD8" wp14:editId="5A04D940">
            <wp:extent cx="5257800" cy="2294255"/>
            <wp:effectExtent l="0" t="0" r="0" b="0"/>
            <wp:docPr id="13" name="Picture 13" descr="Macintosh HD:Users:mogno:Documents:FILESERVER:Research:BC:newPlasmid:M7M8M9:paper:figures:Figure_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ogno:Documents:FILESERVER:Research:BC:newPlasmid:M7M8M9:paper:figures:Figure_S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F9107" w14:textId="77777777" w:rsidR="00E21450" w:rsidRDefault="00E21450" w:rsidP="00E21450">
      <w:r>
        <w:t xml:space="preserve">Figure S2: Distribution of </w:t>
      </w:r>
      <w:r w:rsidR="001C2763">
        <w:t xml:space="preserve">BC number </w:t>
      </w:r>
      <w:r>
        <w:t xml:space="preserve">per CRE. 66.7% of the CREs are represented by 1 BC only, and 16.1% of the CREs are represented by 3 or more BCs.    </w:t>
      </w:r>
    </w:p>
    <w:p w14:paraId="027B8D3E" w14:textId="77777777" w:rsidR="00E21450" w:rsidRDefault="00E21450" w:rsidP="00E21450"/>
    <w:p w14:paraId="58E632E0" w14:textId="77777777" w:rsidR="00E21450" w:rsidRDefault="00E21450" w:rsidP="00E21450"/>
    <w:p w14:paraId="123AB3CA" w14:textId="77777777" w:rsidR="00E21450" w:rsidRDefault="00E21450" w:rsidP="00E21450">
      <w:r>
        <w:rPr>
          <w:noProof/>
          <w:lang w:eastAsia="en-US"/>
        </w:rPr>
        <w:drawing>
          <wp:inline distT="0" distB="0" distL="0" distR="0" wp14:anchorId="070F468B" wp14:editId="7011F140">
            <wp:extent cx="5486400" cy="1649095"/>
            <wp:effectExtent l="0" t="0" r="0" b="1905"/>
            <wp:docPr id="21" name="Picture 21" descr="Macintosh HD:Users:mogno:Documents:FILESERVER:Research:BC:newPlasmid:M7M8M9:paper:figures:Figure_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ogno:Documents:FILESERVER:Research:BC:newPlasmid:M7M8M9:paper:figures:Figure_S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12E3" w14:textId="77777777" w:rsidR="00E21450" w:rsidRDefault="00E21450" w:rsidP="00E21450">
      <w:r>
        <w:t>Figure S3: The effect of 0, 1 and 2 Gcr1, Reb1 and Rap1 sites on gene expression. While expression (</w:t>
      </w:r>
      <w:r w:rsidR="001C2763">
        <w:t>y-</w:t>
      </w:r>
      <w:r>
        <w:t>axis) grow</w:t>
      </w:r>
      <w:r w:rsidR="000C0459">
        <w:t>s</w:t>
      </w:r>
      <w:r>
        <w:t xml:space="preserve"> linearly with the number of Reb1 and Rap1 sites (</w:t>
      </w:r>
      <w:r w:rsidR="001C2763">
        <w:t>x-</w:t>
      </w:r>
      <w:r>
        <w:t>axis</w:t>
      </w:r>
      <w:r w:rsidR="001C2763">
        <w:t>, panels B and C</w:t>
      </w:r>
      <w:r>
        <w:t>), Gcr1 shows a different behavior</w:t>
      </w:r>
      <w:r w:rsidR="001C2763">
        <w:t xml:space="preserve"> (panel A)</w:t>
      </w:r>
      <w:r>
        <w:t>. We observe no increase over basal expression until two Gcr1 sites are present. This plot includes all promoters containing 0, 1</w:t>
      </w:r>
      <w:r w:rsidR="001C2763">
        <w:t>,</w:t>
      </w:r>
      <w:r>
        <w:t xml:space="preserve"> or 2 sites of interest, among other sites.</w:t>
      </w:r>
      <w:r w:rsidR="00D92381">
        <w:t xml:space="preserve"> </w:t>
      </w:r>
      <w:r>
        <w:t xml:space="preserve"> </w:t>
      </w:r>
    </w:p>
    <w:p w14:paraId="10B18BC0" w14:textId="77777777" w:rsidR="00E21450" w:rsidRDefault="00E21450" w:rsidP="00E21450"/>
    <w:p w14:paraId="064AECD7" w14:textId="77777777" w:rsidR="00E21450" w:rsidRDefault="00E21450" w:rsidP="00E21450">
      <w:pPr>
        <w:rPr>
          <w:noProof/>
          <w:lang w:eastAsia="en-US"/>
        </w:rPr>
      </w:pPr>
    </w:p>
    <w:p w14:paraId="036CAE67" w14:textId="77777777" w:rsidR="00E21450" w:rsidRDefault="00E21450" w:rsidP="00E21450">
      <w:pPr>
        <w:rPr>
          <w:noProof/>
          <w:lang w:eastAsia="en-US"/>
        </w:rPr>
      </w:pPr>
      <w:r>
        <w:rPr>
          <w:noProof/>
          <w:lang w:eastAsia="en-US"/>
        </w:rPr>
        <w:lastRenderedPageBreak/>
        <w:drawing>
          <wp:inline distT="0" distB="0" distL="0" distR="0" wp14:anchorId="7B610B46" wp14:editId="54FA7357">
            <wp:extent cx="3902710" cy="3404235"/>
            <wp:effectExtent l="0" t="0" r="8890" b="0"/>
            <wp:docPr id="14" name="Picture 14" descr="Macintosh HD:Users:mogno:Documents:FILESERVER:Research:BC:newPlasmid:M7M8M9:paper:figures:Figure_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ogno:Documents:FILESERVER:Research:BC:newPlasmid:M7M8M9:paper:figures:Figure_S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B6507" w14:textId="77777777" w:rsidR="00E21450" w:rsidRDefault="00E21450" w:rsidP="00E21450">
      <w:r>
        <w:t>Figure S4: Expression of promoters composed of the same TFBS</w:t>
      </w:r>
      <w:r w:rsidR="000C0459">
        <w:t>s</w:t>
      </w:r>
      <w:r>
        <w:t xml:space="preserve">. The expression driven by </w:t>
      </w:r>
      <w:r w:rsidR="000C0459">
        <w:t xml:space="preserve">CREs </w:t>
      </w:r>
      <w:r>
        <w:t xml:space="preserve">containing </w:t>
      </w:r>
      <w:r w:rsidR="000C0459">
        <w:t xml:space="preserve">adjacent </w:t>
      </w:r>
      <w:r>
        <w:t>Gcr1</w:t>
      </w:r>
      <w:r>
        <w:rPr>
          <w:vertAlign w:val="subscript"/>
        </w:rPr>
        <w:t>1</w:t>
      </w:r>
      <w:r>
        <w:t xml:space="preserve"> and Mig1</w:t>
      </w:r>
      <w:r>
        <w:rPr>
          <w:vertAlign w:val="subscript"/>
        </w:rPr>
        <w:t>1</w:t>
      </w:r>
      <w:r>
        <w:t xml:space="preserve"> </w:t>
      </w:r>
      <w:r w:rsidR="000C0459">
        <w:t>sites</w:t>
      </w:r>
      <w:r>
        <w:t xml:space="preserve"> (y-axis), is, in general, lower than the expression driven by </w:t>
      </w:r>
      <w:r w:rsidR="000C0459">
        <w:t xml:space="preserve">CREs </w:t>
      </w:r>
      <w:r>
        <w:t xml:space="preserve">with the same TFBS content but </w:t>
      </w:r>
      <w:r w:rsidR="000C0459">
        <w:t>non-</w:t>
      </w:r>
      <w:r>
        <w:t>adjacent Gcr1</w:t>
      </w:r>
      <w:r>
        <w:rPr>
          <w:vertAlign w:val="subscript"/>
        </w:rPr>
        <w:t>1</w:t>
      </w:r>
      <w:r>
        <w:t xml:space="preserve"> and Mig1</w:t>
      </w:r>
      <w:r>
        <w:rPr>
          <w:vertAlign w:val="subscript"/>
        </w:rPr>
        <w:t>1</w:t>
      </w:r>
      <w:r>
        <w:t xml:space="preserve"> TFBS</w:t>
      </w:r>
      <w:r w:rsidR="000C0459">
        <w:t>s</w:t>
      </w:r>
      <w:r>
        <w:t xml:space="preserve"> (x-axis). </w:t>
      </w:r>
    </w:p>
    <w:p w14:paraId="620FC5E9" w14:textId="77777777" w:rsidR="00153095" w:rsidRDefault="00153095" w:rsidP="00E21450"/>
    <w:p w14:paraId="12286BF7" w14:textId="77777777" w:rsidR="00153095" w:rsidRDefault="004A0A93" w:rsidP="00E21450">
      <w:r>
        <w:rPr>
          <w:noProof/>
          <w:lang w:eastAsia="en-US"/>
        </w:rPr>
        <w:lastRenderedPageBreak/>
        <w:drawing>
          <wp:inline distT="0" distB="0" distL="0" distR="0" wp14:anchorId="2727B4A3" wp14:editId="39499780">
            <wp:extent cx="5486400" cy="4694555"/>
            <wp:effectExtent l="0" t="0" r="0" b="4445"/>
            <wp:docPr id="3" name="Picture 3" descr="Macintosh HD:Users:ilaria:Documents:WashU:Cohenlab:paper:GR2013:figures:Figure_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acintosh HD:Users:ilaria:Documents:WashU:Cohenlab:paper:GR2013:figures:Figure_S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A0EC" w14:textId="77777777" w:rsidR="00095F18" w:rsidRDefault="00DD4E5F" w:rsidP="00E21450">
      <w:r>
        <w:t xml:space="preserve">Figure S5: Repeated random sub-sampling validation results. The 2534 data points were split in two sets, a training set and a validation set. </w:t>
      </w:r>
      <w:r w:rsidR="000C0459">
        <w:t xml:space="preserve">The size of the training set varied; sets were defined </w:t>
      </w:r>
      <w:r w:rsidR="001C2763">
        <w:t xml:space="preserve">by </w:t>
      </w:r>
      <w:r w:rsidR="000C0459">
        <w:t xml:space="preserve">randomly picking 10%, 15%, 20%, 25%, 30%, 40%, 50%, 60%, 70%, 80% </w:t>
      </w:r>
      <w:r w:rsidR="001C2763">
        <w:t xml:space="preserve">or </w:t>
      </w:r>
      <w:r w:rsidR="000C0459">
        <w:t xml:space="preserve">90% of the total number of data points. </w:t>
      </w:r>
      <w:r>
        <w:t>The model was fit on the training set and then applied to the validation sets. R</w:t>
      </w:r>
      <w:r w:rsidRPr="00894169">
        <w:rPr>
          <w:vertAlign w:val="superscript"/>
        </w:rPr>
        <w:t>2</w:t>
      </w:r>
      <w:r>
        <w:t xml:space="preserve"> values were estimated for the two sets</w:t>
      </w:r>
      <w:r w:rsidR="00095F18">
        <w:t>. The R</w:t>
      </w:r>
      <w:r w:rsidR="00095F18">
        <w:rPr>
          <w:vertAlign w:val="superscript"/>
        </w:rPr>
        <w:t>2</w:t>
      </w:r>
      <w:r>
        <w:t xml:space="preserve"> values reported in the first panel of the figure are </w:t>
      </w:r>
      <w:r w:rsidR="00095F18">
        <w:t>averaged</w:t>
      </w:r>
      <w:r>
        <w:t xml:space="preserve"> across the 20 trials</w:t>
      </w:r>
      <w:r w:rsidR="000C0459">
        <w:t xml:space="preserve"> of this procedure</w:t>
      </w:r>
      <w:r>
        <w:t>. The figure shows that with 1000 unique data points (</w:t>
      </w:r>
      <w:r w:rsidR="000C0459">
        <w:t>CREs</w:t>
      </w:r>
      <w:r>
        <w:t xml:space="preserve">), we have similar performances in the training set </w:t>
      </w:r>
      <w:r w:rsidR="001C2763">
        <w:t xml:space="preserve">as </w:t>
      </w:r>
      <w:r>
        <w:t xml:space="preserve">in the validation set. With </w:t>
      </w:r>
      <w:r w:rsidR="007E74EF">
        <w:t>fewer</w:t>
      </w:r>
      <w:r>
        <w:t xml:space="preserve"> data points the model </w:t>
      </w:r>
      <w:r w:rsidR="007E74EF">
        <w:t>is over</w:t>
      </w:r>
      <w:r w:rsidR="001C2763">
        <w:t>-</w:t>
      </w:r>
      <w:r w:rsidR="007E74EF">
        <w:t xml:space="preserve">fit </w:t>
      </w:r>
      <w:r>
        <w:t xml:space="preserve">and </w:t>
      </w:r>
      <w:r w:rsidR="000C0459">
        <w:t>predicts the validation set less well. T</w:t>
      </w:r>
      <w:r w:rsidR="001054C3">
        <w:t xml:space="preserve">he second panel shows that the number of </w:t>
      </w:r>
      <w:r w:rsidR="000C0459">
        <w:t xml:space="preserve">significant </w:t>
      </w:r>
      <w:r w:rsidR="001054C3">
        <w:t>parameters increase</w:t>
      </w:r>
      <w:r w:rsidR="00095F18">
        <w:t>s</w:t>
      </w:r>
      <w:r w:rsidR="001054C3">
        <w:t xml:space="preserve"> with the number of data points. When we include </w:t>
      </w:r>
      <w:r w:rsidR="000C0459">
        <w:t xml:space="preserve">fewer </w:t>
      </w:r>
      <w:r w:rsidR="001054C3">
        <w:t xml:space="preserve">than 2000 promoters we </w:t>
      </w:r>
      <w:r w:rsidR="000518A0">
        <w:t>lo</w:t>
      </w:r>
      <w:r w:rsidR="00095F18">
        <w:t>se</w:t>
      </w:r>
      <w:r w:rsidR="001054C3">
        <w:t xml:space="preserve"> significant parameters</w:t>
      </w:r>
      <w:r w:rsidR="00AC1734">
        <w:t xml:space="preserve">, while the </w:t>
      </w:r>
      <w:r w:rsidR="000518A0">
        <w:t>values of the others do</w:t>
      </w:r>
      <w:r w:rsidR="001C2763">
        <w:t xml:space="preserve"> not </w:t>
      </w:r>
      <w:r w:rsidR="00AC1734">
        <w:t>change significantly</w:t>
      </w:r>
      <w:r w:rsidR="001054C3">
        <w:t xml:space="preserve">. </w:t>
      </w:r>
      <w:r w:rsidR="0018198F">
        <w:t xml:space="preserve">This suggests that in order to recover weak behaviors we need to have a </w:t>
      </w:r>
      <w:r w:rsidR="00095F18">
        <w:t xml:space="preserve">large number of unique promoters. </w:t>
      </w:r>
    </w:p>
    <w:p w14:paraId="4CA44E6F" w14:textId="77777777" w:rsidR="00153095" w:rsidRDefault="00153095" w:rsidP="00E21450"/>
    <w:p w14:paraId="5661C3DA" w14:textId="77777777" w:rsidR="00153095" w:rsidRDefault="00153095" w:rsidP="00E21450"/>
    <w:sectPr w:rsidR="00153095" w:rsidSect="0079315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F6264" w14:textId="77777777" w:rsidR="00FF125C" w:rsidRDefault="00FF125C" w:rsidP="00D76E55">
      <w:pPr>
        <w:spacing w:after="0"/>
      </w:pPr>
      <w:r>
        <w:separator/>
      </w:r>
    </w:p>
  </w:endnote>
  <w:endnote w:type="continuationSeparator" w:id="0">
    <w:p w14:paraId="06C94848" w14:textId="77777777" w:rsidR="00FF125C" w:rsidRDefault="00FF125C" w:rsidP="00D76E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210D3" w14:textId="77777777" w:rsidR="00D92381" w:rsidRDefault="009E2515" w:rsidP="00153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3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C3442" w14:textId="77777777" w:rsidR="00D92381" w:rsidRDefault="00D92381" w:rsidP="00D76E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CCF53" w14:textId="77777777" w:rsidR="00D92381" w:rsidRDefault="009E2515" w:rsidP="00153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23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742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3A7F50" w14:textId="77777777" w:rsidR="00D92381" w:rsidRDefault="00D92381" w:rsidP="00D76E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5CB83" w14:textId="77777777" w:rsidR="00FF125C" w:rsidRDefault="00FF125C" w:rsidP="00D76E55">
      <w:pPr>
        <w:spacing w:after="0"/>
      </w:pPr>
      <w:r>
        <w:separator/>
      </w:r>
    </w:p>
  </w:footnote>
  <w:footnote w:type="continuationSeparator" w:id="0">
    <w:p w14:paraId="49FCBDF4" w14:textId="77777777" w:rsidR="00FF125C" w:rsidRDefault="00FF125C" w:rsidP="00D76E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77B"/>
    <w:multiLevelType w:val="hybridMultilevel"/>
    <w:tmpl w:val="C8C25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1450"/>
    <w:rsid w:val="000518A0"/>
    <w:rsid w:val="00095F18"/>
    <w:rsid w:val="000C0459"/>
    <w:rsid w:val="001054C3"/>
    <w:rsid w:val="00106564"/>
    <w:rsid w:val="0015307B"/>
    <w:rsid w:val="00153095"/>
    <w:rsid w:val="0018198F"/>
    <w:rsid w:val="001C2763"/>
    <w:rsid w:val="003E67BA"/>
    <w:rsid w:val="004A0A93"/>
    <w:rsid w:val="00625394"/>
    <w:rsid w:val="00793154"/>
    <w:rsid w:val="007E74EF"/>
    <w:rsid w:val="007E786D"/>
    <w:rsid w:val="008009E2"/>
    <w:rsid w:val="00894169"/>
    <w:rsid w:val="009E2515"/>
    <w:rsid w:val="00AC1734"/>
    <w:rsid w:val="00CA3657"/>
    <w:rsid w:val="00D445D9"/>
    <w:rsid w:val="00D76E55"/>
    <w:rsid w:val="00D92381"/>
    <w:rsid w:val="00DD4E5F"/>
    <w:rsid w:val="00DD7702"/>
    <w:rsid w:val="00E21450"/>
    <w:rsid w:val="00F215A6"/>
    <w:rsid w:val="00F83057"/>
    <w:rsid w:val="00F95742"/>
    <w:rsid w:val="00FF12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98A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4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45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5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3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3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E5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E55"/>
  </w:style>
  <w:style w:type="character" w:styleId="PageNumber">
    <w:name w:val="page number"/>
    <w:basedOn w:val="DefaultParagraphFont"/>
    <w:uiPriority w:val="99"/>
    <w:semiHidden/>
    <w:unhideWhenUsed/>
    <w:rsid w:val="00D76E55"/>
  </w:style>
  <w:style w:type="character" w:styleId="CommentReference">
    <w:name w:val="annotation reference"/>
    <w:basedOn w:val="DefaultParagraphFont"/>
    <w:uiPriority w:val="99"/>
    <w:semiHidden/>
    <w:unhideWhenUsed/>
    <w:rsid w:val="007E74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4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45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5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3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3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6E5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E55"/>
  </w:style>
  <w:style w:type="character" w:styleId="PageNumber">
    <w:name w:val="page number"/>
    <w:basedOn w:val="DefaultParagraphFont"/>
    <w:uiPriority w:val="99"/>
    <w:semiHidden/>
    <w:unhideWhenUsed/>
    <w:rsid w:val="00D76E55"/>
  </w:style>
  <w:style w:type="character" w:styleId="CommentReference">
    <w:name w:val="annotation reference"/>
    <w:basedOn w:val="DefaultParagraphFont"/>
    <w:uiPriority w:val="99"/>
    <w:semiHidden/>
    <w:unhideWhenUsed/>
    <w:rsid w:val="007E74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hen@genetics.wustl.edu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744</Words>
  <Characters>4241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Mogno</dc:creator>
  <cp:lastModifiedBy>Ilaria Mogno</cp:lastModifiedBy>
  <cp:revision>4</cp:revision>
  <dcterms:created xsi:type="dcterms:W3CDTF">2013-06-25T14:54:00Z</dcterms:created>
  <dcterms:modified xsi:type="dcterms:W3CDTF">2013-06-26T16:43:00Z</dcterms:modified>
</cp:coreProperties>
</file>