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85" w:rsidRPr="008D592A" w:rsidRDefault="00054285" w:rsidP="00054285">
      <w:pPr>
        <w:pStyle w:val="AppendixHead"/>
      </w:pPr>
      <w:r>
        <w:t>Supplementary Material</w:t>
      </w:r>
      <w:r w:rsidRPr="008D592A">
        <w:t>:</w:t>
      </w:r>
    </w:p>
    <w:p w:rsidR="00054285" w:rsidRPr="008D592A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b/>
        </w:rPr>
      </w:pPr>
    </w:p>
    <w:p w:rsidR="00054285" w:rsidRPr="008D592A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b/>
        </w:rPr>
      </w:pPr>
    </w:p>
    <w:p w:rsidR="00054285" w:rsidRPr="008D592A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b/>
          <w:u w:val="single"/>
        </w:rPr>
      </w:pPr>
      <w:r w:rsidRPr="008D592A">
        <w:rPr>
          <w:rFonts w:ascii="Times New Roman" w:hAnsi="Times New Roman" w:cs="Times New Roman"/>
          <w:b/>
          <w:u w:val="single"/>
        </w:rPr>
        <w:t xml:space="preserve">Supplementary </w:t>
      </w:r>
      <w:r>
        <w:rPr>
          <w:rFonts w:ascii="Times New Roman" w:hAnsi="Times New Roman" w:cs="Times New Roman"/>
          <w:b/>
          <w:u w:val="single"/>
        </w:rPr>
        <w:t>Table</w:t>
      </w:r>
    </w:p>
    <w:p w:rsidR="00054285" w:rsidRPr="008D592A" w:rsidRDefault="00054285" w:rsidP="00054285">
      <w:pPr>
        <w:spacing w:line="360" w:lineRule="auto"/>
        <w:rPr>
          <w:b/>
          <w:bCs/>
          <w:sz w:val="24"/>
          <w:szCs w:val="24"/>
        </w:rPr>
      </w:pPr>
    </w:p>
    <w:tbl>
      <w:tblPr>
        <w:tblW w:w="8670" w:type="dxa"/>
        <w:tblInd w:w="93" w:type="dxa"/>
        <w:tblLook w:val="00A0" w:firstRow="1" w:lastRow="0" w:firstColumn="1" w:lastColumn="0" w:noHBand="0" w:noVBand="0"/>
      </w:tblPr>
      <w:tblGrid>
        <w:gridCol w:w="1039"/>
        <w:gridCol w:w="1216"/>
        <w:gridCol w:w="2070"/>
        <w:gridCol w:w="1912"/>
        <w:gridCol w:w="1726"/>
        <w:gridCol w:w="1216"/>
      </w:tblGrid>
      <w:tr w:rsidR="00054285" w:rsidRPr="003C5785" w:rsidTr="00B343B3">
        <w:trPr>
          <w:trHeight w:val="315"/>
        </w:trPr>
        <w:tc>
          <w:tcPr>
            <w:tcW w:w="867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DNA</w:t>
            </w:r>
          </w:p>
        </w:tc>
      </w:tr>
      <w:tr w:rsidR="00054285" w:rsidRPr="003C5785" w:rsidTr="00B343B3">
        <w:trPr>
          <w:trHeight w:val="300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ID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# of reads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# of mapped reads to rCRS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% mapped reads to rCRS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# of positions covered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54285" w:rsidRPr="003C5785" w:rsidRDefault="00054285" w:rsidP="00B343B3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Mean coverage</w:t>
            </w:r>
          </w:p>
        </w:tc>
      </w:tr>
      <w:tr w:rsidR="00054285" w:rsidRPr="003C5785" w:rsidTr="00B343B3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GM14381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677294985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1121921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0.1</w:t>
            </w: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16340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5013</w:t>
            </w:r>
          </w:p>
        </w:tc>
      </w:tr>
      <w:tr w:rsidR="00054285" w:rsidRPr="003C5785" w:rsidTr="00B343B3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GM14452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709074221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1906023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0.2</w:t>
            </w: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16529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9587</w:t>
            </w:r>
          </w:p>
        </w:tc>
      </w:tr>
      <w:tr w:rsidR="00054285" w:rsidRPr="003C5785" w:rsidTr="00B343B3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GM14468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746560279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1660250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0.2</w:t>
            </w: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16494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8164</w:t>
            </w:r>
          </w:p>
        </w:tc>
      </w:tr>
      <w:tr w:rsidR="00054285" w:rsidRPr="003C5785" w:rsidTr="00B343B3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GM14432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1173348066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1302342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0.11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16440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5835</w:t>
            </w:r>
          </w:p>
        </w:tc>
      </w:tr>
      <w:tr w:rsidR="00054285" w:rsidRPr="003C5785" w:rsidTr="00B343B3">
        <w:trPr>
          <w:trHeight w:val="31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GM14447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587181365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1028243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0.1</w:t>
            </w: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16376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4189</w:t>
            </w:r>
          </w:p>
        </w:tc>
      </w:tr>
      <w:tr w:rsidR="00054285" w:rsidRPr="003C5785" w:rsidTr="00B343B3">
        <w:trPr>
          <w:trHeight w:val="315"/>
        </w:trPr>
        <w:tc>
          <w:tcPr>
            <w:tcW w:w="867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RNA</w:t>
            </w:r>
          </w:p>
        </w:tc>
      </w:tr>
      <w:tr w:rsidR="00054285" w:rsidRPr="003C5785" w:rsidTr="00B343B3">
        <w:trPr>
          <w:trHeight w:val="300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ID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 xml:space="preserve"># of reads 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# of mapped reads to rCRS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% mapped reads to rCRS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# of positions covered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54285" w:rsidRPr="003C5785" w:rsidRDefault="00054285" w:rsidP="00B343B3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Mean coverage</w:t>
            </w:r>
          </w:p>
        </w:tc>
      </w:tr>
      <w:tr w:rsidR="00054285" w:rsidRPr="003C5785" w:rsidTr="00B343B3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GM14381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88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561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952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3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436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982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377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15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916</w:t>
            </w:r>
          </w:p>
        </w:tc>
      </w:tr>
      <w:tr w:rsidR="00054285" w:rsidRPr="003C5785" w:rsidTr="00B343B3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GM14452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108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180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232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7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591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065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15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196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34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961</w:t>
            </w:r>
          </w:p>
        </w:tc>
      </w:tr>
      <w:tr w:rsidR="00054285" w:rsidRPr="003C5785" w:rsidTr="00B343B3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GM14468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131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293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549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5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524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946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825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25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112</w:t>
            </w:r>
          </w:p>
        </w:tc>
      </w:tr>
      <w:tr w:rsidR="00054285" w:rsidRPr="003C5785" w:rsidTr="00B343B3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GM14432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100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107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660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894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867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792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23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022</w:t>
            </w:r>
          </w:p>
        </w:tc>
      </w:tr>
      <w:tr w:rsidR="00054285" w:rsidRPr="003C5785" w:rsidTr="00B343B3">
        <w:trPr>
          <w:trHeight w:val="31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GM14447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89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433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748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600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282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570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54285" w:rsidRPr="003C5785" w:rsidRDefault="00054285" w:rsidP="00B343B3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21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636</w:t>
            </w:r>
          </w:p>
        </w:tc>
      </w:tr>
    </w:tbl>
    <w:p w:rsidR="00054285" w:rsidRDefault="00054285" w:rsidP="00054285">
      <w:pPr>
        <w:spacing w:line="360" w:lineRule="auto"/>
        <w:rPr>
          <w:sz w:val="24"/>
          <w:szCs w:val="24"/>
        </w:rPr>
      </w:pPr>
    </w:p>
    <w:p w:rsidR="00054285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7449B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449B9">
        <w:rPr>
          <w:rFonts w:ascii="Times New Roman" w:hAnsi="Times New Roman" w:cs="Times New Roman"/>
          <w:b/>
          <w:bCs/>
          <w:sz w:val="24"/>
          <w:szCs w:val="24"/>
        </w:rPr>
        <w:t xml:space="preserve">: Summary statistics of </w:t>
      </w:r>
      <w:r>
        <w:rPr>
          <w:rFonts w:ascii="Times New Roman" w:hAnsi="Times New Roman" w:cs="Times New Roman"/>
          <w:b/>
          <w:bCs/>
          <w:sz w:val="24"/>
          <w:szCs w:val="24"/>
        </w:rPr>
        <w:t>deep sequencing</w:t>
      </w:r>
      <w:r w:rsidRPr="007449B9">
        <w:rPr>
          <w:rFonts w:ascii="Times New Roman" w:hAnsi="Times New Roman" w:cs="Times New Roman"/>
          <w:b/>
          <w:bCs/>
          <w:sz w:val="24"/>
          <w:szCs w:val="24"/>
        </w:rPr>
        <w:t xml:space="preserve"> data.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744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percentage</w:t>
      </w:r>
      <w:r w:rsidRPr="007449B9">
        <w:rPr>
          <w:rFonts w:ascii="Times New Roman" w:hAnsi="Times New Roman" w:cs="Times New Roman"/>
          <w:sz w:val="24"/>
          <w:szCs w:val="24"/>
        </w:rPr>
        <w:t xml:space="preserve"> of mapped reads to rCRS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7449B9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percentage</w:t>
      </w:r>
      <w:r w:rsidRPr="007449B9">
        <w:rPr>
          <w:rFonts w:ascii="Times New Roman" w:hAnsi="Times New Roman" w:cs="Times New Roman"/>
          <w:sz w:val="24"/>
          <w:szCs w:val="24"/>
        </w:rPr>
        <w:t xml:space="preserve"> of reads that uniquely mapped to the revised Cambridge Reference Sequence (</w:t>
      </w:r>
      <w:r>
        <w:rPr>
          <w:rFonts w:ascii="Times New Roman" w:hAnsi="Times New Roman" w:cs="Times New Roman"/>
          <w:sz w:val="24"/>
          <w:szCs w:val="24"/>
        </w:rPr>
        <w:t xml:space="preserve">rCRS, </w:t>
      </w:r>
      <w:r w:rsidRPr="007449B9">
        <w:rPr>
          <w:rFonts w:ascii="Times New Roman" w:hAnsi="Times New Roman" w:cs="Times New Roman"/>
          <w:sz w:val="24"/>
          <w:szCs w:val="24"/>
        </w:rPr>
        <w:t>NC_012920); Number of positions covered: the number of positions within the mtDNA that had a minimal coverage of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49B9">
        <w:rPr>
          <w:rFonts w:ascii="Times New Roman" w:hAnsi="Times New Roman" w:cs="Times New Roman"/>
          <w:sz w:val="24"/>
          <w:szCs w:val="24"/>
        </w:rPr>
        <w:t xml:space="preserve">000 </w:t>
      </w:r>
      <w:r>
        <w:rPr>
          <w:rFonts w:ascii="Times New Roman" w:hAnsi="Times New Roman" w:cs="Times New Roman"/>
          <w:sz w:val="24"/>
          <w:szCs w:val="24"/>
        </w:rPr>
        <w:t xml:space="preserve">sequence </w:t>
      </w:r>
      <w:r w:rsidRPr="007449B9">
        <w:rPr>
          <w:rFonts w:ascii="Times New Roman" w:hAnsi="Times New Roman" w:cs="Times New Roman"/>
          <w:sz w:val="24"/>
          <w:szCs w:val="24"/>
        </w:rPr>
        <w:t>reads. In addition the mean coverage per position is indicated.</w:t>
      </w:r>
    </w:p>
    <w:p w:rsidR="00054285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4285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BA63F6">
        <w:rPr>
          <w:rFonts w:ascii="Times New Roman" w:hAnsi="Times New Roman" w:cs="Times New Roman"/>
          <w:b/>
          <w:bCs/>
          <w:sz w:val="24"/>
          <w:szCs w:val="24"/>
        </w:rPr>
        <w:t xml:space="preserve">Table 2: Mapping of MiSEQ reads derived from purely amplified polycistronic fragments to the rCRS. </w:t>
      </w:r>
      <w:r>
        <w:rPr>
          <w:rFonts w:ascii="Times New Roman" w:hAnsi="Times New Roman" w:cs="Times New Roman"/>
          <w:sz w:val="24"/>
          <w:szCs w:val="24"/>
        </w:rPr>
        <w:t>The r</w:t>
      </w:r>
      <w:r w:rsidRPr="00BA63F6">
        <w:rPr>
          <w:rFonts w:ascii="Times New Roman" w:hAnsi="Times New Roman" w:cs="Times New Roman"/>
          <w:sz w:val="24"/>
          <w:szCs w:val="24"/>
        </w:rPr>
        <w:t xml:space="preserve">eads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Pr="00BA63F6">
        <w:rPr>
          <w:rFonts w:ascii="Times New Roman" w:hAnsi="Times New Roman" w:cs="Times New Roman"/>
          <w:sz w:val="24"/>
          <w:szCs w:val="24"/>
        </w:rPr>
        <w:t>derived from the purely amplified polycistronic fragments, as eviden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A63F6">
        <w:rPr>
          <w:rFonts w:ascii="Times New Roman" w:hAnsi="Times New Roman" w:cs="Times New Roman"/>
          <w:sz w:val="24"/>
          <w:szCs w:val="24"/>
        </w:rPr>
        <w:t xml:space="preserve"> from the </w:t>
      </w:r>
      <w:r>
        <w:rPr>
          <w:rFonts w:ascii="Times New Roman" w:hAnsi="Times New Roman" w:cs="Times New Roman"/>
          <w:sz w:val="24"/>
          <w:szCs w:val="24"/>
        </w:rPr>
        <w:t>exclusive sequence</w:t>
      </w:r>
      <w:r w:rsidRPr="00BA63F6">
        <w:rPr>
          <w:rFonts w:ascii="Times New Roman" w:hAnsi="Times New Roman" w:cs="Times New Roman"/>
          <w:sz w:val="24"/>
          <w:szCs w:val="24"/>
        </w:rPr>
        <w:t xml:space="preserve"> coverag</w:t>
      </w:r>
      <w:r>
        <w:rPr>
          <w:rFonts w:ascii="Times New Roman" w:hAnsi="Times New Roman" w:cs="Times New Roman"/>
          <w:sz w:val="24"/>
          <w:szCs w:val="24"/>
        </w:rPr>
        <w:t xml:space="preserve">e between positions 1580 – 3414. Notice the extreme high coverage around position 2617 and adjacent to the beginning of each of the PCR amplified fragments – sequencing was performed using already existing PCR fragment edges without shearing (see Materials and Methods). </w:t>
      </w:r>
      <w:r w:rsidRPr="00BA63F6">
        <w:rPr>
          <w:rFonts w:ascii="Times New Roman" w:hAnsi="Times New Roman" w:cs="Times New Roman"/>
          <w:sz w:val="24"/>
          <w:szCs w:val="24"/>
        </w:rPr>
        <w:t xml:space="preserve">Notably, </w:t>
      </w:r>
      <w:r>
        <w:rPr>
          <w:rFonts w:ascii="Times New Roman" w:hAnsi="Times New Roman" w:cs="Times New Roman"/>
          <w:sz w:val="24"/>
          <w:szCs w:val="24"/>
        </w:rPr>
        <w:t xml:space="preserve">sequence reads were virtually absent </w:t>
      </w:r>
      <w:r w:rsidRPr="00BA63F6">
        <w:rPr>
          <w:rFonts w:ascii="Times New Roman" w:hAnsi="Times New Roman" w:cs="Times New Roman"/>
          <w:sz w:val="24"/>
          <w:szCs w:val="24"/>
        </w:rPr>
        <w:t xml:space="preserve">outside of our amplified fragments (representing either polycistronic or mature </w:t>
      </w:r>
      <w:r>
        <w:rPr>
          <w:rFonts w:ascii="Times New Roman" w:hAnsi="Times New Roman" w:cs="Times New Roman"/>
          <w:sz w:val="24"/>
          <w:szCs w:val="24"/>
        </w:rPr>
        <w:t>transcripts from other mtDNA regions</w:t>
      </w:r>
      <w:r w:rsidRPr="00BA63F6">
        <w:rPr>
          <w:rFonts w:ascii="Times New Roman" w:hAnsi="Times New Roman" w:cs="Times New Roman"/>
          <w:sz w:val="24"/>
          <w:szCs w:val="24"/>
        </w:rPr>
        <w:t xml:space="preserve">), thus reducing the possibility that the RDDs in </w:t>
      </w:r>
      <w:r w:rsidRPr="00BA63F6">
        <w:rPr>
          <w:rFonts w:ascii="Times New Roman" w:hAnsi="Times New Roman" w:cs="Times New Roman"/>
          <w:sz w:val="24"/>
          <w:szCs w:val="24"/>
        </w:rPr>
        <w:lastRenderedPageBreak/>
        <w:t xml:space="preserve">position 2617 </w:t>
      </w:r>
      <w:r>
        <w:rPr>
          <w:rFonts w:ascii="Times New Roman" w:hAnsi="Times New Roman" w:cs="Times New Roman"/>
          <w:sz w:val="24"/>
          <w:szCs w:val="24"/>
        </w:rPr>
        <w:t>were</w:t>
      </w:r>
      <w:r w:rsidRPr="00BA63F6">
        <w:rPr>
          <w:rFonts w:ascii="Times New Roman" w:hAnsi="Times New Roman" w:cs="Times New Roman"/>
          <w:sz w:val="24"/>
          <w:szCs w:val="24"/>
        </w:rPr>
        <w:t xml:space="preserve"> derived from leakage of mature 16S rRNA into our sequencing </w:t>
      </w:r>
      <w:r>
        <w:rPr>
          <w:rFonts w:ascii="Times New Roman" w:hAnsi="Times New Roman" w:cs="Times New Roman"/>
          <w:sz w:val="24"/>
          <w:szCs w:val="24"/>
        </w:rPr>
        <w:t>data</w:t>
      </w:r>
      <w:r w:rsidRPr="00BA63F6">
        <w:rPr>
          <w:rFonts w:ascii="Times New Roman" w:hAnsi="Times New Roman" w:cs="Times New Roman"/>
          <w:sz w:val="24"/>
          <w:szCs w:val="24"/>
          <w:rtl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Position 2617 is highlighted in yellow.</w:t>
      </w:r>
    </w:p>
    <w:p w:rsidR="00054285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4285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54B2">
        <w:rPr>
          <w:rFonts w:asciiTheme="majorBidi" w:hAnsiTheme="majorBidi" w:cstheme="majorBidi"/>
          <w:b/>
          <w:bCs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6AA5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3: RNA annotation table of all 5 tested individuals.</w:t>
      </w:r>
    </w:p>
    <w:p w:rsidR="00054285" w:rsidRPr="001240A5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40A5">
        <w:rPr>
          <w:rFonts w:ascii="Times New Roman" w:hAnsi="Times New Roman" w:cs="Times New Roman"/>
          <w:sz w:val="24"/>
          <w:szCs w:val="24"/>
        </w:rPr>
        <w:t xml:space="preserve">pos – </w:t>
      </w:r>
      <w:r>
        <w:rPr>
          <w:rFonts w:ascii="Times New Roman" w:hAnsi="Times New Roman" w:cs="Times New Roman"/>
          <w:sz w:val="24"/>
          <w:szCs w:val="24"/>
        </w:rPr>
        <w:t xml:space="preserve">mtDNA </w:t>
      </w:r>
      <w:r w:rsidRPr="001240A5">
        <w:rPr>
          <w:rFonts w:ascii="Times New Roman" w:hAnsi="Times New Roman" w:cs="Times New Roman"/>
          <w:sz w:val="24"/>
          <w:szCs w:val="24"/>
        </w:rPr>
        <w:t>position according to the rCRS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hq – hi</w:t>
      </w:r>
      <w:r>
        <w:rPr>
          <w:rFonts w:ascii="Times New Roman" w:hAnsi="Times New Roman" w:cs="Times New Roman"/>
          <w:sz w:val="24"/>
          <w:szCs w:val="24"/>
        </w:rPr>
        <w:t>gh</w:t>
      </w:r>
      <w:r w:rsidRPr="001240A5">
        <w:rPr>
          <w:rFonts w:ascii="Times New Roman" w:hAnsi="Times New Roman" w:cs="Times New Roman"/>
          <w:sz w:val="24"/>
          <w:szCs w:val="24"/>
        </w:rPr>
        <w:t xml:space="preserve"> quality coverage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indels – </w:t>
      </w:r>
      <w:r>
        <w:rPr>
          <w:rFonts w:ascii="Times New Roman" w:hAnsi="Times New Roman" w:cs="Times New Roman"/>
          <w:sz w:val="24"/>
          <w:szCs w:val="24"/>
        </w:rPr>
        <w:t>number of</w:t>
      </w:r>
      <w:r w:rsidRPr="001240A5">
        <w:rPr>
          <w:rFonts w:ascii="Times New Roman" w:hAnsi="Times New Roman" w:cs="Times New Roman"/>
          <w:sz w:val="24"/>
          <w:szCs w:val="24"/>
        </w:rPr>
        <w:t xml:space="preserve"> indels </w:t>
      </w:r>
      <w:r>
        <w:rPr>
          <w:rFonts w:ascii="Times New Roman" w:hAnsi="Times New Roman" w:cs="Times New Roman"/>
          <w:sz w:val="24"/>
          <w:szCs w:val="24"/>
        </w:rPr>
        <w:t xml:space="preserve">identified </w:t>
      </w:r>
      <w:r w:rsidRPr="001240A5">
        <w:rPr>
          <w:rFonts w:ascii="Times New Roman" w:hAnsi="Times New Roman" w:cs="Times New Roman"/>
          <w:sz w:val="24"/>
          <w:szCs w:val="24"/>
        </w:rPr>
        <w:t>at this position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best – the best base</w:t>
      </w:r>
      <w:r>
        <w:rPr>
          <w:rFonts w:ascii="Times New Roman" w:hAnsi="Times New Roman" w:cs="Times New Roman"/>
          <w:sz w:val="24"/>
          <w:szCs w:val="24"/>
        </w:rPr>
        <w:t xml:space="preserve"> identified at a given position;</w:t>
      </w:r>
      <w:r w:rsidRPr="001240A5">
        <w:rPr>
          <w:rFonts w:ascii="Times New Roman" w:hAnsi="Times New Roman" w:cs="Times New Roman"/>
          <w:sz w:val="24"/>
          <w:szCs w:val="24"/>
        </w:rPr>
        <w:t xml:space="preserve"> best count – hi</w:t>
      </w:r>
      <w:r>
        <w:rPr>
          <w:rFonts w:ascii="Times New Roman" w:hAnsi="Times New Roman" w:cs="Times New Roman"/>
          <w:sz w:val="24"/>
          <w:szCs w:val="24"/>
        </w:rPr>
        <w:t>gh</w:t>
      </w:r>
      <w:r w:rsidRPr="001240A5">
        <w:rPr>
          <w:rFonts w:ascii="Times New Roman" w:hAnsi="Times New Roman" w:cs="Times New Roman"/>
          <w:sz w:val="24"/>
          <w:szCs w:val="24"/>
        </w:rPr>
        <w:t xml:space="preserve"> quality reads harboring the best base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second_best – second </w:t>
      </w:r>
      <w:r>
        <w:rPr>
          <w:rFonts w:ascii="Times New Roman" w:hAnsi="Times New Roman" w:cs="Times New Roman"/>
          <w:sz w:val="24"/>
          <w:szCs w:val="24"/>
        </w:rPr>
        <w:t xml:space="preserve">identified </w:t>
      </w:r>
      <w:r w:rsidRPr="001240A5">
        <w:rPr>
          <w:rFonts w:ascii="Times New Roman" w:hAnsi="Times New Roman" w:cs="Times New Roman"/>
          <w:sz w:val="24"/>
          <w:szCs w:val="24"/>
        </w:rPr>
        <w:t>best base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second_best_count - hi</w:t>
      </w:r>
      <w:r>
        <w:rPr>
          <w:rFonts w:ascii="Times New Roman" w:hAnsi="Times New Roman" w:cs="Times New Roman"/>
          <w:sz w:val="24"/>
          <w:szCs w:val="24"/>
        </w:rPr>
        <w:t>gh</w:t>
      </w:r>
      <w:r w:rsidRPr="001240A5">
        <w:rPr>
          <w:rFonts w:ascii="Times New Roman" w:hAnsi="Times New Roman" w:cs="Times New Roman"/>
          <w:sz w:val="24"/>
          <w:szCs w:val="24"/>
        </w:rPr>
        <w:t xml:space="preserve"> quality reads harboring the second best base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second_best_for - hi</w:t>
      </w:r>
      <w:r>
        <w:rPr>
          <w:rFonts w:ascii="Times New Roman" w:hAnsi="Times New Roman" w:cs="Times New Roman"/>
          <w:sz w:val="24"/>
          <w:szCs w:val="24"/>
        </w:rPr>
        <w:t>gh</w:t>
      </w:r>
      <w:r w:rsidRPr="001240A5">
        <w:rPr>
          <w:rFonts w:ascii="Times New Roman" w:hAnsi="Times New Roman" w:cs="Times New Roman"/>
          <w:sz w:val="24"/>
          <w:szCs w:val="24"/>
        </w:rPr>
        <w:t xml:space="preserve"> quality reads harboring the second best base forward reads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second_best_rev - hi</w:t>
      </w:r>
      <w:r>
        <w:rPr>
          <w:rFonts w:ascii="Times New Roman" w:hAnsi="Times New Roman" w:cs="Times New Roman"/>
          <w:sz w:val="24"/>
          <w:szCs w:val="24"/>
        </w:rPr>
        <w:t>gh</w:t>
      </w:r>
      <w:r w:rsidRPr="001240A5">
        <w:rPr>
          <w:rFonts w:ascii="Times New Roman" w:hAnsi="Times New Roman" w:cs="Times New Roman"/>
          <w:sz w:val="24"/>
          <w:szCs w:val="24"/>
        </w:rPr>
        <w:t xml:space="preserve"> quality reads harboring the second best base reverse reads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fraction_percent – percent of the second best base </w:t>
      </w:r>
      <w:r>
        <w:rPr>
          <w:rFonts w:ascii="Times New Roman" w:hAnsi="Times New Roman" w:cs="Times New Roman"/>
          <w:sz w:val="24"/>
          <w:szCs w:val="24"/>
        </w:rPr>
        <w:t>out of</w:t>
      </w:r>
      <w:r w:rsidRPr="001240A5">
        <w:rPr>
          <w:rFonts w:ascii="Times New Roman" w:hAnsi="Times New Roman" w:cs="Times New Roman"/>
          <w:sz w:val="24"/>
          <w:szCs w:val="24"/>
        </w:rPr>
        <w:t xml:space="preserve"> the entire hi</w:t>
      </w:r>
      <w:r>
        <w:rPr>
          <w:rFonts w:ascii="Times New Roman" w:hAnsi="Times New Roman" w:cs="Times New Roman"/>
          <w:sz w:val="24"/>
          <w:szCs w:val="24"/>
        </w:rPr>
        <w:t>gh</w:t>
      </w:r>
      <w:r w:rsidRPr="001240A5">
        <w:rPr>
          <w:rFonts w:ascii="Times New Roman" w:hAnsi="Times New Roman" w:cs="Times New Roman"/>
          <w:sz w:val="24"/>
          <w:szCs w:val="24"/>
        </w:rPr>
        <w:t xml:space="preserve"> quality reads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or C or T or G</w:t>
      </w:r>
      <w:r w:rsidRPr="001240A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number of</w:t>
      </w:r>
      <w:r w:rsidRPr="001240A5">
        <w:rPr>
          <w:rFonts w:ascii="Times New Roman" w:hAnsi="Times New Roman" w:cs="Times New Roman"/>
          <w:sz w:val="24"/>
          <w:szCs w:val="24"/>
        </w:rPr>
        <w:t xml:space="preserve"> hi</w:t>
      </w:r>
      <w:r>
        <w:rPr>
          <w:rFonts w:ascii="Times New Roman" w:hAnsi="Times New Roman" w:cs="Times New Roman"/>
          <w:sz w:val="24"/>
          <w:szCs w:val="24"/>
        </w:rPr>
        <w:t>gh</w:t>
      </w:r>
      <w:r w:rsidRPr="001240A5">
        <w:rPr>
          <w:rFonts w:ascii="Times New Roman" w:hAnsi="Times New Roman" w:cs="Times New Roman"/>
          <w:sz w:val="24"/>
          <w:szCs w:val="24"/>
        </w:rPr>
        <w:t xml:space="preserve"> quality reads harbor</w:t>
      </w:r>
      <w:r>
        <w:rPr>
          <w:rFonts w:ascii="Times New Roman" w:hAnsi="Times New Roman" w:cs="Times New Roman"/>
          <w:sz w:val="24"/>
          <w:szCs w:val="24"/>
        </w:rPr>
        <w:t>ing an</w:t>
      </w:r>
      <w:r w:rsidRPr="00124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240A5">
        <w:rPr>
          <w:rFonts w:ascii="Times New Roman" w:hAnsi="Times New Roman" w:cs="Times New Roman"/>
          <w:sz w:val="24"/>
          <w:szCs w:val="24"/>
        </w:rPr>
        <w:t>denine</w:t>
      </w:r>
      <w:r>
        <w:rPr>
          <w:rFonts w:ascii="Times New Roman" w:hAnsi="Times New Roman" w:cs="Times New Roman"/>
          <w:sz w:val="24"/>
          <w:szCs w:val="24"/>
        </w:rPr>
        <w:t>, a cytosine, a thymine or a guanine respectively</w:t>
      </w:r>
      <w:r w:rsidRPr="001240A5">
        <w:rPr>
          <w:rFonts w:ascii="Times New Roman" w:hAnsi="Times New Roman" w:cs="Times New Roman"/>
          <w:sz w:val="24"/>
          <w:szCs w:val="24"/>
        </w:rPr>
        <w:t xml:space="preserve"> in a specific position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A.for</w:t>
      </w:r>
      <w:r>
        <w:rPr>
          <w:rFonts w:ascii="Times New Roman" w:hAnsi="Times New Roman" w:cs="Times New Roman"/>
          <w:sz w:val="24"/>
          <w:szCs w:val="24"/>
        </w:rPr>
        <w:t xml:space="preserve"> (or C.for or T.for or G.for)</w:t>
      </w:r>
      <w:r w:rsidRPr="00124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number of </w:t>
      </w:r>
      <w:r w:rsidRPr="001240A5">
        <w:rPr>
          <w:rFonts w:ascii="Times New Roman" w:hAnsi="Times New Roman" w:cs="Times New Roman"/>
          <w:sz w:val="24"/>
          <w:szCs w:val="24"/>
        </w:rPr>
        <w:t>forward hi</w:t>
      </w:r>
      <w:r>
        <w:rPr>
          <w:rFonts w:ascii="Times New Roman" w:hAnsi="Times New Roman" w:cs="Times New Roman"/>
          <w:sz w:val="24"/>
          <w:szCs w:val="24"/>
        </w:rPr>
        <w:t>gh</w:t>
      </w:r>
      <w:r w:rsidRPr="001240A5">
        <w:rPr>
          <w:rFonts w:ascii="Times New Roman" w:hAnsi="Times New Roman" w:cs="Times New Roman"/>
          <w:sz w:val="24"/>
          <w:szCs w:val="24"/>
        </w:rPr>
        <w:t xml:space="preserve"> quality reads harbor</w:t>
      </w:r>
      <w:r>
        <w:rPr>
          <w:rFonts w:ascii="Times New Roman" w:hAnsi="Times New Roman" w:cs="Times New Roman"/>
          <w:sz w:val="24"/>
          <w:szCs w:val="24"/>
        </w:rPr>
        <w:t>ing an</w:t>
      </w:r>
      <w:r w:rsidRPr="001240A5">
        <w:rPr>
          <w:rFonts w:ascii="Times New Roman" w:hAnsi="Times New Roman" w:cs="Times New Roman"/>
          <w:sz w:val="24"/>
          <w:szCs w:val="24"/>
        </w:rPr>
        <w:t xml:space="preserve"> </w:t>
      </w:r>
      <w:r w:rsidRPr="00480773">
        <w:rPr>
          <w:rFonts w:ascii="Times New Roman" w:hAnsi="Times New Roman" w:cs="Times New Roman"/>
          <w:sz w:val="24"/>
          <w:szCs w:val="24"/>
        </w:rPr>
        <w:t xml:space="preserve">adenine, a cytosine, a thymine or a guanine respectively </w:t>
      </w:r>
      <w:r w:rsidRPr="001240A5">
        <w:rPr>
          <w:rFonts w:ascii="Times New Roman" w:hAnsi="Times New Roman" w:cs="Times New Roman"/>
          <w:sz w:val="24"/>
          <w:szCs w:val="24"/>
        </w:rPr>
        <w:t>in a specific position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A.rev</w:t>
      </w:r>
      <w:r>
        <w:rPr>
          <w:rFonts w:ascii="Times New Roman" w:hAnsi="Times New Roman" w:cs="Times New Roman"/>
          <w:sz w:val="24"/>
          <w:szCs w:val="24"/>
        </w:rPr>
        <w:t xml:space="preserve"> (or C.rev or T.</w:t>
      </w:r>
      <w:r w:rsidRPr="00480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 or G.</w:t>
      </w:r>
      <w:r w:rsidRPr="00480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rev)</w:t>
      </w:r>
      <w:r w:rsidRPr="001240A5">
        <w:rPr>
          <w:rFonts w:ascii="Times New Roman" w:hAnsi="Times New Roman" w:cs="Times New Roman"/>
          <w:sz w:val="24"/>
          <w:szCs w:val="24"/>
        </w:rPr>
        <w:t xml:space="preserve"> </w:t>
      </w:r>
      <w:r w:rsidRPr="00480773">
        <w:rPr>
          <w:rFonts w:ascii="Times New Roman" w:hAnsi="Times New Roman" w:cs="Times New Roman"/>
          <w:sz w:val="24"/>
          <w:szCs w:val="24"/>
        </w:rPr>
        <w:t>number of</w:t>
      </w:r>
      <w:r w:rsidRPr="001240A5">
        <w:rPr>
          <w:rFonts w:ascii="Times New Roman" w:hAnsi="Times New Roman" w:cs="Times New Roman"/>
          <w:sz w:val="24"/>
          <w:szCs w:val="24"/>
        </w:rPr>
        <w:t xml:space="preserve"> reverse hi</w:t>
      </w:r>
      <w:r>
        <w:rPr>
          <w:rFonts w:ascii="Times New Roman" w:hAnsi="Times New Roman" w:cs="Times New Roman"/>
          <w:sz w:val="24"/>
          <w:szCs w:val="24"/>
        </w:rPr>
        <w:t>gh</w:t>
      </w:r>
      <w:r w:rsidRPr="001240A5">
        <w:rPr>
          <w:rFonts w:ascii="Times New Roman" w:hAnsi="Times New Roman" w:cs="Times New Roman"/>
          <w:sz w:val="24"/>
          <w:szCs w:val="24"/>
        </w:rPr>
        <w:t xml:space="preserve"> quality reads harbor Adenin</w:t>
      </w:r>
      <w:r>
        <w:rPr>
          <w:rFonts w:ascii="Times New Roman" w:hAnsi="Times New Roman" w:cs="Times New Roman"/>
          <w:sz w:val="24"/>
          <w:szCs w:val="24"/>
        </w:rPr>
        <w:t>, a cytosine, a thymine or a guanine respectively</w:t>
      </w:r>
      <w:r w:rsidRPr="001240A5">
        <w:rPr>
          <w:rFonts w:ascii="Times New Roman" w:hAnsi="Times New Roman" w:cs="Times New Roman"/>
          <w:sz w:val="24"/>
          <w:szCs w:val="24"/>
        </w:rPr>
        <w:t xml:space="preserve"> in a specific position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best_count.for - hi</w:t>
      </w:r>
      <w:r>
        <w:rPr>
          <w:rFonts w:ascii="Times New Roman" w:hAnsi="Times New Roman" w:cs="Times New Roman"/>
          <w:sz w:val="24"/>
          <w:szCs w:val="24"/>
        </w:rPr>
        <w:t>gh</w:t>
      </w:r>
      <w:r w:rsidRPr="001240A5">
        <w:rPr>
          <w:rFonts w:ascii="Times New Roman" w:hAnsi="Times New Roman" w:cs="Times New Roman"/>
          <w:sz w:val="24"/>
          <w:szCs w:val="24"/>
        </w:rPr>
        <w:t xml:space="preserve"> quality forward reads harboring the best base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best_count.rev - hi</w:t>
      </w:r>
      <w:r>
        <w:rPr>
          <w:rFonts w:ascii="Times New Roman" w:hAnsi="Times New Roman" w:cs="Times New Roman"/>
          <w:sz w:val="24"/>
          <w:szCs w:val="24"/>
        </w:rPr>
        <w:t>gh</w:t>
      </w:r>
      <w:r w:rsidRPr="001240A5">
        <w:rPr>
          <w:rFonts w:ascii="Times New Roman" w:hAnsi="Times New Roman" w:cs="Times New Roman"/>
          <w:sz w:val="24"/>
          <w:szCs w:val="24"/>
        </w:rPr>
        <w:t xml:space="preserve"> quality reverse reads harboring the best base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LCR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0A5">
        <w:rPr>
          <w:rFonts w:ascii="Times New Roman" w:hAnsi="Times New Roman" w:cs="Times New Roman"/>
          <w:sz w:val="24"/>
          <w:szCs w:val="24"/>
        </w:rPr>
        <w:t xml:space="preserve">low complexity </w:t>
      </w:r>
      <w:r>
        <w:rPr>
          <w:rFonts w:ascii="Times New Roman" w:hAnsi="Times New Roman" w:cs="Times New Roman"/>
          <w:sz w:val="24"/>
          <w:szCs w:val="24"/>
        </w:rPr>
        <w:t xml:space="preserve">repeat </w:t>
      </w:r>
      <w:r w:rsidRPr="001240A5">
        <w:rPr>
          <w:rFonts w:ascii="Times New Roman" w:hAnsi="Times New Roman" w:cs="Times New Roman"/>
          <w:sz w:val="24"/>
          <w:szCs w:val="24"/>
        </w:rPr>
        <w:t>regions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gene – </w:t>
      </w:r>
      <w:r>
        <w:rPr>
          <w:rFonts w:ascii="Times New Roman" w:hAnsi="Times New Roman" w:cs="Times New Roman"/>
          <w:sz w:val="24"/>
          <w:szCs w:val="24"/>
        </w:rPr>
        <w:t>mtDNA gene annotation at a given nucleotide position;</w:t>
      </w:r>
      <w:r w:rsidRPr="001240A5">
        <w:rPr>
          <w:rFonts w:ascii="Times New Roman" w:hAnsi="Times New Roman" w:cs="Times New Roman"/>
          <w:sz w:val="24"/>
          <w:szCs w:val="24"/>
        </w:rPr>
        <w:t xml:space="preserve"> coding – </w:t>
      </w:r>
      <w:r>
        <w:rPr>
          <w:rFonts w:ascii="Times New Roman" w:hAnsi="Times New Roman" w:cs="Times New Roman"/>
          <w:sz w:val="24"/>
          <w:szCs w:val="24"/>
        </w:rPr>
        <w:t>detailed mtDNA gene annotation;</w:t>
      </w:r>
      <w:r w:rsidRPr="001240A5">
        <w:rPr>
          <w:rFonts w:ascii="Times New Roman" w:hAnsi="Times New Roman" w:cs="Times New Roman"/>
          <w:sz w:val="24"/>
          <w:szCs w:val="24"/>
        </w:rPr>
        <w:t xml:space="preserve"> Filter A – removed by filter A (1=yes, 0=no)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Filter B – removed by filter B (1=yes, 0=no)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Filter C – removed by filter C (1=yes, 0=no)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240A5">
        <w:rPr>
          <w:rFonts w:ascii="Times New Roman" w:hAnsi="Times New Roman" w:cs="Times New Roman"/>
          <w:sz w:val="24"/>
          <w:szCs w:val="24"/>
        </w:rPr>
        <w:t xml:space="preserve"> Filter D – removed by filter D (1=yes, 0=no).</w:t>
      </w:r>
      <w:r>
        <w:rPr>
          <w:rFonts w:ascii="Times New Roman" w:hAnsi="Times New Roman" w:cs="Times New Roman"/>
          <w:sz w:val="24"/>
          <w:szCs w:val="24"/>
        </w:rPr>
        <w:t xml:space="preserve"> Short explanation of color highlighted positions is included at the bottom of the table. </w:t>
      </w:r>
    </w:p>
    <w:p w:rsidR="00054285" w:rsidRPr="001240A5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4285" w:rsidRPr="00BA63F6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4285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4285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4285" w:rsidRPr="00BA63F6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4285" w:rsidRPr="00BA63F6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4285" w:rsidRDefault="00054285" w:rsidP="00054285">
      <w:pPr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054285" w:rsidRPr="00E054B2" w:rsidRDefault="00054285" w:rsidP="00054285">
      <w:pPr>
        <w:pStyle w:val="1"/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394"/>
        <w:gridCol w:w="2756"/>
        <w:gridCol w:w="1310"/>
        <w:gridCol w:w="3870"/>
      </w:tblGrid>
      <w:tr w:rsidR="00054285" w:rsidRPr="00E054B2" w:rsidTr="00B343B3">
        <w:tc>
          <w:tcPr>
            <w:tcW w:w="1578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Primer Number</w:t>
            </w:r>
          </w:p>
        </w:tc>
        <w:tc>
          <w:tcPr>
            <w:tcW w:w="3269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Position (corresponding to the rCRS)</w:t>
            </w:r>
          </w:p>
        </w:tc>
        <w:tc>
          <w:tcPr>
            <w:tcW w:w="1255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Orientation</w:t>
            </w:r>
          </w:p>
        </w:tc>
        <w:tc>
          <w:tcPr>
            <w:tcW w:w="3228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Sequence</w:t>
            </w:r>
          </w:p>
        </w:tc>
      </w:tr>
      <w:tr w:rsidR="00054285" w:rsidRPr="00E054B2" w:rsidTr="00B343B3">
        <w:tc>
          <w:tcPr>
            <w:tcW w:w="1578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69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2070 - 2090</w:t>
            </w:r>
          </w:p>
        </w:tc>
        <w:tc>
          <w:tcPr>
            <w:tcW w:w="1255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forward</w:t>
            </w:r>
          </w:p>
        </w:tc>
        <w:tc>
          <w:tcPr>
            <w:tcW w:w="3228" w:type="dxa"/>
          </w:tcPr>
          <w:p w:rsidR="00054285" w:rsidRPr="00E054B2" w:rsidRDefault="00054285" w:rsidP="00B343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AATTTGCCCACAGAACCCTC</w:t>
            </w:r>
          </w:p>
        </w:tc>
      </w:tr>
      <w:tr w:rsidR="00054285" w:rsidRPr="00E054B2" w:rsidTr="00B343B3">
        <w:tc>
          <w:tcPr>
            <w:tcW w:w="1578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269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2920 - 2941</w:t>
            </w:r>
          </w:p>
        </w:tc>
        <w:tc>
          <w:tcPr>
            <w:tcW w:w="1255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reverse</w:t>
            </w:r>
          </w:p>
        </w:tc>
        <w:tc>
          <w:tcPr>
            <w:tcW w:w="3228" w:type="dxa"/>
          </w:tcPr>
          <w:p w:rsidR="00054285" w:rsidRPr="00E054B2" w:rsidRDefault="00054285" w:rsidP="00B343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GACTCTAGAATAGGATTGCGC</w:t>
            </w:r>
          </w:p>
        </w:tc>
      </w:tr>
      <w:tr w:rsidR="00054285" w:rsidRPr="00E054B2" w:rsidTr="00B343B3">
        <w:tc>
          <w:tcPr>
            <w:tcW w:w="1578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9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2499 - 2520</w:t>
            </w:r>
          </w:p>
        </w:tc>
        <w:tc>
          <w:tcPr>
            <w:tcW w:w="1255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Forward</w:t>
            </w:r>
          </w:p>
        </w:tc>
        <w:tc>
          <w:tcPr>
            <w:tcW w:w="3228" w:type="dxa"/>
          </w:tcPr>
          <w:p w:rsidR="00054285" w:rsidRPr="00E054B2" w:rsidRDefault="00054285" w:rsidP="00B343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TACCAAAAACATCACCTCTAGC</w:t>
            </w:r>
          </w:p>
        </w:tc>
      </w:tr>
      <w:tr w:rsidR="00054285" w:rsidRPr="00E054B2" w:rsidTr="00B343B3">
        <w:tc>
          <w:tcPr>
            <w:tcW w:w="1578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269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2937 - 2916</w:t>
            </w:r>
          </w:p>
        </w:tc>
        <w:tc>
          <w:tcPr>
            <w:tcW w:w="1255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reverse</w:t>
            </w:r>
          </w:p>
        </w:tc>
        <w:tc>
          <w:tcPr>
            <w:tcW w:w="3228" w:type="dxa"/>
          </w:tcPr>
          <w:p w:rsidR="00054285" w:rsidRPr="00E054B2" w:rsidRDefault="00054285" w:rsidP="00B343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TATCCCTAGGGTAACTTGTTCC</w:t>
            </w:r>
          </w:p>
        </w:tc>
      </w:tr>
      <w:tr w:rsidR="00054285" w:rsidRPr="00E054B2" w:rsidTr="00B343B3">
        <w:tc>
          <w:tcPr>
            <w:tcW w:w="1578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269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2207 - 2227</w:t>
            </w:r>
          </w:p>
        </w:tc>
        <w:tc>
          <w:tcPr>
            <w:tcW w:w="1255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forward</w:t>
            </w:r>
          </w:p>
        </w:tc>
        <w:tc>
          <w:tcPr>
            <w:tcW w:w="3228" w:type="dxa"/>
          </w:tcPr>
          <w:p w:rsidR="00054285" w:rsidRPr="00E054B2" w:rsidRDefault="00054285" w:rsidP="00B343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TCAAGCTCAACACCCACTACC</w:t>
            </w:r>
          </w:p>
        </w:tc>
      </w:tr>
      <w:tr w:rsidR="00054285" w:rsidRPr="00E054B2" w:rsidTr="00B343B3">
        <w:tc>
          <w:tcPr>
            <w:tcW w:w="1578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269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2670 - 26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1255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reverse</w:t>
            </w:r>
          </w:p>
        </w:tc>
        <w:tc>
          <w:tcPr>
            <w:tcW w:w="3228" w:type="dxa"/>
          </w:tcPr>
          <w:p w:rsidR="00054285" w:rsidRPr="00E054B2" w:rsidRDefault="00054285" w:rsidP="00B343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GGCAGGTCAATTTCACTGGT</w:t>
            </w:r>
          </w:p>
        </w:tc>
      </w:tr>
      <w:tr w:rsidR="00054285" w:rsidRPr="00E054B2" w:rsidTr="00B343B3">
        <w:tc>
          <w:tcPr>
            <w:tcW w:w="1578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269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1580 - 1601</w:t>
            </w:r>
          </w:p>
        </w:tc>
        <w:tc>
          <w:tcPr>
            <w:tcW w:w="1255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Forward</w:t>
            </w:r>
          </w:p>
        </w:tc>
        <w:tc>
          <w:tcPr>
            <w:tcW w:w="3228" w:type="dxa"/>
          </w:tcPr>
          <w:p w:rsidR="00054285" w:rsidRPr="00E054B2" w:rsidRDefault="00054285" w:rsidP="00B343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TGGAAAGTGCACTTGGACGAAC</w:t>
            </w:r>
          </w:p>
        </w:tc>
      </w:tr>
      <w:tr w:rsidR="00054285" w:rsidRPr="00E054B2" w:rsidTr="00B343B3">
        <w:tc>
          <w:tcPr>
            <w:tcW w:w="1578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269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2640 - 2621</w:t>
            </w:r>
          </w:p>
        </w:tc>
        <w:tc>
          <w:tcPr>
            <w:tcW w:w="1255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reverse</w:t>
            </w:r>
          </w:p>
        </w:tc>
        <w:tc>
          <w:tcPr>
            <w:tcW w:w="3228" w:type="dxa"/>
          </w:tcPr>
          <w:p w:rsidR="00054285" w:rsidRPr="00E054B2" w:rsidRDefault="00054285" w:rsidP="00B343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GGAGCCATTCATACAGGTCC</w:t>
            </w:r>
          </w:p>
        </w:tc>
      </w:tr>
      <w:tr w:rsidR="00054285" w:rsidRPr="00E054B2" w:rsidTr="00B343B3">
        <w:tc>
          <w:tcPr>
            <w:tcW w:w="1578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269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2655 - 2636</w:t>
            </w:r>
          </w:p>
        </w:tc>
        <w:tc>
          <w:tcPr>
            <w:tcW w:w="1255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reverse</w:t>
            </w:r>
          </w:p>
        </w:tc>
        <w:tc>
          <w:tcPr>
            <w:tcW w:w="3228" w:type="dxa"/>
          </w:tcPr>
          <w:p w:rsidR="00054285" w:rsidRPr="00E054B2" w:rsidRDefault="00054285" w:rsidP="00B343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CAGCTGAACCCTCGTGGAGC</w:t>
            </w:r>
          </w:p>
        </w:tc>
      </w:tr>
      <w:tr w:rsidR="00054285" w:rsidRPr="00E054B2" w:rsidTr="00B343B3">
        <w:tc>
          <w:tcPr>
            <w:tcW w:w="1578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269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2578 - 2597</w:t>
            </w:r>
          </w:p>
        </w:tc>
        <w:tc>
          <w:tcPr>
            <w:tcW w:w="1255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forward</w:t>
            </w:r>
          </w:p>
        </w:tc>
        <w:tc>
          <w:tcPr>
            <w:tcW w:w="3228" w:type="dxa"/>
          </w:tcPr>
          <w:p w:rsidR="00054285" w:rsidRPr="00E054B2" w:rsidRDefault="00054285" w:rsidP="00B343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CCTAACCGTGCAAAGGTAGC</w:t>
            </w:r>
          </w:p>
        </w:tc>
      </w:tr>
      <w:tr w:rsidR="00054285" w:rsidRPr="00E054B2" w:rsidTr="00B343B3">
        <w:tc>
          <w:tcPr>
            <w:tcW w:w="1578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269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3414 - 3395</w:t>
            </w:r>
          </w:p>
        </w:tc>
        <w:tc>
          <w:tcPr>
            <w:tcW w:w="1255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reverse</w:t>
            </w:r>
          </w:p>
        </w:tc>
        <w:tc>
          <w:tcPr>
            <w:tcW w:w="3228" w:type="dxa"/>
          </w:tcPr>
          <w:p w:rsidR="00054285" w:rsidRPr="00E054B2" w:rsidRDefault="00054285" w:rsidP="00B343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GCCTTTGCGTAGTTGTATAT</w:t>
            </w:r>
          </w:p>
        </w:tc>
      </w:tr>
      <w:tr w:rsidR="00054285" w:rsidRPr="00E054B2" w:rsidTr="00B343B3">
        <w:tc>
          <w:tcPr>
            <w:tcW w:w="1578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269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2593 - 2612</w:t>
            </w:r>
          </w:p>
        </w:tc>
        <w:tc>
          <w:tcPr>
            <w:tcW w:w="1255" w:type="dxa"/>
          </w:tcPr>
          <w:p w:rsidR="00054285" w:rsidRPr="00E054B2" w:rsidRDefault="00054285" w:rsidP="00B34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forward</w:t>
            </w:r>
          </w:p>
        </w:tc>
        <w:tc>
          <w:tcPr>
            <w:tcW w:w="3228" w:type="dxa"/>
          </w:tcPr>
          <w:p w:rsidR="00054285" w:rsidRPr="00E054B2" w:rsidRDefault="00054285" w:rsidP="00B343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4B2">
              <w:rPr>
                <w:rFonts w:asciiTheme="majorBidi" w:hAnsiTheme="majorBidi" w:cstheme="majorBidi"/>
                <w:sz w:val="24"/>
                <w:szCs w:val="24"/>
              </w:rPr>
              <w:t>GTAGCATAATCACTTGTTCC</w:t>
            </w:r>
          </w:p>
        </w:tc>
      </w:tr>
    </w:tbl>
    <w:p w:rsidR="00054285" w:rsidRPr="00E054B2" w:rsidRDefault="00054285" w:rsidP="00054285">
      <w:pPr>
        <w:pStyle w:val="1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54285" w:rsidRPr="007449B9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54B2">
        <w:rPr>
          <w:rFonts w:asciiTheme="majorBidi" w:hAnsiTheme="majorBidi" w:cstheme="majorBidi"/>
          <w:b/>
          <w:bCs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6AA5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16AA5">
        <w:rPr>
          <w:rFonts w:ascii="Times New Roman" w:hAnsi="Times New Roman" w:cs="Times New Roman"/>
          <w:b/>
          <w:bCs/>
          <w:sz w:val="24"/>
          <w:szCs w:val="24"/>
        </w:rPr>
        <w:t>: Primers list</w:t>
      </w:r>
    </w:p>
    <w:p w:rsidR="00054285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4285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92A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Supplementary Figure legends</w:t>
      </w:r>
    </w:p>
    <w:p w:rsidR="00054285" w:rsidRPr="008D592A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4285" w:rsidRPr="002C4A56" w:rsidRDefault="00054285" w:rsidP="00054285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Supplementary Figure 1</w:t>
      </w:r>
      <w:r w:rsidRPr="007449B9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MtDNA nucleotide positions with ≥1,000 sequence reads coverage</w:t>
      </w:r>
      <w:r w:rsidRPr="002C4A56">
        <w:rPr>
          <w:b/>
          <w:bCs/>
          <w:sz w:val="24"/>
          <w:szCs w:val="24"/>
        </w:rPr>
        <w:t xml:space="preserve"> per individual</w:t>
      </w:r>
      <w:r w:rsidRPr="002C4A56">
        <w:rPr>
          <w:sz w:val="24"/>
          <w:szCs w:val="24"/>
        </w:rPr>
        <w:t xml:space="preserve">. </w:t>
      </w:r>
      <w:r>
        <w:rPr>
          <w:sz w:val="24"/>
          <w:szCs w:val="24"/>
        </w:rPr>
        <w:t>X axis – nucleotide positions with &gt;1000 sequence reads coverage along the mtDNA in the tested samples. MtDNA p</w:t>
      </w:r>
      <w:r w:rsidRPr="002C4A56">
        <w:rPr>
          <w:sz w:val="24"/>
          <w:szCs w:val="24"/>
        </w:rPr>
        <w:t>osition</w:t>
      </w:r>
      <w:r>
        <w:rPr>
          <w:sz w:val="24"/>
          <w:szCs w:val="24"/>
        </w:rPr>
        <w:t>s</w:t>
      </w:r>
      <w:r w:rsidRPr="002C4A56">
        <w:rPr>
          <w:sz w:val="24"/>
          <w:szCs w:val="24"/>
        </w:rPr>
        <w:t xml:space="preserve"> 1-16</w:t>
      </w:r>
      <w:r>
        <w:rPr>
          <w:sz w:val="24"/>
          <w:szCs w:val="24"/>
        </w:rPr>
        <w:t>,</w:t>
      </w:r>
      <w:r w:rsidRPr="002C4A56">
        <w:rPr>
          <w:sz w:val="24"/>
          <w:szCs w:val="24"/>
        </w:rPr>
        <w:t>569</w:t>
      </w:r>
      <w:r>
        <w:rPr>
          <w:sz w:val="24"/>
          <w:szCs w:val="24"/>
        </w:rPr>
        <w:t xml:space="preserve"> are from left to right. Each horizontal dotted line correspond to the indicated tested samples. Each position is indicated by a dot. </w:t>
      </w:r>
      <w:r w:rsidRPr="006055CB">
        <w:rPr>
          <w:sz w:val="24"/>
          <w:szCs w:val="24"/>
        </w:rPr>
        <w:t xml:space="preserve"> </w:t>
      </w:r>
      <w:r w:rsidRPr="002C4A56">
        <w:rPr>
          <w:sz w:val="24"/>
          <w:szCs w:val="24"/>
        </w:rPr>
        <w:t>O</w:t>
      </w:r>
      <w:r>
        <w:rPr>
          <w:sz w:val="24"/>
          <w:szCs w:val="24"/>
        </w:rPr>
        <w:t>nly the</w:t>
      </w:r>
      <w:r w:rsidRPr="002C4A56">
        <w:rPr>
          <w:sz w:val="24"/>
          <w:szCs w:val="24"/>
        </w:rPr>
        <w:t xml:space="preserve"> positions with a minimal coverage of 1</w:t>
      </w:r>
      <w:r>
        <w:rPr>
          <w:sz w:val="24"/>
          <w:szCs w:val="24"/>
        </w:rPr>
        <w:t>,</w:t>
      </w:r>
      <w:r w:rsidRPr="002C4A56">
        <w:rPr>
          <w:sz w:val="24"/>
          <w:szCs w:val="24"/>
        </w:rPr>
        <w:t xml:space="preserve">000 </w:t>
      </w:r>
      <w:r>
        <w:rPr>
          <w:sz w:val="24"/>
          <w:szCs w:val="24"/>
        </w:rPr>
        <w:t xml:space="preserve">sequence </w:t>
      </w:r>
      <w:r w:rsidRPr="002C4A56">
        <w:rPr>
          <w:sz w:val="24"/>
          <w:szCs w:val="24"/>
        </w:rPr>
        <w:t>reads are marked</w:t>
      </w:r>
      <w:r>
        <w:rPr>
          <w:sz w:val="24"/>
          <w:szCs w:val="24"/>
        </w:rPr>
        <w:t>.</w:t>
      </w:r>
      <w:r w:rsidRPr="002C4A56">
        <w:rPr>
          <w:sz w:val="24"/>
          <w:szCs w:val="24"/>
        </w:rPr>
        <w:t xml:space="preserve"> Sample IDs are indicated in the Y axis in DNA (A) and RNA (B).</w:t>
      </w:r>
    </w:p>
    <w:p w:rsidR="00054285" w:rsidRDefault="00054285" w:rsidP="00054285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Supplementary Figure 2</w:t>
      </w:r>
      <w:r w:rsidRPr="004D543B">
        <w:rPr>
          <w:b/>
          <w:bCs/>
          <w:sz w:val="24"/>
          <w:szCs w:val="24"/>
        </w:rPr>
        <w:t xml:space="preserve">: Sanger sequencing of the </w:t>
      </w:r>
      <w:r>
        <w:rPr>
          <w:b/>
          <w:bCs/>
          <w:sz w:val="24"/>
          <w:szCs w:val="24"/>
        </w:rPr>
        <w:t xml:space="preserve">2617 </w:t>
      </w:r>
      <w:r w:rsidRPr="004D543B">
        <w:rPr>
          <w:b/>
          <w:bCs/>
          <w:sz w:val="24"/>
          <w:szCs w:val="24"/>
        </w:rPr>
        <w:t>RDD</w:t>
      </w:r>
      <w:r>
        <w:rPr>
          <w:sz w:val="24"/>
          <w:szCs w:val="24"/>
        </w:rPr>
        <w:t>: Sanger sequence traces encompassing sites 2612 to 2622 in the human mtDNA in several cell types and individuals. The arrows indicate position 2617 in each individual.  (a)</w:t>
      </w:r>
      <w:r w:rsidRPr="00FB77E1">
        <w:rPr>
          <w:sz w:val="24"/>
          <w:szCs w:val="24"/>
        </w:rPr>
        <w:t xml:space="preserve"> GM14468 DNA</w:t>
      </w:r>
      <w:r>
        <w:rPr>
          <w:sz w:val="24"/>
          <w:szCs w:val="24"/>
        </w:rPr>
        <w:t>. (</w:t>
      </w:r>
      <w:r w:rsidRPr="00FB77E1">
        <w:rPr>
          <w:sz w:val="24"/>
          <w:szCs w:val="24"/>
        </w:rPr>
        <w:t>b</w:t>
      </w:r>
      <w:r>
        <w:rPr>
          <w:sz w:val="24"/>
          <w:szCs w:val="24"/>
        </w:rPr>
        <w:t>)</w:t>
      </w:r>
      <w:r w:rsidRPr="00FB77E1">
        <w:rPr>
          <w:sz w:val="24"/>
          <w:szCs w:val="24"/>
        </w:rPr>
        <w:t xml:space="preserve"> GM14468 RNA</w:t>
      </w:r>
      <w:r>
        <w:rPr>
          <w:sz w:val="24"/>
          <w:szCs w:val="24"/>
        </w:rPr>
        <w:t>. (</w:t>
      </w:r>
      <w:r w:rsidRPr="00FB77E1">
        <w:rPr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 w:rsidRPr="00FB77E1">
        <w:rPr>
          <w:sz w:val="24"/>
          <w:szCs w:val="24"/>
        </w:rPr>
        <w:t>SHSY5Y DNA</w:t>
      </w:r>
      <w:r>
        <w:rPr>
          <w:sz w:val="24"/>
          <w:szCs w:val="24"/>
        </w:rPr>
        <w:t>. (</w:t>
      </w:r>
      <w:r w:rsidRPr="00FB77E1">
        <w:rPr>
          <w:sz w:val="24"/>
          <w:szCs w:val="24"/>
        </w:rPr>
        <w:t>d</w:t>
      </w:r>
      <w:r>
        <w:rPr>
          <w:sz w:val="24"/>
          <w:szCs w:val="24"/>
        </w:rPr>
        <w:t>)</w:t>
      </w:r>
      <w:r w:rsidRPr="00FB77E1">
        <w:rPr>
          <w:sz w:val="24"/>
          <w:szCs w:val="24"/>
        </w:rPr>
        <w:t xml:space="preserve"> SHSY5Y RNA</w:t>
      </w:r>
      <w:r>
        <w:rPr>
          <w:sz w:val="24"/>
          <w:szCs w:val="24"/>
        </w:rPr>
        <w:t>. (e) C</w:t>
      </w:r>
      <w:r w:rsidRPr="00FB77E1">
        <w:rPr>
          <w:sz w:val="24"/>
          <w:szCs w:val="24"/>
        </w:rPr>
        <w:t>hub</w:t>
      </w:r>
      <w:r>
        <w:rPr>
          <w:sz w:val="24"/>
          <w:szCs w:val="24"/>
        </w:rPr>
        <w:t>S</w:t>
      </w:r>
      <w:r w:rsidRPr="00FB77E1">
        <w:rPr>
          <w:sz w:val="24"/>
          <w:szCs w:val="24"/>
        </w:rPr>
        <w:t>7 DNA</w:t>
      </w:r>
      <w:r>
        <w:rPr>
          <w:sz w:val="24"/>
          <w:szCs w:val="24"/>
        </w:rPr>
        <w:t>. (</w:t>
      </w:r>
      <w:r w:rsidRPr="00FB77E1">
        <w:rPr>
          <w:sz w:val="24"/>
          <w:szCs w:val="24"/>
        </w:rPr>
        <w:t>f</w:t>
      </w:r>
      <w:r>
        <w:rPr>
          <w:sz w:val="24"/>
          <w:szCs w:val="24"/>
        </w:rPr>
        <w:t>)</w:t>
      </w:r>
      <w:r w:rsidRPr="00FB77E1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FB77E1">
        <w:rPr>
          <w:sz w:val="24"/>
          <w:szCs w:val="24"/>
        </w:rPr>
        <w:t>hub</w:t>
      </w:r>
      <w:r>
        <w:rPr>
          <w:sz w:val="24"/>
          <w:szCs w:val="24"/>
        </w:rPr>
        <w:t>S</w:t>
      </w:r>
      <w:r w:rsidRPr="00FB77E1">
        <w:rPr>
          <w:sz w:val="24"/>
          <w:szCs w:val="24"/>
        </w:rPr>
        <w:t>7 RNA</w:t>
      </w:r>
      <w:r>
        <w:rPr>
          <w:sz w:val="24"/>
          <w:szCs w:val="24"/>
        </w:rPr>
        <w:t>. (</w:t>
      </w:r>
      <w:r w:rsidRPr="00FB77E1">
        <w:rPr>
          <w:sz w:val="24"/>
          <w:szCs w:val="24"/>
        </w:rPr>
        <w:t>g</w:t>
      </w:r>
      <w:r>
        <w:rPr>
          <w:sz w:val="24"/>
          <w:szCs w:val="24"/>
        </w:rPr>
        <w:t>)</w:t>
      </w:r>
      <w:r w:rsidRPr="00FB77E1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FB77E1">
        <w:rPr>
          <w:sz w:val="24"/>
          <w:szCs w:val="24"/>
        </w:rPr>
        <w:t>olon DNA</w:t>
      </w:r>
      <w:r>
        <w:rPr>
          <w:sz w:val="24"/>
          <w:szCs w:val="24"/>
        </w:rPr>
        <w:t>. (</w:t>
      </w:r>
      <w:r w:rsidRPr="00FB77E1">
        <w:rPr>
          <w:sz w:val="24"/>
          <w:szCs w:val="24"/>
        </w:rPr>
        <w:t>h</w:t>
      </w:r>
      <w:r>
        <w:rPr>
          <w:sz w:val="24"/>
          <w:szCs w:val="24"/>
        </w:rPr>
        <w:t>)</w:t>
      </w:r>
      <w:r w:rsidRPr="00FB77E1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FB77E1">
        <w:rPr>
          <w:sz w:val="24"/>
          <w:szCs w:val="24"/>
        </w:rPr>
        <w:t>olon RNA</w:t>
      </w:r>
      <w:r>
        <w:rPr>
          <w:sz w:val="24"/>
          <w:szCs w:val="24"/>
        </w:rPr>
        <w:t>. (</w:t>
      </w:r>
      <w:r w:rsidRPr="00FB77E1">
        <w:rPr>
          <w:sz w:val="24"/>
          <w:szCs w:val="24"/>
        </w:rPr>
        <w:t>i</w:t>
      </w:r>
      <w:r>
        <w:rPr>
          <w:sz w:val="24"/>
          <w:szCs w:val="24"/>
        </w:rPr>
        <w:t>)</w:t>
      </w:r>
      <w:r w:rsidRPr="00FB77E1">
        <w:rPr>
          <w:sz w:val="24"/>
          <w:szCs w:val="24"/>
        </w:rPr>
        <w:t xml:space="preserve"> 65080</w:t>
      </w:r>
      <w:r w:rsidRPr="00FB77E1">
        <w:rPr>
          <w:sz w:val="24"/>
          <w:szCs w:val="24"/>
          <w:rtl/>
        </w:rPr>
        <w:t xml:space="preserve"> </w:t>
      </w:r>
      <w:r w:rsidRPr="00FB77E1">
        <w:rPr>
          <w:sz w:val="24"/>
          <w:szCs w:val="24"/>
        </w:rPr>
        <w:t>DNA</w:t>
      </w:r>
      <w:r>
        <w:rPr>
          <w:sz w:val="24"/>
          <w:szCs w:val="24"/>
        </w:rPr>
        <w:t>. (</w:t>
      </w:r>
      <w:r w:rsidRPr="00FB77E1">
        <w:rPr>
          <w:sz w:val="24"/>
          <w:szCs w:val="24"/>
        </w:rPr>
        <w:t>j</w:t>
      </w:r>
      <w:r>
        <w:rPr>
          <w:sz w:val="24"/>
          <w:szCs w:val="24"/>
        </w:rPr>
        <w:t>)</w:t>
      </w:r>
      <w:r w:rsidRPr="00FB77E1">
        <w:rPr>
          <w:sz w:val="24"/>
          <w:szCs w:val="24"/>
        </w:rPr>
        <w:t xml:space="preserve"> 65080 liver RNA</w:t>
      </w:r>
      <w:r>
        <w:rPr>
          <w:sz w:val="24"/>
          <w:szCs w:val="24"/>
        </w:rPr>
        <w:t>. (</w:t>
      </w:r>
      <w:r w:rsidRPr="00FB77E1">
        <w:rPr>
          <w:sz w:val="24"/>
          <w:szCs w:val="24"/>
        </w:rPr>
        <w:t>k</w:t>
      </w:r>
      <w:r>
        <w:rPr>
          <w:sz w:val="24"/>
          <w:szCs w:val="24"/>
        </w:rPr>
        <w:t>)</w:t>
      </w:r>
      <w:r w:rsidRPr="00FB77E1">
        <w:rPr>
          <w:sz w:val="24"/>
          <w:szCs w:val="24"/>
        </w:rPr>
        <w:t xml:space="preserve"> 65080 skeletal</w:t>
      </w:r>
      <w:r>
        <w:rPr>
          <w:sz w:val="24"/>
          <w:szCs w:val="24"/>
        </w:rPr>
        <w:t xml:space="preserve"> muscle</w:t>
      </w:r>
      <w:r w:rsidRPr="00FB77E1">
        <w:rPr>
          <w:sz w:val="24"/>
          <w:szCs w:val="24"/>
        </w:rPr>
        <w:t xml:space="preserve"> RNA</w:t>
      </w:r>
      <w:r>
        <w:rPr>
          <w:sz w:val="24"/>
          <w:szCs w:val="24"/>
        </w:rPr>
        <w:t>. (</w:t>
      </w:r>
      <w:r w:rsidRPr="00FB77E1">
        <w:rPr>
          <w:sz w:val="24"/>
          <w:szCs w:val="24"/>
        </w:rPr>
        <w:t>l</w:t>
      </w:r>
      <w:r>
        <w:rPr>
          <w:sz w:val="24"/>
          <w:szCs w:val="24"/>
        </w:rPr>
        <w:t>)</w:t>
      </w:r>
      <w:r w:rsidRPr="00FB77E1">
        <w:rPr>
          <w:sz w:val="24"/>
          <w:szCs w:val="24"/>
        </w:rPr>
        <w:t xml:space="preserve"> 65080 brain RNA</w:t>
      </w:r>
      <w:r>
        <w:rPr>
          <w:sz w:val="24"/>
          <w:szCs w:val="24"/>
        </w:rPr>
        <w:t>. (</w:t>
      </w:r>
      <w:r w:rsidRPr="00FB77E1">
        <w:rPr>
          <w:sz w:val="24"/>
          <w:szCs w:val="24"/>
        </w:rPr>
        <w:t>m</w:t>
      </w:r>
      <w:r>
        <w:rPr>
          <w:sz w:val="24"/>
          <w:szCs w:val="24"/>
        </w:rPr>
        <w:t>) 64998 DNA. (</w:t>
      </w:r>
      <w:r w:rsidRPr="00FB77E1">
        <w:rPr>
          <w:sz w:val="24"/>
          <w:szCs w:val="24"/>
        </w:rPr>
        <w:t>n</w:t>
      </w:r>
      <w:r>
        <w:rPr>
          <w:sz w:val="24"/>
          <w:szCs w:val="24"/>
        </w:rPr>
        <w:t>)</w:t>
      </w:r>
      <w:r w:rsidRPr="00FB77E1">
        <w:rPr>
          <w:sz w:val="24"/>
          <w:szCs w:val="24"/>
        </w:rPr>
        <w:t xml:space="preserve"> 64998 liver RNA</w:t>
      </w:r>
      <w:r>
        <w:rPr>
          <w:sz w:val="24"/>
          <w:szCs w:val="24"/>
        </w:rPr>
        <w:t>. (</w:t>
      </w:r>
      <w:r w:rsidRPr="00FB77E1">
        <w:rPr>
          <w:sz w:val="24"/>
          <w:szCs w:val="24"/>
        </w:rPr>
        <w:t>o</w:t>
      </w:r>
      <w:r>
        <w:rPr>
          <w:sz w:val="24"/>
          <w:szCs w:val="24"/>
        </w:rPr>
        <w:t>)</w:t>
      </w:r>
      <w:r w:rsidRPr="00FB77E1">
        <w:rPr>
          <w:sz w:val="24"/>
          <w:szCs w:val="24"/>
        </w:rPr>
        <w:t xml:space="preserve"> 64998 skeletal</w:t>
      </w:r>
      <w:r>
        <w:rPr>
          <w:sz w:val="24"/>
          <w:szCs w:val="24"/>
        </w:rPr>
        <w:t xml:space="preserve"> muscle</w:t>
      </w:r>
      <w:r w:rsidRPr="00FB77E1">
        <w:rPr>
          <w:sz w:val="24"/>
          <w:szCs w:val="24"/>
        </w:rPr>
        <w:t xml:space="preserve"> RNA</w:t>
      </w:r>
      <w:r>
        <w:rPr>
          <w:sz w:val="24"/>
          <w:szCs w:val="24"/>
        </w:rPr>
        <w:t>. (</w:t>
      </w:r>
      <w:r w:rsidRPr="00FB77E1">
        <w:rPr>
          <w:sz w:val="24"/>
          <w:szCs w:val="24"/>
        </w:rPr>
        <w:t>p</w:t>
      </w:r>
      <w:r>
        <w:rPr>
          <w:sz w:val="24"/>
          <w:szCs w:val="24"/>
        </w:rPr>
        <w:t>)</w:t>
      </w:r>
      <w:r w:rsidRPr="00FB77E1">
        <w:rPr>
          <w:sz w:val="24"/>
          <w:szCs w:val="24"/>
        </w:rPr>
        <w:t xml:space="preserve"> 64998 brain RNA</w:t>
      </w:r>
      <w:r>
        <w:rPr>
          <w:sz w:val="24"/>
          <w:szCs w:val="24"/>
        </w:rPr>
        <w:t>.</w:t>
      </w:r>
    </w:p>
    <w:p w:rsidR="00054285" w:rsidRDefault="00054285" w:rsidP="00054285">
      <w:pPr>
        <w:spacing w:line="360" w:lineRule="auto"/>
        <w:rPr>
          <w:sz w:val="24"/>
          <w:szCs w:val="24"/>
        </w:rPr>
      </w:pPr>
    </w:p>
    <w:p w:rsidR="00054285" w:rsidRPr="00A74FFC" w:rsidRDefault="00054285" w:rsidP="0005428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Supplementary Figure 3: </w:t>
      </w:r>
      <w:r w:rsidRPr="00A74FFC">
        <w:rPr>
          <w:rFonts w:asciiTheme="majorBidi" w:hAnsiTheme="majorBidi" w:cstheme="majorBidi"/>
          <w:b/>
          <w:bCs/>
          <w:sz w:val="24"/>
          <w:szCs w:val="24"/>
        </w:rPr>
        <w:t>Sequence alignment of the top 30 BLAT hits from UCSC to a 100 bp fragment encompassing the RDDs at mtDNA position 2617.</w:t>
      </w:r>
      <w:r w:rsidRPr="00A74FFC">
        <w:rPr>
          <w:rFonts w:asciiTheme="majorBidi" w:hAnsiTheme="majorBidi" w:cstheme="majorBidi"/>
          <w:sz w:val="24"/>
          <w:szCs w:val="24"/>
        </w:rPr>
        <w:t xml:space="preserve"> The left column lists the BLAT hit loci and exac</w:t>
      </w:r>
      <w:r>
        <w:rPr>
          <w:rFonts w:asciiTheme="majorBidi" w:hAnsiTheme="majorBidi" w:cstheme="majorBidi"/>
          <w:sz w:val="24"/>
          <w:szCs w:val="24"/>
        </w:rPr>
        <w:t>t chromosomal coordinates in th</w:t>
      </w:r>
      <w:r w:rsidRPr="00A74FFC">
        <w:rPr>
          <w:rFonts w:asciiTheme="majorBidi" w:hAnsiTheme="majorBidi" w:cstheme="majorBidi"/>
          <w:sz w:val="24"/>
          <w:szCs w:val="24"/>
        </w:rPr>
        <w:t>e human genome. MtDNA position 2617 is highlighted in yellow. Red highlight – nucleotide positions showing</w:t>
      </w:r>
      <w:r>
        <w:rPr>
          <w:rFonts w:asciiTheme="majorBidi" w:hAnsiTheme="majorBidi" w:cstheme="majorBidi"/>
          <w:sz w:val="24"/>
          <w:szCs w:val="24"/>
        </w:rPr>
        <w:t xml:space="preserve"> mutational differences from th</w:t>
      </w:r>
      <w:r w:rsidRPr="00A74FFC">
        <w:rPr>
          <w:rFonts w:asciiTheme="majorBidi" w:hAnsiTheme="majorBidi" w:cstheme="majorBidi"/>
          <w:sz w:val="24"/>
          <w:szCs w:val="24"/>
        </w:rPr>
        <w:t>e mtDNA reference sequence. Notably, none of the red marked changes were identified in our DNA and RNA deep sequence data.</w:t>
      </w:r>
    </w:p>
    <w:p w:rsidR="00054285" w:rsidRPr="00475D17" w:rsidRDefault="00054285" w:rsidP="00054285">
      <w:pPr>
        <w:spacing w:line="360" w:lineRule="auto"/>
        <w:rPr>
          <w:sz w:val="24"/>
          <w:szCs w:val="24"/>
        </w:rPr>
      </w:pPr>
    </w:p>
    <w:p w:rsidR="00054285" w:rsidRPr="00916FDD" w:rsidRDefault="00054285" w:rsidP="00054285">
      <w:pPr>
        <w:spacing w:line="360" w:lineRule="auto"/>
      </w:pPr>
      <w:r>
        <w:rPr>
          <w:b/>
          <w:bCs/>
          <w:sz w:val="24"/>
          <w:szCs w:val="24"/>
        </w:rPr>
        <w:t>Supplementary Figure 4</w:t>
      </w:r>
      <w:r w:rsidRPr="00C472B6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Positions of primers used for PCR amplification of</w:t>
      </w:r>
      <w:r w:rsidRPr="00C472B6">
        <w:rPr>
          <w:b/>
          <w:bCs/>
          <w:sz w:val="24"/>
          <w:szCs w:val="24"/>
        </w:rPr>
        <w:t xml:space="preserve"> 16S rRNA and flanking sequ</w:t>
      </w:r>
      <w:r>
        <w:rPr>
          <w:b/>
          <w:bCs/>
          <w:sz w:val="24"/>
          <w:szCs w:val="24"/>
        </w:rPr>
        <w:t>e</w:t>
      </w:r>
      <w:r w:rsidRPr="00C472B6">
        <w:rPr>
          <w:b/>
          <w:bCs/>
          <w:sz w:val="24"/>
          <w:szCs w:val="24"/>
        </w:rPr>
        <w:t xml:space="preserve">nces: </w:t>
      </w:r>
      <w:r w:rsidRPr="00C472B6">
        <w:rPr>
          <w:sz w:val="24"/>
          <w:szCs w:val="24"/>
        </w:rPr>
        <w:t>Amplification</w:t>
      </w:r>
      <w:r>
        <w:rPr>
          <w:sz w:val="24"/>
          <w:szCs w:val="24"/>
        </w:rPr>
        <w:t xml:space="preserve"> of the 16S rRNA and its flanking regions was performed using four primer pairs as described in Materials and Methods. These fragments</w:t>
      </w:r>
      <w:r w:rsidRPr="00803F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encompass human </w:t>
      </w:r>
      <w:r w:rsidRPr="00803F5C">
        <w:rPr>
          <w:sz w:val="24"/>
          <w:szCs w:val="24"/>
        </w:rPr>
        <w:t xml:space="preserve">mtDNA nucleotide positions </w:t>
      </w:r>
      <w:r>
        <w:rPr>
          <w:sz w:val="24"/>
          <w:szCs w:val="24"/>
        </w:rPr>
        <w:t xml:space="preserve">1580-2640, 1580-2655, 2578-3414 and 2593-3414 respectively </w:t>
      </w:r>
      <w:r w:rsidRPr="00803F5C">
        <w:rPr>
          <w:sz w:val="24"/>
          <w:szCs w:val="24"/>
        </w:rPr>
        <w:t>(rCRS NC_012920)</w:t>
      </w:r>
      <w:r>
        <w:rPr>
          <w:sz w:val="24"/>
          <w:szCs w:val="24"/>
        </w:rPr>
        <w:t xml:space="preserve">. The arrows above the horizontal line (the mtDNA) represent the amplification primers and their orientation. </w:t>
      </w:r>
    </w:p>
    <w:p w:rsidR="00054285" w:rsidRPr="00932FF6" w:rsidRDefault="00054285" w:rsidP="00054285">
      <w:pPr>
        <w:spacing w:line="360" w:lineRule="auto"/>
        <w:rPr>
          <w:sz w:val="24"/>
          <w:szCs w:val="24"/>
        </w:rPr>
      </w:pPr>
      <w:r w:rsidRPr="00916FDD">
        <w:rPr>
          <w:sz w:val="24"/>
          <w:szCs w:val="24"/>
        </w:rPr>
        <w:t xml:space="preserve">Numbers indicate reverse and forward amplification primers pairs used for fragments 1-4 of the 16S flanking regions, </w:t>
      </w:r>
      <w:r w:rsidRPr="00932FF6">
        <w:rPr>
          <w:sz w:val="24"/>
          <w:szCs w:val="24"/>
        </w:rPr>
        <w:t>respectively. Vertical lines indicate gene regions, with the caption underneath representing gene names. MtDNA position 2617 is indicated.</w:t>
      </w:r>
    </w:p>
    <w:p w:rsidR="00054285" w:rsidRPr="00932FF6" w:rsidRDefault="00054285" w:rsidP="00054285">
      <w:pPr>
        <w:spacing w:line="360" w:lineRule="auto"/>
        <w:rPr>
          <w:sz w:val="24"/>
          <w:szCs w:val="24"/>
        </w:rPr>
      </w:pPr>
    </w:p>
    <w:p w:rsidR="00054285" w:rsidRPr="00932FF6" w:rsidRDefault="00054285" w:rsidP="00054285">
      <w:pPr>
        <w:spacing w:line="360" w:lineRule="auto"/>
        <w:rPr>
          <w:sz w:val="24"/>
          <w:szCs w:val="24"/>
        </w:rPr>
      </w:pPr>
      <w:r w:rsidRPr="00932FF6">
        <w:rPr>
          <w:b/>
          <w:bCs/>
          <w:sz w:val="24"/>
          <w:szCs w:val="24"/>
        </w:rPr>
        <w:t xml:space="preserve">Supplementary Figure 5: Sequence alignment of mitochondrial 16S RNA from 1755 vertebrates. </w:t>
      </w:r>
      <w:r w:rsidRPr="00932FF6">
        <w:rPr>
          <w:sz w:val="24"/>
          <w:szCs w:val="24"/>
        </w:rPr>
        <w:t xml:space="preserve">MtDNA </w:t>
      </w:r>
      <w:r w:rsidRPr="00932FF6">
        <w:rPr>
          <w:bCs/>
          <w:sz w:val="24"/>
          <w:szCs w:val="24"/>
        </w:rPr>
        <w:t>positions 2608 to 2634 (human coordinates) are aligned and compared to available vertebrate orthologous sequence</w:t>
      </w:r>
      <w:r w:rsidRPr="00932FF6">
        <w:rPr>
          <w:sz w:val="24"/>
          <w:szCs w:val="24"/>
        </w:rPr>
        <w:t xml:space="preserve">. This sequence harbors the stems and loop </w:t>
      </w:r>
      <w:r w:rsidRPr="00932FF6">
        <w:rPr>
          <w:sz w:val="24"/>
          <w:szCs w:val="24"/>
        </w:rPr>
        <w:fldChar w:fldCharType="begin"/>
      </w:r>
      <w:r w:rsidRPr="00932FF6">
        <w:rPr>
          <w:sz w:val="24"/>
          <w:szCs w:val="24"/>
        </w:rPr>
        <w:instrText xml:space="preserve"> ADDIN EN.CITE &lt;EndNote&gt;&lt;Cite&gt;&lt;Author&gt;Ruiz-Pesini&lt;/Author&gt;&lt;Year&gt;2006&lt;/Year&gt;&lt;RecNum&gt;3750&lt;/RecNum&gt;&lt;DisplayText&gt;(Ruiz-Pesini and Wallace 2006)&lt;/DisplayText&gt;&lt;record&gt;&lt;rec-number&gt;3750&lt;/rec-number&gt;&lt;foreign-keys&gt;&lt;key app="EN" db-id="fzsdfaxa9vxf5lezdzlxd2ao05052fdrf0tv"&gt;3750&lt;/key&gt;&lt;/foreign-keys&gt;&lt;ref-type name="Journal Article"&gt;17&lt;/ref-type&gt;&lt;contributors&gt;&lt;authors&gt;&lt;author&gt;Ruiz-Pesini, E.&lt;/author&gt;&lt;author&gt;Wallace, D. C.&lt;/author&gt;&lt;/authors&gt;&lt;/contributors&gt;&lt;auth-address&gt;Center for Molecular and Mitochondrial Medicine and Genetics, Departments of Ecology and Evolutionary Biology, Biological Chemistry, and Pediatrics, University of California, Irvine, Irvine, California.&lt;/auth-address&gt;&lt;titles&gt;&lt;title&gt;Evidence for adaptive selection acting on the tRNA and rRNA genes of human mitochondrial DNA&lt;/title&gt;&lt;secondary-title&gt;Hum Mutat&lt;/secondary-title&gt;&lt;/titles&gt;&lt;periodical&gt;&lt;full-title&gt;Hum Mutat&lt;/full-title&gt;&lt;/periodical&gt;&lt;pages&gt;1072-1081&lt;/pages&gt;&lt;volume&gt;27&lt;/volume&gt;&lt;number&gt;11&lt;/number&gt;&lt;dates&gt;&lt;year&gt;2006&lt;/year&gt;&lt;pub-dates&gt;&lt;date&gt;Aug 31&lt;/date&gt;&lt;/pub-dates&gt;&lt;/dates&gt;&lt;accession-num&gt;16947981&lt;/accession-num&gt;&lt;urls&gt;&lt;related-urls&gt;&lt;url&gt;http://www.ncbi.nlm.nih.gov/entrez/query.fcgi?cmd=Retrieve&amp;amp;db=PubMed&amp;amp;dopt=Citation&amp;amp;list_uids=16947981 &lt;/url&gt;&lt;/related-urls&gt;&lt;/urls&gt;&lt;/record&gt;&lt;/Cite&gt;&lt;/EndNote&gt;</w:instrText>
      </w:r>
      <w:r w:rsidRPr="00932FF6">
        <w:rPr>
          <w:sz w:val="24"/>
          <w:szCs w:val="24"/>
        </w:rPr>
        <w:fldChar w:fldCharType="separate"/>
      </w:r>
      <w:r w:rsidRPr="00932FF6">
        <w:rPr>
          <w:noProof/>
          <w:sz w:val="24"/>
          <w:szCs w:val="24"/>
        </w:rPr>
        <w:t>(</w:t>
      </w:r>
      <w:hyperlink w:anchor="_ENREF_30" w:tooltip="Ruiz-Pesini, 2006 #3750" w:history="1">
        <w:r w:rsidRPr="00932FF6">
          <w:rPr>
            <w:noProof/>
            <w:sz w:val="24"/>
            <w:szCs w:val="24"/>
          </w:rPr>
          <w:t>Ruiz-Pesini and Wallace 2006</w:t>
        </w:r>
      </w:hyperlink>
      <w:r w:rsidRPr="00932FF6">
        <w:rPr>
          <w:noProof/>
          <w:sz w:val="24"/>
          <w:szCs w:val="24"/>
        </w:rPr>
        <w:t>)</w:t>
      </w:r>
      <w:r w:rsidRPr="00932FF6">
        <w:rPr>
          <w:sz w:val="24"/>
          <w:szCs w:val="24"/>
        </w:rPr>
        <w:fldChar w:fldCharType="end"/>
      </w:r>
      <w:r w:rsidRPr="00932FF6">
        <w:rPr>
          <w:sz w:val="24"/>
          <w:szCs w:val="24"/>
        </w:rPr>
        <w:t xml:space="preserve"> including position 2617 (framed in red). The 1755 vertebrate species include 941 </w:t>
      </w:r>
      <w:r w:rsidRPr="00932FF6">
        <w:rPr>
          <w:i/>
          <w:iCs/>
          <w:sz w:val="24"/>
          <w:szCs w:val="24"/>
        </w:rPr>
        <w:t>Actinopterygii</w:t>
      </w:r>
      <w:r w:rsidRPr="00932FF6">
        <w:rPr>
          <w:sz w:val="24"/>
          <w:szCs w:val="24"/>
        </w:rPr>
        <w:t xml:space="preserve"> (ray-finned fishes), 109 </w:t>
      </w:r>
      <w:r w:rsidRPr="00932FF6">
        <w:rPr>
          <w:i/>
          <w:iCs/>
          <w:sz w:val="24"/>
          <w:szCs w:val="24"/>
        </w:rPr>
        <w:t>Amphibia</w:t>
      </w:r>
      <w:r w:rsidRPr="00932FF6">
        <w:rPr>
          <w:sz w:val="24"/>
          <w:szCs w:val="24"/>
        </w:rPr>
        <w:t xml:space="preserve"> (amphibians), 48 </w:t>
      </w:r>
      <w:r w:rsidRPr="00932FF6">
        <w:rPr>
          <w:i/>
          <w:iCs/>
          <w:sz w:val="24"/>
          <w:szCs w:val="24"/>
        </w:rPr>
        <w:t>Testudines</w:t>
      </w:r>
      <w:r w:rsidRPr="00932FF6">
        <w:rPr>
          <w:sz w:val="24"/>
          <w:szCs w:val="24"/>
        </w:rPr>
        <w:t xml:space="preserve"> (turtles), 109 </w:t>
      </w:r>
      <w:r w:rsidRPr="00932FF6">
        <w:rPr>
          <w:i/>
          <w:iCs/>
          <w:sz w:val="24"/>
          <w:szCs w:val="24"/>
        </w:rPr>
        <w:t>Lepidosauria</w:t>
      </w:r>
      <w:r w:rsidRPr="00932FF6">
        <w:rPr>
          <w:sz w:val="24"/>
          <w:szCs w:val="24"/>
        </w:rPr>
        <w:t xml:space="preserve"> (sphenodon, lizards and snakes), 177 </w:t>
      </w:r>
      <w:r w:rsidRPr="00932FF6">
        <w:rPr>
          <w:i/>
          <w:iCs/>
          <w:sz w:val="24"/>
          <w:szCs w:val="24"/>
        </w:rPr>
        <w:t>Archosauria</w:t>
      </w:r>
      <w:r w:rsidRPr="00932FF6">
        <w:rPr>
          <w:sz w:val="24"/>
          <w:szCs w:val="24"/>
        </w:rPr>
        <w:t xml:space="preserve"> (Crocodilains and birds) and 371 </w:t>
      </w:r>
      <w:r w:rsidRPr="00932FF6">
        <w:rPr>
          <w:i/>
          <w:iCs/>
          <w:sz w:val="24"/>
          <w:szCs w:val="24"/>
        </w:rPr>
        <w:t>Mammalia</w:t>
      </w:r>
      <w:r w:rsidRPr="00932FF6">
        <w:rPr>
          <w:sz w:val="24"/>
          <w:szCs w:val="24"/>
        </w:rPr>
        <w:t xml:space="preserve"> (mammals). Stem, Loop, Stem columns – mtDNA sequence corresponding to the stem-and-loop structure of 16S rRNA around position 2617.</w:t>
      </w:r>
    </w:p>
    <w:p w:rsidR="00054285" w:rsidRPr="00932FF6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4285" w:rsidRPr="00932FF6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FF6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6: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32FF6">
        <w:rPr>
          <w:rFonts w:ascii="Times New Roman" w:hAnsi="Times New Roman" w:cs="Times New Roman"/>
          <w:b/>
          <w:bCs/>
          <w:sz w:val="24"/>
          <w:szCs w:val="24"/>
        </w:rPr>
        <w:t xml:space="preserve">hylogenetic analysis of complete mitochondrial sequences from 334 </w:t>
      </w:r>
      <w:r w:rsidRPr="00932F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Eutheria</w:t>
      </w:r>
      <w:r w:rsidRPr="00932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32FF6">
        <w:rPr>
          <w:rFonts w:ascii="Times New Roman" w:hAnsi="Times New Roman" w:cs="Times New Roman"/>
          <w:sz w:val="24"/>
          <w:szCs w:val="24"/>
        </w:rPr>
        <w:t xml:space="preserve"> A Maximum Likelihood tree constructed from 334 complete mtDNA </w:t>
      </w:r>
      <w:r w:rsidRPr="00932FF6">
        <w:rPr>
          <w:rFonts w:ascii="Times New Roman" w:hAnsi="Times New Roman" w:cs="Times New Roman"/>
          <w:i/>
          <w:iCs/>
          <w:sz w:val="24"/>
          <w:szCs w:val="24"/>
        </w:rPr>
        <w:t>Ehutherian</w:t>
      </w:r>
      <w:r w:rsidRPr="00932FF6">
        <w:rPr>
          <w:rFonts w:ascii="Times New Roman" w:hAnsi="Times New Roman" w:cs="Times New Roman"/>
          <w:sz w:val="24"/>
          <w:szCs w:val="24"/>
        </w:rPr>
        <w:t xml:space="preserve"> sequences. Bootstrap scores of 1000 replicates are shown on each branch together with its ancestral state of position 2617. All phylogenetic analyses were performed using MEGA 5.0.</w:t>
      </w:r>
    </w:p>
    <w:p w:rsidR="00054285" w:rsidRPr="00902342" w:rsidRDefault="00054285" w:rsidP="00054285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4285" w:rsidRPr="004D543B" w:rsidRDefault="00054285" w:rsidP="00054285">
      <w:pPr>
        <w:spacing w:line="360" w:lineRule="auto"/>
        <w:ind w:left="57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Supplementary Figure 7</w:t>
      </w:r>
      <w:r w:rsidRPr="002C4A56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S</w:t>
      </w:r>
      <w:r w:rsidRPr="004D543B">
        <w:rPr>
          <w:b/>
          <w:bCs/>
          <w:sz w:val="24"/>
          <w:szCs w:val="24"/>
        </w:rPr>
        <w:t>anger sequenc</w:t>
      </w:r>
      <w:r>
        <w:rPr>
          <w:b/>
          <w:bCs/>
          <w:sz w:val="24"/>
          <w:szCs w:val="24"/>
        </w:rPr>
        <w:t>e analysis of position 2617 from DNA and RNA samples of mitochondria from various primates</w:t>
      </w:r>
      <w:r w:rsidRPr="004D543B">
        <w:rPr>
          <w:sz w:val="24"/>
          <w:szCs w:val="24"/>
        </w:rPr>
        <w:t xml:space="preserve">: </w:t>
      </w:r>
      <w:r w:rsidRPr="004D543B">
        <w:rPr>
          <w:i/>
          <w:iCs/>
          <w:sz w:val="24"/>
          <w:szCs w:val="24"/>
        </w:rPr>
        <w:t>Pongo pigmaeus</w:t>
      </w:r>
      <w:r>
        <w:rPr>
          <w:iCs/>
          <w:sz w:val="24"/>
          <w:szCs w:val="24"/>
        </w:rPr>
        <w:t>: (a)</w:t>
      </w:r>
      <w:r w:rsidRPr="004D543B">
        <w:rPr>
          <w:sz w:val="24"/>
          <w:szCs w:val="24"/>
        </w:rPr>
        <w:t xml:space="preserve"> DNA and (b) RNA</w:t>
      </w:r>
      <w:r>
        <w:rPr>
          <w:sz w:val="24"/>
          <w:szCs w:val="24"/>
        </w:rPr>
        <w:t>;</w:t>
      </w:r>
      <w:r w:rsidRPr="004D543B">
        <w:rPr>
          <w:sz w:val="24"/>
          <w:szCs w:val="24"/>
        </w:rPr>
        <w:t xml:space="preserve"> </w:t>
      </w:r>
      <w:r w:rsidRPr="004D543B">
        <w:rPr>
          <w:i/>
          <w:iCs/>
          <w:sz w:val="24"/>
          <w:szCs w:val="24"/>
        </w:rPr>
        <w:t>Gorilla gorilla</w:t>
      </w:r>
      <w:r>
        <w:rPr>
          <w:sz w:val="24"/>
          <w:szCs w:val="24"/>
        </w:rPr>
        <w:t xml:space="preserve"> </w:t>
      </w:r>
      <w:r w:rsidRPr="004D543B">
        <w:rPr>
          <w:sz w:val="24"/>
          <w:szCs w:val="24"/>
        </w:rPr>
        <w:t xml:space="preserve">(c) </w:t>
      </w:r>
      <w:r>
        <w:rPr>
          <w:sz w:val="24"/>
          <w:szCs w:val="24"/>
        </w:rPr>
        <w:t xml:space="preserve">DNA and (d) RNA; </w:t>
      </w:r>
      <w:r w:rsidRPr="004D543B">
        <w:rPr>
          <w:i/>
          <w:iCs/>
          <w:sz w:val="24"/>
          <w:szCs w:val="24"/>
        </w:rPr>
        <w:t>Macaca mulatta</w:t>
      </w:r>
      <w:r>
        <w:rPr>
          <w:sz w:val="24"/>
          <w:szCs w:val="24"/>
        </w:rPr>
        <w:t xml:space="preserve"> (e</w:t>
      </w:r>
      <w:r w:rsidRPr="004D543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DNA and (f) RNA; </w:t>
      </w:r>
      <w:r w:rsidRPr="004D543B">
        <w:rPr>
          <w:i/>
          <w:iCs/>
          <w:sz w:val="24"/>
          <w:szCs w:val="24"/>
        </w:rPr>
        <w:t>Lemur katta</w:t>
      </w:r>
      <w:r>
        <w:rPr>
          <w:sz w:val="24"/>
          <w:szCs w:val="24"/>
        </w:rPr>
        <w:t xml:space="preserve"> (g</w:t>
      </w:r>
      <w:r w:rsidRPr="004D543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DNA and (h) RNA; </w:t>
      </w:r>
      <w:r w:rsidRPr="004D543B">
        <w:rPr>
          <w:i/>
          <w:iCs/>
          <w:sz w:val="24"/>
          <w:szCs w:val="24"/>
        </w:rPr>
        <w:t>Nycticebus coucang</w:t>
      </w:r>
      <w:r>
        <w:rPr>
          <w:sz w:val="24"/>
          <w:szCs w:val="24"/>
        </w:rPr>
        <w:t xml:space="preserve"> (i</w:t>
      </w:r>
      <w:r w:rsidRPr="004D543B">
        <w:rPr>
          <w:sz w:val="24"/>
          <w:szCs w:val="24"/>
        </w:rPr>
        <w:t xml:space="preserve">) </w:t>
      </w:r>
      <w:r>
        <w:rPr>
          <w:sz w:val="24"/>
          <w:szCs w:val="24"/>
        </w:rPr>
        <w:t>DNA and (j</w:t>
      </w:r>
      <w:r w:rsidRPr="004D543B">
        <w:rPr>
          <w:sz w:val="24"/>
          <w:szCs w:val="24"/>
        </w:rPr>
        <w:t>) RNA. Red arrow</w:t>
      </w:r>
      <w:r>
        <w:rPr>
          <w:sz w:val="24"/>
          <w:szCs w:val="24"/>
        </w:rPr>
        <w:t xml:space="preserve"> indicates</w:t>
      </w:r>
      <w:r w:rsidRPr="004D543B">
        <w:rPr>
          <w:sz w:val="24"/>
          <w:szCs w:val="24"/>
        </w:rPr>
        <w:t xml:space="preserve"> nucleotide position </w:t>
      </w:r>
      <w:r>
        <w:rPr>
          <w:sz w:val="24"/>
          <w:szCs w:val="24"/>
        </w:rPr>
        <w:t xml:space="preserve">corresponding to position </w:t>
      </w:r>
      <w:r w:rsidRPr="004D543B">
        <w:rPr>
          <w:sz w:val="24"/>
          <w:szCs w:val="24"/>
        </w:rPr>
        <w:t>2617</w:t>
      </w:r>
      <w:r>
        <w:rPr>
          <w:sz w:val="24"/>
          <w:szCs w:val="24"/>
        </w:rPr>
        <w:t xml:space="preserve"> in human mtDNA</w:t>
      </w:r>
      <w:r w:rsidRPr="004D543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4D543B">
        <w:rPr>
          <w:sz w:val="24"/>
          <w:szCs w:val="24"/>
        </w:rPr>
        <w:t xml:space="preserve">Numbers </w:t>
      </w:r>
      <w:r>
        <w:rPr>
          <w:sz w:val="24"/>
          <w:szCs w:val="24"/>
        </w:rPr>
        <w:t xml:space="preserve">on top of each base indicates </w:t>
      </w:r>
      <w:r w:rsidRPr="004D543B">
        <w:rPr>
          <w:sz w:val="24"/>
          <w:szCs w:val="24"/>
        </w:rPr>
        <w:t>positions according to the rCRS.</w:t>
      </w:r>
    </w:p>
    <w:p w:rsidR="00054285" w:rsidRDefault="00054285" w:rsidP="00054285">
      <w:pPr>
        <w:spacing w:line="360" w:lineRule="auto"/>
        <w:rPr>
          <w:sz w:val="24"/>
          <w:szCs w:val="24"/>
        </w:rPr>
      </w:pPr>
    </w:p>
    <w:p w:rsidR="00054285" w:rsidRPr="0024060C" w:rsidRDefault="00054285" w:rsidP="00054285">
      <w:pPr>
        <w:spacing w:line="360" w:lineRule="auto"/>
        <w:rPr>
          <w:sz w:val="24"/>
          <w:szCs w:val="24"/>
        </w:rPr>
      </w:pPr>
      <w:r w:rsidRPr="003C6CFA">
        <w:rPr>
          <w:b/>
          <w:bCs/>
          <w:sz w:val="24"/>
          <w:szCs w:val="24"/>
        </w:rPr>
        <w:t>Supplementary Figure 8:</w:t>
      </w:r>
      <w:r w:rsidRPr="003C6CFA">
        <w:rPr>
          <w:b/>
          <w:bCs/>
        </w:rPr>
        <w:t xml:space="preserve"> </w:t>
      </w:r>
      <w:r w:rsidRPr="003C6CFA">
        <w:rPr>
          <w:b/>
          <w:bCs/>
          <w:sz w:val="24"/>
          <w:szCs w:val="24"/>
        </w:rPr>
        <w:t>The identified RDDs are not found at the edges of the sequence reads</w:t>
      </w:r>
      <w:r>
        <w:rPr>
          <w:sz w:val="24"/>
          <w:szCs w:val="24"/>
        </w:rPr>
        <w:t xml:space="preserve">. </w:t>
      </w:r>
      <w:r w:rsidRPr="0005649A">
        <w:rPr>
          <w:sz w:val="24"/>
          <w:szCs w:val="24"/>
        </w:rPr>
        <w:t xml:space="preserve">A representative IGV viewer </w:t>
      </w:r>
      <w:r>
        <w:rPr>
          <w:sz w:val="24"/>
          <w:szCs w:val="24"/>
        </w:rPr>
        <w:t xml:space="preserve">chart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ADDIN EN.CITE &lt;EndNote&gt;&lt;Cite&gt;&lt;Author&gt;Robinson&lt;/Author&gt;&lt;Year&gt;2011&lt;/Year&gt;&lt;RecNum&gt;4401&lt;/RecNum&gt;&lt;DisplayText&gt;(Robinson et al. 2011)&lt;/DisplayText&gt;&lt;record&gt;&lt;rec-number&gt;4401&lt;/rec-number&gt;&lt;foreign-keys&gt;&lt;key app="EN" db-id="fzsdfaxa9vxf5lezdzlxd2ao05052fdrf0tv"&gt;4401&lt;/key&gt;&lt;/foreign-keys&gt;&lt;ref-type name="Journal Article"&gt;17&lt;/ref-type&gt;&lt;contributors&gt;&lt;authors&gt;&lt;author&gt;Robinson, J. T.&lt;/author&gt;&lt;author&gt;Thorvaldsdottir, H.&lt;/author&gt;&lt;author&gt;Winckler, W.&lt;/author&gt;&lt;author&gt;Guttman, M.&lt;/author&gt;&lt;author&gt;Lander, E. S.&lt;/author&gt;&lt;author&gt;Getz, G.&lt;/author&gt;&lt;author&gt;Mesirov, J. P.&lt;/author&gt;&lt;/authors&gt;&lt;/contributors&gt;&lt;titles&gt;&lt;title&gt;Integrative genomics viewer&lt;/title&gt;&lt;secondary-title&gt;Nat Biotechnol&lt;/secondary-title&gt;&lt;alt-title&gt;Nature biotechnology&lt;/alt-title&gt;&lt;/titles&gt;&lt;periodical&gt;&lt;full-title&gt;Nat Biotechnol&lt;/full-title&gt;&lt;/periodical&gt;&lt;pages&gt;24-6&lt;/pages&gt;&lt;volume&gt;29&lt;/volume&gt;&lt;number&gt;1&lt;/number&gt;&lt;keywords&gt;&lt;keyword&gt;Chromosome Mapping/methods&lt;/keyword&gt;&lt;keyword&gt;Computational Biology/methods&lt;/keyword&gt;&lt;keyword&gt;*Computer Graphics&lt;/keyword&gt;&lt;keyword&gt;Gene Dosage&lt;/keyword&gt;&lt;keyword&gt;Gene Expression Profiling&lt;/keyword&gt;&lt;keyword&gt;Genomics/*methods&lt;/keyword&gt;&lt;keyword&gt;Glioblastoma/genetics&lt;/keyword&gt;&lt;keyword&gt;Humans&lt;/keyword&gt;&lt;keyword&gt;Information Storage and Retrieval/methods&lt;/keyword&gt;&lt;keyword&gt;Internet&lt;/keyword&gt;&lt;keyword&gt;Neoplasms/genetics&lt;/keyword&gt;&lt;keyword&gt;Oligonucleotide Array Sequence Analysis&lt;/keyword&gt;&lt;keyword&gt;*Online Systems&lt;/keyword&gt;&lt;keyword&gt;Polymorphism, Single Nucleotide&lt;/keyword&gt;&lt;keyword&gt;*Software&lt;/keyword&gt;&lt;/keywords&gt;&lt;dates&gt;&lt;year&gt;2011&lt;/year&gt;&lt;pub-dates&gt;&lt;date&gt;Jan&lt;/date&gt;&lt;/pub-dates&gt;&lt;/dates&gt;&lt;isbn&gt;1546-1696 (Electronic)&amp;#xD;1087-0156 (Linking)&lt;/isbn&gt;&lt;accession-num&gt;21221095&lt;/accession-num&gt;&lt;urls&gt;&lt;related-urls&gt;&lt;url&gt;http://www.ncbi.nlm.nih.gov/pubmed/21221095&lt;/url&gt;&lt;/related-urls&gt;&lt;/urls&gt;&lt;custom2&gt;3346182&lt;/custom2&gt;&lt;electronic-resource-num&gt;10.1038/nbt.1754&lt;/electronic-resource-num&gt;&lt;/record&gt;&lt;/Cite&gt;&lt;/EndNote&gt;</w:instrText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(</w:t>
      </w:r>
      <w:hyperlink w:anchor="_ENREF_28" w:tooltip="Robinson, 2011 #4401" w:history="1">
        <w:r>
          <w:rPr>
            <w:noProof/>
            <w:sz w:val="24"/>
            <w:szCs w:val="24"/>
          </w:rPr>
          <w:t>Robinson et al. 2011</w:t>
        </w:r>
      </w:hyperlink>
      <w:r>
        <w:rPr>
          <w:noProof/>
          <w:sz w:val="24"/>
          <w:szCs w:val="24"/>
        </w:rPr>
        <w:t>)</w:t>
      </w:r>
      <w:r>
        <w:rPr>
          <w:sz w:val="24"/>
          <w:szCs w:val="24"/>
        </w:rPr>
        <w:fldChar w:fldCharType="end"/>
      </w:r>
      <w:r w:rsidRPr="0005649A">
        <w:rPr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 w:rsidRPr="0005649A">
        <w:rPr>
          <w:sz w:val="24"/>
          <w:szCs w:val="24"/>
        </w:rPr>
        <w:t xml:space="preserve"> position 2617 in a representative </w:t>
      </w:r>
      <w:r>
        <w:rPr>
          <w:sz w:val="24"/>
          <w:szCs w:val="24"/>
        </w:rPr>
        <w:t xml:space="preserve">analyzed </w:t>
      </w:r>
      <w:r w:rsidRPr="0005649A">
        <w:rPr>
          <w:sz w:val="24"/>
          <w:szCs w:val="24"/>
        </w:rPr>
        <w:t xml:space="preserve">sample (GM14447). </w:t>
      </w:r>
      <w:r>
        <w:rPr>
          <w:sz w:val="24"/>
          <w:szCs w:val="24"/>
        </w:rPr>
        <w:t>Upper panel – schematic linear representation of the human mtDNA (rCRS</w:t>
      </w:r>
      <w:r w:rsidRPr="00DF592A">
        <w:rPr>
          <w:sz w:val="24"/>
          <w:szCs w:val="24"/>
        </w:rPr>
        <w:t>), position 2617 is framed.</w:t>
      </w:r>
      <w:r>
        <w:rPr>
          <w:sz w:val="24"/>
          <w:szCs w:val="24"/>
        </w:rPr>
        <w:t xml:space="preserve"> Numbers at the top part of the figure – nucleotide positions of the rCRS. Lower large panel – schematic representation of the sequence reads encompassing mtDNA position 2617 (thick arrow-like grey bars). Direction of arrow heads are consistent with directions of the reads.  Framed r</w:t>
      </w:r>
      <w:r w:rsidRPr="0005649A">
        <w:rPr>
          <w:sz w:val="24"/>
          <w:szCs w:val="24"/>
        </w:rPr>
        <w:t xml:space="preserve">ed bars </w:t>
      </w:r>
      <w:r>
        <w:rPr>
          <w:sz w:val="24"/>
          <w:szCs w:val="24"/>
        </w:rPr>
        <w:t>– the t</w:t>
      </w:r>
      <w:r w:rsidRPr="0005649A">
        <w:rPr>
          <w:sz w:val="24"/>
          <w:szCs w:val="24"/>
        </w:rPr>
        <w:t>hymine</w:t>
      </w:r>
      <w:r>
        <w:rPr>
          <w:sz w:val="24"/>
          <w:szCs w:val="24"/>
        </w:rPr>
        <w:t xml:space="preserve"> at position 2617;</w:t>
      </w:r>
      <w:r w:rsidRPr="0005649A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05649A">
        <w:rPr>
          <w:sz w:val="24"/>
          <w:szCs w:val="24"/>
        </w:rPr>
        <w:t xml:space="preserve">rown </w:t>
      </w:r>
      <w:r>
        <w:rPr>
          <w:sz w:val="24"/>
          <w:szCs w:val="24"/>
        </w:rPr>
        <w:t>-</w:t>
      </w:r>
      <w:r w:rsidRPr="0005649A">
        <w:rPr>
          <w:sz w:val="24"/>
          <w:szCs w:val="24"/>
        </w:rPr>
        <w:t xml:space="preserve"> Guanine, </w:t>
      </w:r>
      <w:r>
        <w:rPr>
          <w:sz w:val="24"/>
          <w:szCs w:val="24"/>
        </w:rPr>
        <w:t>g</w:t>
      </w:r>
      <w:r w:rsidRPr="0005649A">
        <w:rPr>
          <w:sz w:val="24"/>
          <w:szCs w:val="24"/>
        </w:rPr>
        <w:t xml:space="preserve">rey </w:t>
      </w:r>
      <w:r>
        <w:rPr>
          <w:sz w:val="24"/>
          <w:szCs w:val="24"/>
        </w:rPr>
        <w:t>-</w:t>
      </w:r>
      <w:r w:rsidRPr="0005649A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DNA </w:t>
      </w:r>
      <w:r w:rsidRPr="0005649A">
        <w:rPr>
          <w:sz w:val="24"/>
          <w:szCs w:val="24"/>
        </w:rPr>
        <w:t>reference (Adenine</w:t>
      </w:r>
      <w:r>
        <w:rPr>
          <w:sz w:val="24"/>
          <w:szCs w:val="24"/>
        </w:rPr>
        <w:t>).</w:t>
      </w:r>
    </w:p>
    <w:p w:rsidR="00627D0E" w:rsidRDefault="00054285">
      <w:bookmarkStart w:id="0" w:name="_GoBack"/>
      <w:bookmarkEnd w:id="0"/>
    </w:p>
    <w:sectPr w:rsidR="00627D0E" w:rsidSect="0064437B">
      <w:footerReference w:type="default" r:id="rId5"/>
      <w:headerReference w:type="first" r:id="rId6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560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1D90" w:rsidRDefault="000542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D1D90" w:rsidRDefault="00054285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90" w:rsidRDefault="00054285" w:rsidP="00170CE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85"/>
    <w:rsid w:val="00054285"/>
    <w:rsid w:val="009A21C0"/>
    <w:rsid w:val="00B3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28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">
    <w:name w:val="AppendixHead"/>
    <w:basedOn w:val="Normal"/>
    <w:uiPriority w:val="99"/>
    <w:rsid w:val="00054285"/>
    <w:pPr>
      <w:keepNext/>
      <w:spacing w:before="240"/>
      <w:outlineLvl w:val="0"/>
    </w:pPr>
    <w:rPr>
      <w:rFonts w:eastAsia="Times New Roman"/>
      <w:b/>
      <w:bCs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rsid w:val="00054285"/>
    <w:pPr>
      <w:tabs>
        <w:tab w:val="center" w:pos="4320"/>
        <w:tab w:val="right" w:pos="8640"/>
      </w:tabs>
    </w:pPr>
    <w:rPr>
      <w:rFonts w:eastAsia="Times New Roman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54285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Header">
    <w:name w:val="header"/>
    <w:basedOn w:val="Normal"/>
    <w:link w:val="HeaderChar"/>
    <w:uiPriority w:val="99"/>
    <w:rsid w:val="00054285"/>
    <w:pPr>
      <w:tabs>
        <w:tab w:val="center" w:pos="4320"/>
        <w:tab w:val="right" w:pos="8640"/>
      </w:tabs>
    </w:pPr>
    <w:rPr>
      <w:rFonts w:eastAsia="Times New Roman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54285"/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1">
    <w:name w:val="ללא מרווח1"/>
    <w:uiPriority w:val="99"/>
    <w:rsid w:val="00054285"/>
    <w:pPr>
      <w:bidi/>
      <w:spacing w:after="0" w:line="240" w:lineRule="auto"/>
    </w:pPr>
    <w:rPr>
      <w:rFonts w:ascii="Calibri" w:eastAsia="Calibri" w:hAnsi="Calibri" w:cs="Arial"/>
      <w:lang w:bidi="he-IL"/>
    </w:rPr>
  </w:style>
  <w:style w:type="table" w:styleId="TableGrid">
    <w:name w:val="Table Grid"/>
    <w:basedOn w:val="TableNormal"/>
    <w:uiPriority w:val="59"/>
    <w:rsid w:val="00054285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28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">
    <w:name w:val="AppendixHead"/>
    <w:basedOn w:val="Normal"/>
    <w:uiPriority w:val="99"/>
    <w:rsid w:val="00054285"/>
    <w:pPr>
      <w:keepNext/>
      <w:spacing w:before="240"/>
      <w:outlineLvl w:val="0"/>
    </w:pPr>
    <w:rPr>
      <w:rFonts w:eastAsia="Times New Roman"/>
      <w:b/>
      <w:bCs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rsid w:val="00054285"/>
    <w:pPr>
      <w:tabs>
        <w:tab w:val="center" w:pos="4320"/>
        <w:tab w:val="right" w:pos="8640"/>
      </w:tabs>
    </w:pPr>
    <w:rPr>
      <w:rFonts w:eastAsia="Times New Roman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54285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Header">
    <w:name w:val="header"/>
    <w:basedOn w:val="Normal"/>
    <w:link w:val="HeaderChar"/>
    <w:uiPriority w:val="99"/>
    <w:rsid w:val="00054285"/>
    <w:pPr>
      <w:tabs>
        <w:tab w:val="center" w:pos="4320"/>
        <w:tab w:val="right" w:pos="8640"/>
      </w:tabs>
    </w:pPr>
    <w:rPr>
      <w:rFonts w:eastAsia="Times New Roman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54285"/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1">
    <w:name w:val="ללא מרווח1"/>
    <w:uiPriority w:val="99"/>
    <w:rsid w:val="00054285"/>
    <w:pPr>
      <w:bidi/>
      <w:spacing w:after="0" w:line="240" w:lineRule="auto"/>
    </w:pPr>
    <w:rPr>
      <w:rFonts w:ascii="Calibri" w:eastAsia="Calibri" w:hAnsi="Calibri" w:cs="Arial"/>
      <w:lang w:bidi="he-IL"/>
    </w:rPr>
  </w:style>
  <w:style w:type="table" w:styleId="TableGrid">
    <w:name w:val="Table Grid"/>
    <w:basedOn w:val="TableNormal"/>
    <w:uiPriority w:val="59"/>
    <w:rsid w:val="00054285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12052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Kulesa</dc:creator>
  <cp:lastModifiedBy>Tara Kulesa</cp:lastModifiedBy>
  <cp:revision>1</cp:revision>
  <dcterms:created xsi:type="dcterms:W3CDTF">2013-08-16T17:12:00Z</dcterms:created>
  <dcterms:modified xsi:type="dcterms:W3CDTF">2013-08-16T17:14:00Z</dcterms:modified>
</cp:coreProperties>
</file>