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B44" w:rsidRPr="00F40FD6" w:rsidRDefault="00F14B44" w:rsidP="00F14B44">
      <w:pPr>
        <w:rPr>
          <w:rFonts w:ascii="Adobe Caslon Pro" w:hAnsi="Adobe Caslon Pro"/>
          <w:b/>
          <w:sz w:val="24"/>
          <w:szCs w:val="24"/>
        </w:rPr>
      </w:pPr>
      <w:r w:rsidRPr="00F40FD6">
        <w:rPr>
          <w:rFonts w:ascii="Adobe Caslon Pro" w:hAnsi="Adobe Caslon Pro"/>
          <w:b/>
          <w:sz w:val="24"/>
          <w:szCs w:val="24"/>
        </w:rPr>
        <w:t xml:space="preserve">Table S1: List of samples analyzed </w:t>
      </w:r>
      <w:r>
        <w:rPr>
          <w:rFonts w:ascii="Adobe Caslon Pro" w:hAnsi="Adobe Caslon Pro"/>
          <w:b/>
          <w:sz w:val="24"/>
          <w:szCs w:val="24"/>
        </w:rPr>
        <w:t xml:space="preserve">for host </w:t>
      </w:r>
      <w:proofErr w:type="spellStart"/>
      <w:r>
        <w:rPr>
          <w:rFonts w:ascii="Adobe Caslon Pro" w:hAnsi="Adobe Caslon Pro"/>
          <w:b/>
          <w:sz w:val="24"/>
          <w:szCs w:val="24"/>
        </w:rPr>
        <w:t>microbiota</w:t>
      </w:r>
      <w:proofErr w:type="spellEnd"/>
    </w:p>
    <w:tbl>
      <w:tblPr>
        <w:tblW w:w="10365" w:type="dxa"/>
        <w:tblInd w:w="96" w:type="dxa"/>
        <w:tblLayout w:type="fixed"/>
        <w:tblLook w:val="04A0"/>
      </w:tblPr>
      <w:tblGrid>
        <w:gridCol w:w="1487"/>
        <w:gridCol w:w="180"/>
        <w:gridCol w:w="2845"/>
        <w:gridCol w:w="1501"/>
        <w:gridCol w:w="1242"/>
        <w:gridCol w:w="1487"/>
        <w:gridCol w:w="136"/>
        <w:gridCol w:w="1351"/>
        <w:gridCol w:w="136"/>
      </w:tblGrid>
      <w:tr w:rsidR="00F14B44" w:rsidRPr="007C7C54" w:rsidTr="00533C28">
        <w:trPr>
          <w:gridAfter w:val="1"/>
          <w:wAfter w:w="136" w:type="dxa"/>
          <w:trHeight w:val="435"/>
        </w:trPr>
        <w:tc>
          <w:tcPr>
            <w:tcW w:w="16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Sample ID</w:t>
            </w:r>
            <w:r>
              <w:rPr>
                <w:rFonts w:ascii="Adobe Caslon Pro" w:eastAsia="Times New Roman" w:hAnsi="Adobe Caslon Pro" w:cs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  <w:r w:rsidRPr="00FF74A3">
              <w:rPr>
                <w:rFonts w:ascii="Adobe Caslon Pro" w:eastAsia="Times New Roman" w:hAnsi="Adobe Caslon Pro" w:cs="Times New Roman"/>
                <w:color w:val="000000"/>
                <w:sz w:val="28"/>
                <w:szCs w:val="28"/>
                <w:vertAlign w:val="superscript"/>
              </w:rPr>
              <w:t>a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AA139A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Collection Site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dobe Caslon Pro" w:eastAsia="Times New Roman" w:hAnsi="Adobe Caslon Pro" w:cs="Times New Roman"/>
                <w:color w:val="000000"/>
                <w:sz w:val="28"/>
                <w:szCs w:val="28"/>
                <w:vertAlign w:val="superscript"/>
              </w:rPr>
              <w:t>b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ind w:left="-227"/>
              <w:jc w:val="center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Species Identity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Adobe Caslon Pro" w:eastAsia="Times New Roman" w:hAnsi="Adobe Caslon Pro" w:cs="Times New Roman"/>
                <w:color w:val="000000"/>
                <w:sz w:val="28"/>
                <w:szCs w:val="28"/>
                <w:vertAlign w:val="superscript"/>
              </w:rPr>
              <w:t>c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Gender</w:t>
            </w:r>
            <w:r w:rsidRPr="00FF74A3">
              <w:rPr>
                <w:rFonts w:ascii="Adobe Caslon Pro" w:eastAsia="Times New Roman" w:hAnsi="Adobe Caslon Pro" w:cs="Times New Roman"/>
                <w:color w:val="000000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Adobe Caslon Pro" w:eastAsia="Times New Roman" w:hAnsi="Adobe Caslon Pro" w:cs="Times New Roman"/>
                <w:color w:val="000000"/>
                <w:sz w:val="28"/>
                <w:szCs w:val="28"/>
                <w:vertAlign w:val="superscript"/>
              </w:rPr>
              <w:t>d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Year Collected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14B44" w:rsidRPr="007C7C54" w:rsidRDefault="00F14B44" w:rsidP="00533C28">
            <w:pPr>
              <w:spacing w:after="120" w:line="240" w:lineRule="atLeast"/>
              <w:jc w:val="center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Sequences per sample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tLeast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11544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10344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12459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14090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19442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10230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41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2001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14178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1435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12806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1436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14023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1437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14462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1438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16650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1440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10740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1442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12980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1446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12858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1448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t</w:t>
            </w: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12274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1455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10823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1457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13633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1459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12134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1467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13140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1468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11178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1474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9521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lastRenderedPageBreak/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1476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10342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1480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10924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1482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9799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1485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10332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1494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8381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1496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8764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1497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8896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1500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7571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1501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8389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1502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8665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1504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7746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1507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7898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1509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CC06C3" w:rsidRDefault="00F14B44" w:rsidP="00533C28">
            <w:pPr>
              <w:spacing w:after="120" w:line="240" w:lineRule="auto"/>
              <w:jc w:val="center"/>
              <w:rPr>
                <w:rFonts w:ascii="Adobe Caslon Pro" w:hAnsi="Adobe Caslon Pro"/>
                <w:sz w:val="24"/>
                <w:szCs w:val="24"/>
              </w:rPr>
            </w:pPr>
            <w:r w:rsidRPr="00CC06C3">
              <w:rPr>
                <w:rFonts w:ascii="Adobe Caslon Pro" w:hAnsi="Adobe Caslon Pro"/>
                <w:sz w:val="24"/>
                <w:szCs w:val="24"/>
              </w:rPr>
              <w:t>8886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GMpts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173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Tanzania,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s.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38476</w:t>
            </w:r>
          </w:p>
        </w:tc>
      </w:tr>
      <w:tr w:rsidR="00F14B44" w:rsidRPr="007C7C54" w:rsidTr="00533C28">
        <w:trPr>
          <w:gridAfter w:val="1"/>
          <w:wAfter w:w="136" w:type="dxa"/>
          <w:trHeight w:val="300"/>
        </w:trPr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Boumba</w:t>
            </w:r>
            <w:proofErr w:type="spellEnd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Bek</w:t>
            </w:r>
            <w:proofErr w:type="spellEnd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t.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BB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ptt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089</w:t>
            </w:r>
          </w:p>
        </w:tc>
        <w:tc>
          <w:tcPr>
            <w:tcW w:w="284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36110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BB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ptt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095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Boumba</w:t>
            </w:r>
            <w:proofErr w:type="spellEnd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Bek</w:t>
            </w:r>
            <w:proofErr w:type="spellEnd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t.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female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32915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CP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ptt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469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Campo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Ma'an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t.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18050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CP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ptt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470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Campo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Ma'an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t.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58115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MT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ptt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Minta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t.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10807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MT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ptt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348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Minta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t.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19856</w:t>
            </w:r>
          </w:p>
        </w:tc>
      </w:tr>
      <w:tr w:rsidR="00F14B44" w:rsidRPr="007C7C54" w:rsidTr="00533C28">
        <w:trPr>
          <w:gridAfter w:val="1"/>
          <w:wAfter w:w="136" w:type="dxa"/>
          <w:trHeight w:val="300"/>
        </w:trPr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5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Wassa</w:t>
            </w:r>
            <w:proofErr w:type="spellEnd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Emtse</w:t>
            </w:r>
            <w:proofErr w:type="spellEnd"/>
          </w:p>
        </w:tc>
        <w:tc>
          <w:tcPr>
            <w:tcW w:w="150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e.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WE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pte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457</w:t>
            </w:r>
          </w:p>
        </w:tc>
        <w:tc>
          <w:tcPr>
            <w:tcW w:w="284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45324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A66373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  <w:vertAlign w:val="superscript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WE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pte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464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Wassa</w:t>
            </w:r>
            <w:proofErr w:type="spellEnd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Emtse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e.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10028</w:t>
            </w:r>
          </w:p>
        </w:tc>
      </w:tr>
      <w:tr w:rsidR="00F14B44" w:rsidRPr="007C7C54" w:rsidTr="00533C28">
        <w:trPr>
          <w:gridAfter w:val="1"/>
          <w:wAfter w:w="136" w:type="dxa"/>
          <w:trHeight w:val="435"/>
        </w:trPr>
        <w:tc>
          <w:tcPr>
            <w:tcW w:w="16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WE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pte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458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Wassa</w:t>
            </w:r>
            <w:proofErr w:type="spellEnd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Emtse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e.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110324</w:t>
            </w:r>
          </w:p>
        </w:tc>
      </w:tr>
      <w:tr w:rsidR="00F14B44" w:rsidRPr="007C7C54" w:rsidTr="00533C28">
        <w:trPr>
          <w:gridAfter w:val="1"/>
          <w:wAfter w:w="136" w:type="dxa"/>
          <w:trHeight w:val="30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4B44" w:rsidRPr="007C7C54" w:rsidRDefault="00F14B44" w:rsidP="00533C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14B44" w:rsidRPr="00FF74A3" w:rsidRDefault="00F14B44" w:rsidP="00533C28">
            <w:pPr>
              <w:spacing w:after="0" w:line="240" w:lineRule="auto"/>
              <w:ind w:left="-317"/>
              <w:rPr>
                <w:rFonts w:ascii="Calibri" w:eastAsia="Times New Roman" w:hAnsi="Calibri" w:cs="Times New Roman"/>
                <w:i/>
                <w:color w:val="000000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KSGpp0645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Lui-Kotal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p.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14151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KSGpp0647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Lui-Kotal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p.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12369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KSGpp0652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Lui-Kotal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p.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5545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KSGpp0660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Lui-Kotal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p.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17605</w:t>
            </w:r>
          </w:p>
        </w:tc>
      </w:tr>
      <w:tr w:rsidR="00F14B44" w:rsidRPr="007C7C54" w:rsidTr="00533C28">
        <w:trPr>
          <w:gridAfter w:val="1"/>
          <w:wAfter w:w="136" w:type="dxa"/>
          <w:trHeight w:val="435"/>
        </w:trPr>
        <w:tc>
          <w:tcPr>
            <w:tcW w:w="16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KSGpp0673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Lui-Kotal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p.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</w:t>
            </w: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16853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ME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ggg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2528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CAR,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Melongodi</w:t>
            </w:r>
            <w:proofErr w:type="spellEnd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g.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12292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ME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ggg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2530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CAR,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Melongodi</w:t>
            </w:r>
            <w:proofErr w:type="spellEnd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g.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12948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EK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ggg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520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E'kom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g.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12769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DG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ggg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408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Diang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g.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13118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DG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ggg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426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Diang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g.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12506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DG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ggg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432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Diang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g.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2004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7175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BB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ggg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231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Boumba</w:t>
            </w:r>
            <w:proofErr w:type="spellEnd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Bek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g.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11101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BB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ggg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232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Boumba</w:t>
            </w:r>
            <w:proofErr w:type="spellEnd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Bek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g.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16802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LB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ggg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Lobeke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g.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10921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LB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ggg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Lobeke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g.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16794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LB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ggg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Lobeke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g.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18114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LB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ggg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Lobeke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g.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13321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LB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ggg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Lobeke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g.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2002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12450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LB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ggg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178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Lobeke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g.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10654</w:t>
            </w:r>
          </w:p>
        </w:tc>
      </w:tr>
      <w:tr w:rsidR="00F14B44" w:rsidRPr="007C7C54" w:rsidTr="00533C28">
        <w:trPr>
          <w:gridAfter w:val="1"/>
          <w:wAfter w:w="136" w:type="dxa"/>
          <w:trHeight w:val="435"/>
        </w:trPr>
        <w:tc>
          <w:tcPr>
            <w:tcW w:w="16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LB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ggg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179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Cameroon,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Lobeke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g. g.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2003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10395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4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Lubutu</w:t>
            </w:r>
            <w:proofErr w:type="spellEnd"/>
          </w:p>
        </w:tc>
        <w:tc>
          <w:tcPr>
            <w:tcW w:w="150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LU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2555</w:t>
            </w:r>
          </w:p>
        </w:tc>
        <w:tc>
          <w:tcPr>
            <w:tcW w:w="284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14690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LU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2556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Lubutu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16241</w:t>
            </w:r>
          </w:p>
        </w:tc>
      </w:tr>
      <w:tr w:rsidR="00F14B44" w:rsidRPr="007C7C54" w:rsidTr="00533C28">
        <w:trPr>
          <w:gridAfter w:val="1"/>
          <w:wAfter w:w="136" w:type="dxa"/>
          <w:trHeight w:val="465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lastRenderedPageBreak/>
              <w:t>OP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1909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Opienge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15849</w:t>
            </w:r>
          </w:p>
        </w:tc>
      </w:tr>
      <w:tr w:rsidR="00F14B44" w:rsidRPr="007C7C54" w:rsidTr="00533C28">
        <w:trPr>
          <w:gridAfter w:val="1"/>
          <w:wAfter w:w="136" w:type="dxa"/>
          <w:trHeight w:val="465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OP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1910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Opienge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16938</w:t>
            </w:r>
          </w:p>
        </w:tc>
      </w:tr>
      <w:tr w:rsidR="00F14B44" w:rsidRPr="007C7C54" w:rsidTr="00533C28">
        <w:trPr>
          <w:gridAfter w:val="1"/>
          <w:wAfter w:w="136" w:type="dxa"/>
          <w:trHeight w:val="465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OP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1911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Opienge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17282</w:t>
            </w:r>
          </w:p>
        </w:tc>
      </w:tr>
      <w:tr w:rsidR="00F14B44" w:rsidRPr="007C7C54" w:rsidTr="00533C28">
        <w:trPr>
          <w:gridAfter w:val="1"/>
          <w:wAfter w:w="136" w:type="dxa"/>
          <w:trHeight w:val="465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OP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2346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Opienge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13825</w:t>
            </w:r>
          </w:p>
        </w:tc>
      </w:tr>
      <w:tr w:rsidR="00F14B44" w:rsidRPr="007C7C54" w:rsidTr="00533C28">
        <w:trPr>
          <w:gridAfter w:val="1"/>
          <w:wAfter w:w="136" w:type="dxa"/>
          <w:trHeight w:val="465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OP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2459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Opienge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13675</w:t>
            </w:r>
          </w:p>
        </w:tc>
      </w:tr>
      <w:tr w:rsidR="00F14B44" w:rsidRPr="007C7C54" w:rsidTr="00533C28">
        <w:trPr>
          <w:gridAfter w:val="1"/>
          <w:wAfter w:w="136" w:type="dxa"/>
          <w:trHeight w:val="465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OP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2460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Opienge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12463</w:t>
            </w:r>
          </w:p>
        </w:tc>
      </w:tr>
      <w:tr w:rsidR="00F14B44" w:rsidRPr="007C7C54" w:rsidTr="00533C28">
        <w:trPr>
          <w:gridAfter w:val="1"/>
          <w:wAfter w:w="136" w:type="dxa"/>
          <w:trHeight w:val="465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OP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2345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Opienge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12280</w:t>
            </w:r>
          </w:p>
        </w:tc>
      </w:tr>
      <w:tr w:rsidR="00F14B44" w:rsidRPr="007C7C54" w:rsidTr="00533C28">
        <w:trPr>
          <w:gridAfter w:val="1"/>
          <w:wAfter w:w="136" w:type="dxa"/>
          <w:trHeight w:val="465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OP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2347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Opienge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12239</w:t>
            </w:r>
          </w:p>
        </w:tc>
      </w:tr>
      <w:tr w:rsidR="00F14B44" w:rsidRPr="007C7C54" w:rsidTr="00533C28">
        <w:trPr>
          <w:gridAfter w:val="1"/>
          <w:wAfter w:w="136" w:type="dxa"/>
          <w:trHeight w:val="465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OP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2456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Opienge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13846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KE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1471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Kasese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17372</w:t>
            </w:r>
          </w:p>
        </w:tc>
      </w:tr>
      <w:tr w:rsidR="00F14B44" w:rsidRPr="007C7C54" w:rsidTr="00533C28">
        <w:trPr>
          <w:gridAfter w:val="1"/>
          <w:wAfter w:w="136" w:type="dxa"/>
          <w:trHeight w:val="420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KE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1507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Kasese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9039</w:t>
            </w:r>
          </w:p>
        </w:tc>
      </w:tr>
      <w:tr w:rsidR="00F14B44" w:rsidRPr="007C7C54" w:rsidTr="00533C28">
        <w:trPr>
          <w:gridAfter w:val="1"/>
          <w:wAfter w:w="136" w:type="dxa"/>
          <w:trHeight w:val="465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KE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1474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Kasese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11305</w:t>
            </w:r>
          </w:p>
        </w:tc>
      </w:tr>
      <w:tr w:rsidR="00F14B44" w:rsidRPr="007C7C54" w:rsidTr="00533C28">
        <w:trPr>
          <w:gridAfter w:val="1"/>
          <w:wAfter w:w="136" w:type="dxa"/>
          <w:trHeight w:val="465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KE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1475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4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Kasese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14391</w:t>
            </w:r>
          </w:p>
        </w:tc>
      </w:tr>
      <w:tr w:rsidR="00F14B44" w:rsidRPr="007C7C54" w:rsidTr="00533C28">
        <w:trPr>
          <w:gridAfter w:val="1"/>
          <w:wAfter w:w="136" w:type="dxa"/>
          <w:trHeight w:val="465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KE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2564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Kasese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15046</w:t>
            </w:r>
          </w:p>
        </w:tc>
      </w:tr>
      <w:tr w:rsidR="00F14B44" w:rsidRPr="007C7C54" w:rsidTr="00533C28">
        <w:trPr>
          <w:gridAfter w:val="1"/>
          <w:wAfter w:w="136" w:type="dxa"/>
          <w:trHeight w:val="465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KE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2565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Kasese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14160</w:t>
            </w:r>
          </w:p>
        </w:tc>
      </w:tr>
      <w:tr w:rsidR="00F14B44" w:rsidRPr="007C7C54" w:rsidTr="00533C28">
        <w:trPr>
          <w:gridAfter w:val="1"/>
          <w:wAfter w:w="136" w:type="dxa"/>
          <w:trHeight w:val="465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KE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2581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5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Kasese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2008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14245</w:t>
            </w:r>
          </w:p>
        </w:tc>
      </w:tr>
      <w:tr w:rsidR="00F14B44" w:rsidRPr="007C7C54" w:rsidTr="00533C28">
        <w:trPr>
          <w:gridAfter w:val="1"/>
          <w:wAfter w:w="136" w:type="dxa"/>
          <w:trHeight w:val="465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KE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2263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Kasese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11343</w:t>
            </w:r>
          </w:p>
        </w:tc>
      </w:tr>
      <w:tr w:rsidR="00F14B44" w:rsidRPr="007C7C54" w:rsidTr="00533C28">
        <w:trPr>
          <w:gridAfter w:val="1"/>
          <w:wAfter w:w="136" w:type="dxa"/>
          <w:trHeight w:val="465"/>
        </w:trPr>
        <w:tc>
          <w:tcPr>
            <w:tcW w:w="1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KE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2265</w:t>
            </w:r>
            <w:r w:rsidRPr="00FF74A3">
              <w:rPr>
                <w:rFonts w:ascii="Adobe Caslon Pro" w:eastAsia="Times New Roman" w:hAnsi="Adobe Caslon Pro" w:cs="Times New Roman"/>
                <w:b/>
                <w:bCs/>
                <w:color w:val="000000"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Kasese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13870</w:t>
            </w:r>
          </w:p>
        </w:tc>
      </w:tr>
      <w:tr w:rsidR="00F14B44" w:rsidRPr="007C7C54" w:rsidTr="00533C28">
        <w:trPr>
          <w:gridAfter w:val="1"/>
          <w:wAfter w:w="136" w:type="dxa"/>
          <w:trHeight w:val="352"/>
        </w:trPr>
        <w:tc>
          <w:tcPr>
            <w:tcW w:w="16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KE</w:t>
            </w:r>
            <w:r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gbg</w:t>
            </w:r>
            <w:r w:rsidRPr="007C7C54"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  <w:t>2268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DRC, </w:t>
            </w:r>
            <w:proofErr w:type="spellStart"/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Kasese</w:t>
            </w:r>
            <w:proofErr w:type="spellEnd"/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12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F74A3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b. g.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unknown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7C7C54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2007</w:t>
            </w:r>
          </w:p>
        </w:tc>
        <w:tc>
          <w:tcPr>
            <w:tcW w:w="14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14B44" w:rsidRPr="007C7C54" w:rsidRDefault="00F14B44" w:rsidP="00533C28">
            <w:pPr>
              <w:spacing w:after="12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17187</w:t>
            </w:r>
          </w:p>
        </w:tc>
      </w:tr>
      <w:tr w:rsidR="00F14B44" w:rsidRPr="007C7C54" w:rsidTr="00533C28">
        <w:trPr>
          <w:gridAfter w:val="1"/>
          <w:wAfter w:w="136" w:type="dxa"/>
          <w:trHeight w:val="48"/>
        </w:trPr>
        <w:tc>
          <w:tcPr>
            <w:tcW w:w="166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0" w:line="240" w:lineRule="auto"/>
              <w:jc w:val="center"/>
              <w:rPr>
                <w:rFonts w:ascii="Adobe Caslon Pro" w:eastAsia="Times New Roman" w:hAnsi="Adobe Caslon Pro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7C7C54" w:rsidRDefault="00F14B44" w:rsidP="00533C28">
            <w:pPr>
              <w:spacing w:after="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F14B44" w:rsidRPr="00FF74A3" w:rsidRDefault="00F14B44" w:rsidP="00533C28">
            <w:pPr>
              <w:spacing w:after="0" w:line="240" w:lineRule="auto"/>
              <w:ind w:left="-317"/>
              <w:jc w:val="center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7C7C54" w:rsidRDefault="00F14B44" w:rsidP="00533C28">
            <w:pPr>
              <w:spacing w:after="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14B44" w:rsidRPr="007C7C54" w:rsidRDefault="00F14B44" w:rsidP="00533C28">
            <w:pPr>
              <w:spacing w:after="0" w:line="240" w:lineRule="auto"/>
              <w:jc w:val="center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</w:p>
        </w:tc>
      </w:tr>
      <w:tr w:rsidR="00F14B44" w:rsidRPr="007C7C54" w:rsidTr="00533C28">
        <w:trPr>
          <w:gridAfter w:val="2"/>
          <w:wAfter w:w="1487" w:type="dxa"/>
          <w:trHeight w:val="435"/>
        </w:trPr>
        <w:tc>
          <w:tcPr>
            <w:tcW w:w="88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40FD6" w:rsidRDefault="00F14B44" w:rsidP="00533C28">
            <w:pPr>
              <w:spacing w:after="120" w:line="240" w:lineRule="auto"/>
              <w:ind w:left="174" w:hanging="180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proofErr w:type="spellStart"/>
            <w:r w:rsidRPr="00F40FD6">
              <w:rPr>
                <w:rFonts w:ascii="Adobe Caslon Pro" w:eastAsia="Times New Roman" w:hAnsi="Adobe Caslon Pro" w:cs="Times New Roman"/>
                <w:color w:val="000000"/>
                <w:sz w:val="28"/>
                <w:szCs w:val="28"/>
                <w:vertAlign w:val="superscript"/>
              </w:rPr>
              <w:t>a</w:t>
            </w:r>
            <w:proofErr w:type="spellEnd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Each numbered superscript (1 </w:t>
            </w:r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softHyphen/>
            </w: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through</w:t>
            </w:r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6) designates an individual from which multiple samples were analyzed.  For chimpanzees from </w:t>
            </w:r>
            <w:proofErr w:type="spellStart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Gombe</w:t>
            </w:r>
            <w:proofErr w:type="spellEnd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, Tanzania (</w:t>
            </w:r>
            <w:proofErr w:type="spellStart"/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GMpts</w:t>
            </w:r>
            <w:proofErr w:type="spellEnd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samples), each sample comes from a unique individual, as confirmed by microsatellite analysis </w:t>
            </w:r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Keele</w:t>
            </w:r>
            <w:proofErr w:type="spellEnd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</w:t>
            </w:r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 xml:space="preserve">et al. </w:t>
            </w:r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2009). Remaining samples were typed to host species, but not to individuals. In the case of </w:t>
            </w:r>
            <w:r w:rsidRPr="00F40FD6">
              <w:rPr>
                <w:rFonts w:ascii="Adobe Caslon Pro" w:eastAsia="Times New Roman" w:hAnsi="Adobe Caslon Pro" w:cs="Times New Roman"/>
                <w:bCs/>
                <w:color w:val="000000"/>
                <w:sz w:val="24"/>
                <w:szCs w:val="24"/>
              </w:rPr>
              <w:t>WE</w:t>
            </w:r>
            <w:r>
              <w:rPr>
                <w:rFonts w:ascii="Adobe Caslon Pro" w:eastAsia="Times New Roman" w:hAnsi="Adobe Caslon Pro" w:cs="Times New Roman"/>
                <w:bCs/>
                <w:color w:val="000000"/>
                <w:sz w:val="24"/>
                <w:szCs w:val="24"/>
              </w:rPr>
              <w:t>pte</w:t>
            </w:r>
            <w:r w:rsidRPr="00F40FD6">
              <w:rPr>
                <w:rFonts w:ascii="Adobe Caslon Pro" w:eastAsia="Times New Roman" w:hAnsi="Adobe Caslon Pro" w:cs="Times New Roman"/>
                <w:bCs/>
                <w:color w:val="000000"/>
                <w:sz w:val="24"/>
                <w:szCs w:val="24"/>
              </w:rPr>
              <w:t>464*</w:t>
            </w:r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, the sample was recovered in north of the </w:t>
            </w:r>
            <w:proofErr w:type="spellStart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Sanaga</w:t>
            </w:r>
            <w:proofErr w:type="spellEnd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River in Cameroon indicating its status as </w:t>
            </w:r>
            <w:r w:rsidRPr="00F50321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 xml:space="preserve">P. t. </w:t>
            </w:r>
            <w:proofErr w:type="spellStart"/>
            <w:r w:rsidRPr="00F50321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ellioti</w:t>
            </w:r>
            <w:proofErr w:type="spellEnd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; however, the host was typed as </w:t>
            </w:r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 troglodytes</w:t>
            </w:r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based on </w:t>
            </w:r>
            <w:proofErr w:type="spellStart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mtDNA</w:t>
            </w:r>
            <w:proofErr w:type="spellEnd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. </w:t>
            </w:r>
          </w:p>
          <w:p w:rsidR="00F14B44" w:rsidRPr="00F40FD6" w:rsidRDefault="00F14B44" w:rsidP="00533C28">
            <w:pPr>
              <w:spacing w:after="120" w:line="240" w:lineRule="auto"/>
              <w:ind w:left="174" w:hanging="180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F40FD6">
              <w:rPr>
                <w:rFonts w:ascii="Adobe Caslon Pro" w:eastAsia="Times New Roman" w:hAnsi="Adobe Caslon Pro" w:cs="Times New Roman"/>
                <w:color w:val="000000"/>
                <w:sz w:val="28"/>
                <w:szCs w:val="28"/>
                <w:vertAlign w:val="superscript"/>
              </w:rPr>
              <w:t>b</w:t>
            </w:r>
            <w:r w:rsidRPr="00F40FD6">
              <w:rPr>
                <w:rFonts w:ascii="Adobe Caslon Pro" w:eastAsia="Times New Roman" w:hAnsi="Adobe Caslon Pro" w:cs="Times New Roman"/>
                <w:color w:val="000000"/>
                <w:sz w:val="28"/>
                <w:szCs w:val="28"/>
              </w:rPr>
              <w:t xml:space="preserve"> </w:t>
            </w:r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Designations indicate country </w:t>
            </w:r>
            <w:r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of origin, followed by field site</w:t>
            </w:r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.</w:t>
            </w:r>
          </w:p>
          <w:p w:rsidR="00F14B44" w:rsidRPr="00F40FD6" w:rsidRDefault="00F14B44" w:rsidP="00533C28">
            <w:pPr>
              <w:spacing w:after="120" w:line="240" w:lineRule="auto"/>
              <w:ind w:left="174" w:hanging="180"/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</w:pPr>
            <w:r w:rsidRPr="00F40FD6">
              <w:rPr>
                <w:rFonts w:ascii="Adobe Caslon Pro" w:eastAsia="Times New Roman" w:hAnsi="Adobe Caslon Pro" w:cs="Times New Roman"/>
                <w:color w:val="000000"/>
                <w:sz w:val="28"/>
                <w:szCs w:val="28"/>
                <w:vertAlign w:val="superscript"/>
              </w:rPr>
              <w:t>c</w:t>
            </w:r>
            <w:r w:rsidRPr="00F40FD6">
              <w:rPr>
                <w:rFonts w:ascii="Adobe Caslon Pro" w:eastAsia="Times New Roman" w:hAnsi="Adobe Caslon Pro" w:cs="Times New Roman"/>
                <w:color w:val="000000"/>
                <w:sz w:val="28"/>
                <w:szCs w:val="28"/>
              </w:rPr>
              <w:t xml:space="preserve"> </w:t>
            </w:r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Species/subspecies designations are as follows: </w:t>
            </w:r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 xml:space="preserve">P. t. s., Pan troglodytes </w:t>
            </w:r>
            <w:proofErr w:type="spellStart"/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schweinfurthii</w:t>
            </w:r>
            <w:proofErr w:type="spellEnd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; </w:t>
            </w:r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P. t.</w:t>
            </w:r>
            <w:r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t</w:t>
            </w:r>
            <w:r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.</w:t>
            </w:r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, </w:t>
            </w:r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 xml:space="preserve">Pan troglodytes </w:t>
            </w:r>
            <w:proofErr w:type="spellStart"/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troglodytes</w:t>
            </w:r>
            <w:proofErr w:type="spellEnd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; </w:t>
            </w:r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 xml:space="preserve">P. t. e., Pan troglodytes </w:t>
            </w:r>
            <w:proofErr w:type="spellStart"/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ellioti</w:t>
            </w:r>
            <w:proofErr w:type="spellEnd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; </w:t>
            </w:r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G. g. g.</w:t>
            </w:r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, </w:t>
            </w:r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 xml:space="preserve">Gorilla </w:t>
            </w:r>
            <w:proofErr w:type="spellStart"/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gorilla</w:t>
            </w:r>
            <w:proofErr w:type="spellEnd"/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gorilla</w:t>
            </w:r>
            <w:proofErr w:type="spellEnd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; </w:t>
            </w:r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 xml:space="preserve">G. b. g., Gorilla </w:t>
            </w:r>
            <w:proofErr w:type="spellStart"/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beringei</w:t>
            </w:r>
            <w:proofErr w:type="spellEnd"/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graueri</w:t>
            </w:r>
            <w:proofErr w:type="spellEnd"/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.</w:t>
            </w:r>
          </w:p>
          <w:p w:rsidR="00F14B44" w:rsidRPr="00F40FD6" w:rsidRDefault="00F14B44" w:rsidP="00533C28">
            <w:pPr>
              <w:spacing w:after="120" w:line="240" w:lineRule="auto"/>
              <w:ind w:left="174" w:hanging="180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  <w:r w:rsidRPr="00F40FD6">
              <w:rPr>
                <w:rFonts w:ascii="Adobe Caslon Pro" w:eastAsia="Times New Roman" w:hAnsi="Adobe Caslon Pro" w:cs="Times New Roman"/>
                <w:color w:val="000000"/>
                <w:sz w:val="28"/>
                <w:szCs w:val="28"/>
                <w:vertAlign w:val="superscript"/>
              </w:rPr>
              <w:t>d</w:t>
            </w:r>
            <w:r w:rsidRPr="00F40FD6">
              <w:rPr>
                <w:rFonts w:ascii="Adobe Caslon Pro" w:eastAsia="Times New Roman" w:hAnsi="Adobe Caslon Pro" w:cs="Times New Roman"/>
                <w:color w:val="000000"/>
                <w:sz w:val="28"/>
                <w:szCs w:val="28"/>
              </w:rPr>
              <w:t xml:space="preserve"> </w:t>
            </w:r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Gender determined by field observation or presence/absence of a Y-chromosome marker (</w:t>
            </w:r>
            <w:proofErr w:type="spellStart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>Keele</w:t>
            </w:r>
            <w:proofErr w:type="spellEnd"/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</w:t>
            </w:r>
            <w:r w:rsidRPr="00F40FD6">
              <w:rPr>
                <w:rFonts w:ascii="Adobe Caslon Pro" w:eastAsia="Times New Roman" w:hAnsi="Adobe Caslon Pro" w:cs="Times New Roman"/>
                <w:i/>
                <w:color w:val="000000"/>
                <w:sz w:val="24"/>
                <w:szCs w:val="24"/>
              </w:rPr>
              <w:t>et al.</w:t>
            </w:r>
            <w:r w:rsidRPr="00F40FD6"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  <w:t xml:space="preserve"> 2009). </w:t>
            </w:r>
          </w:p>
        </w:tc>
      </w:tr>
      <w:tr w:rsidR="00F14B44" w:rsidRPr="007C7C54" w:rsidTr="00533C28">
        <w:trPr>
          <w:trHeight w:val="435"/>
        </w:trPr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</w:tcPr>
          <w:p w:rsidR="00F14B44" w:rsidRPr="00F40FD6" w:rsidRDefault="00F14B44" w:rsidP="00533C28">
            <w:pPr>
              <w:spacing w:after="0" w:line="240" w:lineRule="auto"/>
              <w:ind w:left="174" w:hanging="180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</w:p>
        </w:tc>
        <w:tc>
          <w:tcPr>
            <w:tcW w:w="88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14B44" w:rsidRPr="00F40FD6" w:rsidRDefault="00F14B44" w:rsidP="00533C28">
            <w:pPr>
              <w:spacing w:after="0" w:line="240" w:lineRule="auto"/>
              <w:ind w:left="174" w:hanging="180"/>
              <w:rPr>
                <w:rFonts w:ascii="Adobe Caslon Pro" w:eastAsia="Times New Roman" w:hAnsi="Adobe Caslon Pro" w:cs="Times New Roman"/>
                <w:color w:val="000000"/>
                <w:sz w:val="24"/>
                <w:szCs w:val="24"/>
              </w:rPr>
            </w:pPr>
          </w:p>
        </w:tc>
      </w:tr>
    </w:tbl>
    <w:p w:rsidR="00F14B44" w:rsidRPr="00F40FD6" w:rsidRDefault="00F14B44" w:rsidP="00F14B44">
      <w:pPr>
        <w:rPr>
          <w:rFonts w:ascii="Adobe Caslon Pro" w:hAnsi="Adobe Caslon Pro"/>
        </w:rPr>
      </w:pPr>
    </w:p>
    <w:p w:rsidR="00F14B44" w:rsidRPr="0035538E" w:rsidRDefault="00F14B44" w:rsidP="00F14B44">
      <w:pPr>
        <w:rPr>
          <w:rFonts w:ascii="Adobe Caslon Pro" w:hAnsi="Adobe Caslon Pro"/>
          <w:b/>
        </w:rPr>
      </w:pPr>
    </w:p>
    <w:p w:rsidR="00F14B44" w:rsidRPr="00F40FD6" w:rsidRDefault="00F14B44" w:rsidP="00F14B44">
      <w:pPr>
        <w:ind w:left="540" w:hanging="540"/>
        <w:rPr>
          <w:rFonts w:ascii="Adobe Caslon Pro" w:hAnsi="Adobe Caslon Pro"/>
          <w:b/>
          <w:sz w:val="24"/>
        </w:rPr>
      </w:pPr>
      <w:r w:rsidRPr="00F40FD6">
        <w:rPr>
          <w:rFonts w:ascii="Adobe Caslon Pro" w:hAnsi="Adobe Caslon Pro"/>
          <w:b/>
          <w:sz w:val="24"/>
        </w:rPr>
        <w:t>References</w:t>
      </w:r>
    </w:p>
    <w:p w:rsidR="00F14B44" w:rsidRDefault="00F14B44" w:rsidP="00F14B44">
      <w:pPr>
        <w:ind w:left="540" w:hanging="540"/>
        <w:rPr>
          <w:rFonts w:ascii="Adobe Caslon Pro" w:hAnsi="Adobe Caslon Pro"/>
          <w:sz w:val="24"/>
        </w:rPr>
      </w:pPr>
      <w:r w:rsidRPr="00F40FD6">
        <w:rPr>
          <w:rFonts w:ascii="Adobe Caslon Pro" w:hAnsi="Adobe Caslon Pro"/>
          <w:sz w:val="24"/>
        </w:rPr>
        <w:t xml:space="preserve">1. </w:t>
      </w:r>
      <w:proofErr w:type="spellStart"/>
      <w:r w:rsidRPr="00F40FD6">
        <w:rPr>
          <w:rFonts w:ascii="Adobe Caslon Pro" w:hAnsi="Adobe Caslon Pro"/>
          <w:sz w:val="24"/>
        </w:rPr>
        <w:t>Keele</w:t>
      </w:r>
      <w:proofErr w:type="spellEnd"/>
      <w:r w:rsidRPr="00F40FD6">
        <w:rPr>
          <w:rFonts w:ascii="Adobe Caslon Pro" w:hAnsi="Adobe Caslon Pro"/>
          <w:sz w:val="24"/>
        </w:rPr>
        <w:t xml:space="preserve">, B. F., Jones, J. H., </w:t>
      </w:r>
      <w:proofErr w:type="spellStart"/>
      <w:r w:rsidRPr="00F40FD6">
        <w:rPr>
          <w:rFonts w:ascii="Adobe Caslon Pro" w:hAnsi="Adobe Caslon Pro"/>
          <w:sz w:val="24"/>
        </w:rPr>
        <w:t>Terio</w:t>
      </w:r>
      <w:proofErr w:type="spellEnd"/>
      <w:r w:rsidRPr="00F40FD6">
        <w:rPr>
          <w:rFonts w:ascii="Adobe Caslon Pro" w:hAnsi="Adobe Caslon Pro"/>
          <w:sz w:val="24"/>
        </w:rPr>
        <w:t>, K. A.,</w:t>
      </w:r>
      <w:r>
        <w:rPr>
          <w:rFonts w:ascii="Adobe Caslon Pro" w:hAnsi="Adobe Caslon Pro"/>
          <w:sz w:val="24"/>
        </w:rPr>
        <w:t xml:space="preserve"> Esters, J. D., </w:t>
      </w:r>
      <w:proofErr w:type="spellStart"/>
      <w:r>
        <w:rPr>
          <w:rFonts w:ascii="Adobe Caslon Pro" w:hAnsi="Adobe Caslon Pro"/>
          <w:sz w:val="24"/>
        </w:rPr>
        <w:t>Rudicell</w:t>
      </w:r>
      <w:proofErr w:type="spellEnd"/>
      <w:r>
        <w:rPr>
          <w:rFonts w:ascii="Adobe Caslon Pro" w:hAnsi="Adobe Caslon Pro"/>
          <w:sz w:val="24"/>
        </w:rPr>
        <w:t>, R. S., et al. (2009)</w:t>
      </w:r>
      <w:r w:rsidRPr="00F40FD6">
        <w:rPr>
          <w:rFonts w:ascii="Adobe Caslon Pro" w:hAnsi="Adobe Caslon Pro"/>
          <w:sz w:val="24"/>
        </w:rPr>
        <w:t xml:space="preserve"> Increased mortality and AIDS-like </w:t>
      </w:r>
      <w:proofErr w:type="spellStart"/>
      <w:r w:rsidRPr="00F40FD6">
        <w:rPr>
          <w:rFonts w:ascii="Adobe Caslon Pro" w:hAnsi="Adobe Caslon Pro"/>
          <w:sz w:val="24"/>
        </w:rPr>
        <w:t>imm</w:t>
      </w:r>
      <w:r>
        <w:rPr>
          <w:rFonts w:ascii="Adobe Caslon Pro" w:hAnsi="Adobe Caslon Pro"/>
          <w:sz w:val="24"/>
        </w:rPr>
        <w:t>u</w:t>
      </w:r>
      <w:r w:rsidRPr="00F40FD6">
        <w:rPr>
          <w:rFonts w:ascii="Adobe Caslon Pro" w:hAnsi="Adobe Caslon Pro"/>
          <w:sz w:val="24"/>
        </w:rPr>
        <w:t>nopathology</w:t>
      </w:r>
      <w:proofErr w:type="spellEnd"/>
      <w:r w:rsidRPr="00F40FD6">
        <w:rPr>
          <w:rFonts w:ascii="Adobe Caslon Pro" w:hAnsi="Adobe Caslon Pro"/>
          <w:sz w:val="24"/>
        </w:rPr>
        <w:t xml:space="preserve"> in wild chimpanzees infected with </w:t>
      </w:r>
      <w:proofErr w:type="spellStart"/>
      <w:r w:rsidRPr="00F40FD6">
        <w:rPr>
          <w:rFonts w:ascii="Adobe Caslon Pro" w:hAnsi="Adobe Caslon Pro"/>
          <w:sz w:val="24"/>
        </w:rPr>
        <w:t>SIVcpz</w:t>
      </w:r>
      <w:proofErr w:type="spellEnd"/>
      <w:r w:rsidRPr="00F40FD6">
        <w:rPr>
          <w:rFonts w:ascii="Adobe Caslon Pro" w:hAnsi="Adobe Caslon Pro"/>
          <w:sz w:val="24"/>
        </w:rPr>
        <w:t xml:space="preserve">. Nature </w:t>
      </w:r>
      <w:r w:rsidRPr="000F7099">
        <w:rPr>
          <w:rFonts w:ascii="Adobe Caslon Pro" w:hAnsi="Adobe Caslon Pro"/>
          <w:sz w:val="24"/>
        </w:rPr>
        <w:t>460</w:t>
      </w:r>
      <w:r>
        <w:rPr>
          <w:rFonts w:ascii="Adobe Caslon Pro" w:hAnsi="Adobe Caslon Pro"/>
          <w:sz w:val="24"/>
        </w:rPr>
        <w:t>:</w:t>
      </w:r>
      <w:r w:rsidRPr="00F40FD6">
        <w:rPr>
          <w:rFonts w:ascii="Adobe Caslon Pro" w:hAnsi="Adobe Caslon Pro"/>
          <w:sz w:val="24"/>
        </w:rPr>
        <w:t xml:space="preserve"> 515-519.  </w:t>
      </w:r>
    </w:p>
    <w:p w:rsidR="00F14B44" w:rsidRPr="00F40FD6" w:rsidRDefault="00F14B44" w:rsidP="00F14B44">
      <w:pPr>
        <w:ind w:left="540" w:hanging="540"/>
        <w:rPr>
          <w:rFonts w:ascii="Adobe Caslon Pro" w:hAnsi="Adobe Caslon Pro"/>
          <w:sz w:val="24"/>
        </w:rPr>
      </w:pPr>
      <w:bookmarkStart w:id="0" w:name="_GoBack"/>
      <w:bookmarkEnd w:id="0"/>
    </w:p>
    <w:p w:rsidR="00655180" w:rsidRDefault="00F14B44"/>
    <w:sectPr w:rsidR="00655180" w:rsidSect="00061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dobe Caslon Pro">
    <w:panose1 w:val="0205050205050A020403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/>
  <w:defaultTabStop w:val="720"/>
  <w:characterSpacingControl w:val="doNotCompress"/>
  <w:compat/>
  <w:rsids>
    <w:rsidRoot w:val="00F14B44"/>
    <w:rsid w:val="005D4F57"/>
    <w:rsid w:val="006A257D"/>
    <w:rsid w:val="006E1800"/>
    <w:rsid w:val="00F14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879</Words>
  <Characters>5011</Characters>
  <Application>Microsoft Office Word</Application>
  <DocSecurity>0</DocSecurity>
  <Lines>41</Lines>
  <Paragraphs>11</Paragraphs>
  <ScaleCrop>false</ScaleCrop>
  <Company>Microsoft</Company>
  <LinksUpToDate>false</LinksUpToDate>
  <CharactersWithSpaces>5879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Moeller</dc:creator>
  <cp:lastModifiedBy>Andrew Moeller</cp:lastModifiedBy>
  <cp:revision>1</cp:revision>
  <dcterms:created xsi:type="dcterms:W3CDTF">2013-05-24T17:45:00Z</dcterms:created>
  <dcterms:modified xsi:type="dcterms:W3CDTF">2013-05-24T17:45:00Z</dcterms:modified>
</cp:coreProperties>
</file>