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10034" w14:textId="77777777" w:rsidR="008566D3" w:rsidRDefault="005127EC" w:rsidP="00D63EDA">
      <w:pPr>
        <w:pStyle w:val="Heading1"/>
      </w:pPr>
      <w:bookmarkStart w:id="0" w:name="_Toc206060114"/>
      <w:bookmarkStart w:id="1" w:name="_Toc206060910"/>
      <w:bookmarkStart w:id="2" w:name="_Toc206151600"/>
      <w:bookmarkStart w:id="3" w:name="_Toc210982960"/>
      <w:bookmarkStart w:id="4" w:name="_Toc211282946"/>
      <w:bookmarkStart w:id="5" w:name="_Toc214442404"/>
      <w:bookmarkStart w:id="6" w:name="_Toc214967460"/>
      <w:bookmarkStart w:id="7" w:name="_Toc214970887"/>
      <w:bookmarkStart w:id="8" w:name="_Toc217045499"/>
      <w:bookmarkStart w:id="9" w:name="_Toc219534411"/>
      <w:bookmarkStart w:id="10" w:name="_Toc219534493"/>
      <w:bookmarkStart w:id="11" w:name="_Toc232440780"/>
      <w:bookmarkStart w:id="12" w:name="_Toc232704448"/>
      <w:bookmarkStart w:id="13" w:name="_Toc232777573"/>
      <w:r w:rsidRPr="009C656B">
        <w:t>Supplementary Material</w:t>
      </w:r>
      <w:bookmarkStart w:id="14" w:name="_Toc214442405"/>
      <w:bookmarkEnd w:id="0"/>
      <w:bookmarkEnd w:id="1"/>
      <w:bookmarkEnd w:id="2"/>
      <w:bookmarkEnd w:id="3"/>
      <w:bookmarkEnd w:id="4"/>
      <w:bookmarkEnd w:id="5"/>
      <w:bookmarkEnd w:id="6"/>
      <w:bookmarkEnd w:id="7"/>
      <w:bookmarkEnd w:id="8"/>
      <w:bookmarkEnd w:id="9"/>
      <w:bookmarkEnd w:id="10"/>
      <w:bookmarkEnd w:id="11"/>
      <w:bookmarkEnd w:id="12"/>
      <w:bookmarkEnd w:id="13"/>
    </w:p>
    <w:p w14:paraId="55F18915" w14:textId="77777777" w:rsidR="00B946B7" w:rsidRDefault="00862942">
      <w:pPr>
        <w:pStyle w:val="TOC1"/>
        <w:tabs>
          <w:tab w:val="right" w:leader="dot" w:pos="8630"/>
        </w:tabs>
        <w:rPr>
          <w:rFonts w:asciiTheme="minorHAnsi" w:eastAsiaTheme="minorEastAsia" w:hAnsiTheme="minorHAnsi" w:cstheme="minorBidi"/>
          <w:noProof/>
          <w:lang w:eastAsia="ja-JP"/>
        </w:rPr>
      </w:pPr>
      <w:r>
        <w:fldChar w:fldCharType="begin"/>
      </w:r>
      <w:r w:rsidR="00B946B7">
        <w:instrText xml:space="preserve"> TOC \o "1-3" </w:instrText>
      </w:r>
      <w:r>
        <w:fldChar w:fldCharType="separate"/>
      </w:r>
      <w:r w:rsidR="00B946B7" w:rsidRPr="000D55C1">
        <w:rPr>
          <w:i/>
          <w:noProof/>
        </w:rPr>
        <w:t>F</w:t>
      </w:r>
      <w:r w:rsidR="00B946B7" w:rsidRPr="000D55C1">
        <w:rPr>
          <w:noProof/>
          <w:vertAlign w:val="subscript"/>
        </w:rPr>
        <w:t xml:space="preserve">ST </w:t>
      </w:r>
      <w:r w:rsidR="00B946B7">
        <w:rPr>
          <w:noProof/>
        </w:rPr>
        <w:t>Definitions In the Literature</w:t>
      </w:r>
      <w:r w:rsidR="00B946B7">
        <w:rPr>
          <w:noProof/>
        </w:rPr>
        <w:tab/>
      </w:r>
      <w:r>
        <w:rPr>
          <w:noProof/>
        </w:rPr>
        <w:fldChar w:fldCharType="begin"/>
      </w:r>
      <w:r w:rsidR="00B946B7">
        <w:rPr>
          <w:noProof/>
        </w:rPr>
        <w:instrText xml:space="preserve"> PAGEREF _Toc232777574 \h </w:instrText>
      </w:r>
      <w:r>
        <w:rPr>
          <w:noProof/>
        </w:rPr>
      </w:r>
      <w:r>
        <w:rPr>
          <w:noProof/>
        </w:rPr>
        <w:fldChar w:fldCharType="separate"/>
      </w:r>
      <w:r w:rsidR="00B946B7">
        <w:rPr>
          <w:noProof/>
        </w:rPr>
        <w:t>1</w:t>
      </w:r>
      <w:r>
        <w:rPr>
          <w:noProof/>
        </w:rPr>
        <w:fldChar w:fldCharType="end"/>
      </w:r>
    </w:p>
    <w:p w14:paraId="2E24BB54"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Use of the WC Estimator in Studies of Selection</w:t>
      </w:r>
      <w:r>
        <w:rPr>
          <w:noProof/>
        </w:rPr>
        <w:tab/>
      </w:r>
      <w:r w:rsidR="00862942">
        <w:rPr>
          <w:noProof/>
        </w:rPr>
        <w:fldChar w:fldCharType="begin"/>
      </w:r>
      <w:r>
        <w:rPr>
          <w:noProof/>
        </w:rPr>
        <w:instrText xml:space="preserve"> PAGEREF _Toc232777575 \h </w:instrText>
      </w:r>
      <w:r w:rsidR="00862942">
        <w:rPr>
          <w:noProof/>
        </w:rPr>
      </w:r>
      <w:r w:rsidR="00862942">
        <w:rPr>
          <w:noProof/>
        </w:rPr>
        <w:fldChar w:fldCharType="separate"/>
      </w:r>
      <w:r>
        <w:rPr>
          <w:noProof/>
        </w:rPr>
        <w:t>2</w:t>
      </w:r>
      <w:r w:rsidR="00862942">
        <w:rPr>
          <w:noProof/>
        </w:rPr>
        <w:fldChar w:fldCharType="end"/>
      </w:r>
    </w:p>
    <w:p w14:paraId="5233510B"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Derivation of Hudson Estimator</w:t>
      </w:r>
      <w:r>
        <w:rPr>
          <w:noProof/>
        </w:rPr>
        <w:tab/>
      </w:r>
      <w:r w:rsidR="00862942">
        <w:rPr>
          <w:noProof/>
        </w:rPr>
        <w:fldChar w:fldCharType="begin"/>
      </w:r>
      <w:r>
        <w:rPr>
          <w:noProof/>
        </w:rPr>
        <w:instrText xml:space="preserve"> PAGEREF _Toc232777576 \h </w:instrText>
      </w:r>
      <w:r w:rsidR="00862942">
        <w:rPr>
          <w:noProof/>
        </w:rPr>
      </w:r>
      <w:r w:rsidR="00862942">
        <w:rPr>
          <w:noProof/>
        </w:rPr>
        <w:fldChar w:fldCharType="separate"/>
      </w:r>
      <w:r>
        <w:rPr>
          <w:noProof/>
        </w:rPr>
        <w:t>4</w:t>
      </w:r>
      <w:r w:rsidR="00862942">
        <w:rPr>
          <w:noProof/>
        </w:rPr>
        <w:fldChar w:fldCharType="end"/>
      </w:r>
    </w:p>
    <w:p w14:paraId="15B8F06F"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Single SNP Estimators – Coalescent Simulations</w:t>
      </w:r>
      <w:r>
        <w:rPr>
          <w:noProof/>
        </w:rPr>
        <w:tab/>
      </w:r>
      <w:r w:rsidR="00862942">
        <w:rPr>
          <w:noProof/>
        </w:rPr>
        <w:fldChar w:fldCharType="begin"/>
      </w:r>
      <w:r>
        <w:rPr>
          <w:noProof/>
        </w:rPr>
        <w:instrText xml:space="preserve"> PAGEREF _Toc232777577 \h </w:instrText>
      </w:r>
      <w:r w:rsidR="00862942">
        <w:rPr>
          <w:noProof/>
        </w:rPr>
      </w:r>
      <w:r w:rsidR="00862942">
        <w:rPr>
          <w:noProof/>
        </w:rPr>
        <w:fldChar w:fldCharType="separate"/>
      </w:r>
      <w:r>
        <w:rPr>
          <w:noProof/>
        </w:rPr>
        <w:t>6</w:t>
      </w:r>
      <w:r w:rsidR="00862942">
        <w:rPr>
          <w:noProof/>
        </w:rPr>
        <w:fldChar w:fldCharType="end"/>
      </w:r>
    </w:p>
    <w:p w14:paraId="72EC9934"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Combining Estimates Across SNPs – Coalescent Simulations</w:t>
      </w:r>
      <w:r>
        <w:rPr>
          <w:noProof/>
        </w:rPr>
        <w:tab/>
      </w:r>
      <w:r w:rsidR="00862942">
        <w:rPr>
          <w:noProof/>
        </w:rPr>
        <w:fldChar w:fldCharType="begin"/>
      </w:r>
      <w:r>
        <w:rPr>
          <w:noProof/>
        </w:rPr>
        <w:instrText xml:space="preserve"> PAGEREF _Toc232777578 \h </w:instrText>
      </w:r>
      <w:r w:rsidR="00862942">
        <w:rPr>
          <w:noProof/>
        </w:rPr>
      </w:r>
      <w:r w:rsidR="00862942">
        <w:rPr>
          <w:noProof/>
        </w:rPr>
        <w:fldChar w:fldCharType="separate"/>
      </w:r>
      <w:r>
        <w:rPr>
          <w:noProof/>
        </w:rPr>
        <w:t>7</w:t>
      </w:r>
      <w:r w:rsidR="00862942">
        <w:rPr>
          <w:noProof/>
        </w:rPr>
        <w:fldChar w:fldCharType="end"/>
      </w:r>
    </w:p>
    <w:p w14:paraId="79BE59A5"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Relationship to Divergence Time</w:t>
      </w:r>
      <w:r>
        <w:rPr>
          <w:noProof/>
        </w:rPr>
        <w:tab/>
      </w:r>
      <w:r w:rsidR="00862942">
        <w:rPr>
          <w:noProof/>
        </w:rPr>
        <w:fldChar w:fldCharType="begin"/>
      </w:r>
      <w:r>
        <w:rPr>
          <w:noProof/>
        </w:rPr>
        <w:instrText xml:space="preserve"> PAGEREF _Toc232777579 \h </w:instrText>
      </w:r>
      <w:r w:rsidR="00862942">
        <w:rPr>
          <w:noProof/>
        </w:rPr>
      </w:r>
      <w:r w:rsidR="00862942">
        <w:rPr>
          <w:noProof/>
        </w:rPr>
        <w:fldChar w:fldCharType="separate"/>
      </w:r>
      <w:r>
        <w:rPr>
          <w:noProof/>
        </w:rPr>
        <w:t>8</w:t>
      </w:r>
      <w:r w:rsidR="00862942">
        <w:rPr>
          <w:noProof/>
        </w:rPr>
        <w:fldChar w:fldCharType="end"/>
      </w:r>
    </w:p>
    <w:p w14:paraId="16821597"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Dependence on the Set of SNPs Analyzed – Coalescent Simulations</w:t>
      </w:r>
      <w:r>
        <w:rPr>
          <w:noProof/>
        </w:rPr>
        <w:tab/>
      </w:r>
      <w:r w:rsidR="00862942">
        <w:rPr>
          <w:noProof/>
        </w:rPr>
        <w:fldChar w:fldCharType="begin"/>
      </w:r>
      <w:r>
        <w:rPr>
          <w:noProof/>
        </w:rPr>
        <w:instrText xml:space="preserve"> PAGEREF _Toc232777580 \h </w:instrText>
      </w:r>
      <w:r w:rsidR="00862942">
        <w:rPr>
          <w:noProof/>
        </w:rPr>
      </w:r>
      <w:r w:rsidR="00862942">
        <w:rPr>
          <w:noProof/>
        </w:rPr>
        <w:fldChar w:fldCharType="separate"/>
      </w:r>
      <w:r>
        <w:rPr>
          <w:noProof/>
        </w:rPr>
        <w:t>9</w:t>
      </w:r>
      <w:r w:rsidR="00862942">
        <w:rPr>
          <w:noProof/>
        </w:rPr>
        <w:fldChar w:fldCharType="end"/>
      </w:r>
    </w:p>
    <w:p w14:paraId="17830512"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Moment-based Estimator of Weir and Hill 2002 (WH)</w:t>
      </w:r>
      <w:r>
        <w:rPr>
          <w:noProof/>
        </w:rPr>
        <w:tab/>
      </w:r>
      <w:r w:rsidR="00862942">
        <w:rPr>
          <w:noProof/>
        </w:rPr>
        <w:fldChar w:fldCharType="begin"/>
      </w:r>
      <w:r>
        <w:rPr>
          <w:noProof/>
        </w:rPr>
        <w:instrText xml:space="preserve"> PAGEREF _Toc232777581 \h </w:instrText>
      </w:r>
      <w:r w:rsidR="00862942">
        <w:rPr>
          <w:noProof/>
        </w:rPr>
      </w:r>
      <w:r w:rsidR="00862942">
        <w:rPr>
          <w:noProof/>
        </w:rPr>
        <w:fldChar w:fldCharType="separate"/>
      </w:r>
      <w:r>
        <w:rPr>
          <w:noProof/>
        </w:rPr>
        <w:t>11</w:t>
      </w:r>
      <w:r w:rsidR="00862942">
        <w:rPr>
          <w:noProof/>
        </w:rPr>
        <w:fldChar w:fldCharType="end"/>
      </w:r>
    </w:p>
    <w:p w14:paraId="18663465"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Maximum-likelihood Estimator of Weir and Hill 2002 (WH-ML)</w:t>
      </w:r>
      <w:r>
        <w:rPr>
          <w:noProof/>
        </w:rPr>
        <w:tab/>
      </w:r>
      <w:r w:rsidR="00862942">
        <w:rPr>
          <w:noProof/>
        </w:rPr>
        <w:fldChar w:fldCharType="begin"/>
      </w:r>
      <w:r>
        <w:rPr>
          <w:noProof/>
        </w:rPr>
        <w:instrText xml:space="preserve"> PAGEREF _Toc232777582 \h </w:instrText>
      </w:r>
      <w:r w:rsidR="00862942">
        <w:rPr>
          <w:noProof/>
        </w:rPr>
      </w:r>
      <w:r w:rsidR="00862942">
        <w:rPr>
          <w:noProof/>
        </w:rPr>
        <w:fldChar w:fldCharType="separate"/>
      </w:r>
      <w:r>
        <w:rPr>
          <w:noProof/>
        </w:rPr>
        <w:t>11</w:t>
      </w:r>
      <w:r w:rsidR="00862942">
        <w:rPr>
          <w:noProof/>
        </w:rPr>
        <w:fldChar w:fldCharType="end"/>
      </w:r>
    </w:p>
    <w:p w14:paraId="23F4CAA7"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Beta-Binomial Maximum-Likelihood Estimators (Balding)</w:t>
      </w:r>
      <w:r>
        <w:rPr>
          <w:noProof/>
        </w:rPr>
        <w:tab/>
      </w:r>
      <w:r w:rsidR="00862942">
        <w:rPr>
          <w:noProof/>
        </w:rPr>
        <w:fldChar w:fldCharType="begin"/>
      </w:r>
      <w:r>
        <w:rPr>
          <w:noProof/>
        </w:rPr>
        <w:instrText xml:space="preserve"> PAGEREF _Toc232777583 \h </w:instrText>
      </w:r>
      <w:r w:rsidR="00862942">
        <w:rPr>
          <w:noProof/>
        </w:rPr>
      </w:r>
      <w:r w:rsidR="00862942">
        <w:rPr>
          <w:noProof/>
        </w:rPr>
        <w:fldChar w:fldCharType="separate"/>
      </w:r>
      <w:r>
        <w:rPr>
          <w:noProof/>
        </w:rPr>
        <w:t>12</w:t>
      </w:r>
      <w:r w:rsidR="00862942">
        <w:rPr>
          <w:noProof/>
        </w:rPr>
        <w:fldChar w:fldCharType="end"/>
      </w:r>
    </w:p>
    <w:p w14:paraId="010F38D8"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Beta-Binomial MCMC Estimator (Holsinger)</w:t>
      </w:r>
      <w:r>
        <w:rPr>
          <w:noProof/>
        </w:rPr>
        <w:tab/>
      </w:r>
      <w:r w:rsidR="00862942">
        <w:rPr>
          <w:noProof/>
        </w:rPr>
        <w:fldChar w:fldCharType="begin"/>
      </w:r>
      <w:r>
        <w:rPr>
          <w:noProof/>
        </w:rPr>
        <w:instrText xml:space="preserve"> PAGEREF _Toc232777584 \h </w:instrText>
      </w:r>
      <w:r w:rsidR="00862942">
        <w:rPr>
          <w:noProof/>
        </w:rPr>
      </w:r>
      <w:r w:rsidR="00862942">
        <w:rPr>
          <w:noProof/>
        </w:rPr>
        <w:fldChar w:fldCharType="separate"/>
      </w:r>
      <w:r>
        <w:rPr>
          <w:noProof/>
        </w:rPr>
        <w:t>16</w:t>
      </w:r>
      <w:r w:rsidR="00862942">
        <w:rPr>
          <w:noProof/>
        </w:rPr>
        <w:fldChar w:fldCharType="end"/>
      </w:r>
    </w:p>
    <w:p w14:paraId="40047795"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Sampling Common SNPs from 1000 Genomes</w:t>
      </w:r>
      <w:r>
        <w:rPr>
          <w:noProof/>
        </w:rPr>
        <w:tab/>
      </w:r>
      <w:r w:rsidR="00862942">
        <w:rPr>
          <w:noProof/>
        </w:rPr>
        <w:fldChar w:fldCharType="begin"/>
      </w:r>
      <w:r>
        <w:rPr>
          <w:noProof/>
        </w:rPr>
        <w:instrText xml:space="preserve"> PAGEREF _Toc232777585 \h </w:instrText>
      </w:r>
      <w:r w:rsidR="00862942">
        <w:rPr>
          <w:noProof/>
        </w:rPr>
      </w:r>
      <w:r w:rsidR="00862942">
        <w:rPr>
          <w:noProof/>
        </w:rPr>
        <w:fldChar w:fldCharType="separate"/>
      </w:r>
      <w:r>
        <w:rPr>
          <w:noProof/>
        </w:rPr>
        <w:t>17</w:t>
      </w:r>
      <w:r w:rsidR="00862942">
        <w:rPr>
          <w:noProof/>
        </w:rPr>
        <w:fldChar w:fldCharType="end"/>
      </w:r>
    </w:p>
    <w:p w14:paraId="066C630E"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Weir and Cockerham’s </w:t>
      </w:r>
      <w:r w:rsidRPr="000D55C1">
        <w:rPr>
          <w:i/>
          <w:noProof/>
        </w:rPr>
        <w:t>F</w:t>
      </w:r>
      <w:r w:rsidRPr="000D55C1">
        <w:rPr>
          <w:noProof/>
          <w:vertAlign w:val="subscript"/>
        </w:rPr>
        <w:t>ST</w:t>
      </w:r>
      <w:r>
        <w:rPr>
          <w:noProof/>
        </w:rPr>
        <w:t xml:space="preserve"> (WC)</w:t>
      </w:r>
      <w:r>
        <w:rPr>
          <w:noProof/>
        </w:rPr>
        <w:tab/>
      </w:r>
      <w:r w:rsidR="00862942">
        <w:rPr>
          <w:noProof/>
        </w:rPr>
        <w:fldChar w:fldCharType="begin"/>
      </w:r>
      <w:r>
        <w:rPr>
          <w:noProof/>
        </w:rPr>
        <w:instrText xml:space="preserve"> PAGEREF _Toc232777586 \h </w:instrText>
      </w:r>
      <w:r w:rsidR="00862942">
        <w:rPr>
          <w:noProof/>
        </w:rPr>
      </w:r>
      <w:r w:rsidR="00862942">
        <w:rPr>
          <w:noProof/>
        </w:rPr>
        <w:fldChar w:fldCharType="separate"/>
      </w:r>
      <w:r>
        <w:rPr>
          <w:noProof/>
        </w:rPr>
        <w:t>18</w:t>
      </w:r>
      <w:r w:rsidR="00862942">
        <w:rPr>
          <w:noProof/>
        </w:rPr>
        <w:fldChar w:fldCharType="end"/>
      </w:r>
    </w:p>
    <w:p w14:paraId="0720B973"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Derivation of WC Quantity Being Estimated</w:t>
      </w:r>
      <w:r>
        <w:rPr>
          <w:noProof/>
        </w:rPr>
        <w:tab/>
      </w:r>
      <w:r w:rsidR="00862942">
        <w:rPr>
          <w:noProof/>
        </w:rPr>
        <w:fldChar w:fldCharType="begin"/>
      </w:r>
      <w:r>
        <w:rPr>
          <w:noProof/>
        </w:rPr>
        <w:instrText xml:space="preserve"> PAGEREF _Toc232777587 \h </w:instrText>
      </w:r>
      <w:r w:rsidR="00862942">
        <w:rPr>
          <w:noProof/>
        </w:rPr>
      </w:r>
      <w:r w:rsidR="00862942">
        <w:rPr>
          <w:noProof/>
        </w:rPr>
        <w:fldChar w:fldCharType="separate"/>
      </w:r>
      <w:r>
        <w:rPr>
          <w:noProof/>
        </w:rPr>
        <w:t>20</w:t>
      </w:r>
      <w:r w:rsidR="00862942">
        <w:rPr>
          <w:noProof/>
        </w:rPr>
        <w:fldChar w:fldCharType="end"/>
      </w:r>
    </w:p>
    <w:p w14:paraId="0D772E72"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Nei’s </w:t>
      </w:r>
      <w:r w:rsidRPr="000D55C1">
        <w:rPr>
          <w:i/>
          <w:noProof/>
        </w:rPr>
        <w:t>F</w:t>
      </w:r>
      <w:r w:rsidRPr="000D55C1">
        <w:rPr>
          <w:noProof/>
          <w:vertAlign w:val="subscript"/>
        </w:rPr>
        <w:t>ST</w:t>
      </w:r>
      <w:r>
        <w:rPr>
          <w:noProof/>
        </w:rPr>
        <w:tab/>
      </w:r>
      <w:r w:rsidR="00862942">
        <w:rPr>
          <w:noProof/>
        </w:rPr>
        <w:fldChar w:fldCharType="begin"/>
      </w:r>
      <w:r>
        <w:rPr>
          <w:noProof/>
        </w:rPr>
        <w:instrText xml:space="preserve"> PAGEREF _Toc232777588 \h </w:instrText>
      </w:r>
      <w:r w:rsidR="00862942">
        <w:rPr>
          <w:noProof/>
        </w:rPr>
      </w:r>
      <w:r w:rsidR="00862942">
        <w:rPr>
          <w:noProof/>
        </w:rPr>
        <w:fldChar w:fldCharType="separate"/>
      </w:r>
      <w:r>
        <w:rPr>
          <w:noProof/>
        </w:rPr>
        <w:t>21</w:t>
      </w:r>
      <w:r w:rsidR="00862942">
        <w:rPr>
          <w:noProof/>
        </w:rPr>
        <w:fldChar w:fldCharType="end"/>
      </w:r>
    </w:p>
    <w:p w14:paraId="303D91B3"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Hudson’s </w:t>
      </w:r>
      <w:r w:rsidRPr="000D55C1">
        <w:rPr>
          <w:i/>
          <w:noProof/>
        </w:rPr>
        <w:t>F</w:t>
      </w:r>
      <w:r w:rsidRPr="000D55C1">
        <w:rPr>
          <w:noProof/>
          <w:vertAlign w:val="subscript"/>
        </w:rPr>
        <w:t>ST</w:t>
      </w:r>
      <w:r>
        <w:rPr>
          <w:noProof/>
        </w:rPr>
        <w:tab/>
      </w:r>
      <w:r w:rsidR="00862942">
        <w:rPr>
          <w:noProof/>
        </w:rPr>
        <w:fldChar w:fldCharType="begin"/>
      </w:r>
      <w:r>
        <w:rPr>
          <w:noProof/>
        </w:rPr>
        <w:instrText xml:space="preserve"> PAGEREF _Toc232777589 \h </w:instrText>
      </w:r>
      <w:r w:rsidR="00862942">
        <w:rPr>
          <w:noProof/>
        </w:rPr>
      </w:r>
      <w:r w:rsidR="00862942">
        <w:rPr>
          <w:noProof/>
        </w:rPr>
        <w:fldChar w:fldCharType="separate"/>
      </w:r>
      <w:r>
        <w:rPr>
          <w:noProof/>
        </w:rPr>
        <w:t>23</w:t>
      </w:r>
      <w:r w:rsidR="00862942">
        <w:rPr>
          <w:noProof/>
        </w:rPr>
        <w:fldChar w:fldCharType="end"/>
      </w:r>
    </w:p>
    <w:p w14:paraId="450B420A"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Details of Coalescent Simulations</w:t>
      </w:r>
      <w:r>
        <w:rPr>
          <w:noProof/>
        </w:rPr>
        <w:tab/>
      </w:r>
      <w:r w:rsidR="00862942">
        <w:rPr>
          <w:noProof/>
        </w:rPr>
        <w:fldChar w:fldCharType="begin"/>
      </w:r>
      <w:r>
        <w:rPr>
          <w:noProof/>
        </w:rPr>
        <w:instrText xml:space="preserve"> PAGEREF _Toc232777590 \h </w:instrText>
      </w:r>
      <w:r w:rsidR="00862942">
        <w:rPr>
          <w:noProof/>
        </w:rPr>
      </w:r>
      <w:r w:rsidR="00862942">
        <w:rPr>
          <w:noProof/>
        </w:rPr>
        <w:fldChar w:fldCharType="separate"/>
      </w:r>
      <w:r>
        <w:rPr>
          <w:noProof/>
        </w:rPr>
        <w:t>24</w:t>
      </w:r>
      <w:r w:rsidR="00862942">
        <w:rPr>
          <w:noProof/>
        </w:rPr>
        <w:fldChar w:fldCharType="end"/>
      </w:r>
    </w:p>
    <w:p w14:paraId="5BF15472"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Simple Demographic Simulations</w:t>
      </w:r>
      <w:r>
        <w:rPr>
          <w:noProof/>
        </w:rPr>
        <w:tab/>
      </w:r>
      <w:r w:rsidR="00862942">
        <w:rPr>
          <w:noProof/>
        </w:rPr>
        <w:fldChar w:fldCharType="begin"/>
      </w:r>
      <w:r>
        <w:rPr>
          <w:noProof/>
        </w:rPr>
        <w:instrText xml:space="preserve"> PAGEREF _Toc232777591 \h </w:instrText>
      </w:r>
      <w:r w:rsidR="00862942">
        <w:rPr>
          <w:noProof/>
        </w:rPr>
      </w:r>
      <w:r w:rsidR="00862942">
        <w:rPr>
          <w:noProof/>
        </w:rPr>
        <w:fldChar w:fldCharType="separate"/>
      </w:r>
      <w:r>
        <w:rPr>
          <w:noProof/>
        </w:rPr>
        <w:t>25</w:t>
      </w:r>
      <w:r w:rsidR="00862942">
        <w:rPr>
          <w:noProof/>
        </w:rPr>
        <w:fldChar w:fldCharType="end"/>
      </w:r>
    </w:p>
    <w:p w14:paraId="544178F2"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Simulations Including Migration</w:t>
      </w:r>
      <w:r>
        <w:rPr>
          <w:noProof/>
        </w:rPr>
        <w:tab/>
      </w:r>
      <w:r w:rsidR="00862942">
        <w:rPr>
          <w:noProof/>
        </w:rPr>
        <w:fldChar w:fldCharType="begin"/>
      </w:r>
      <w:r>
        <w:rPr>
          <w:noProof/>
        </w:rPr>
        <w:instrText xml:space="preserve"> PAGEREF _Toc232777592 \h </w:instrText>
      </w:r>
      <w:r w:rsidR="00862942">
        <w:rPr>
          <w:noProof/>
        </w:rPr>
      </w:r>
      <w:r w:rsidR="00862942">
        <w:rPr>
          <w:noProof/>
        </w:rPr>
        <w:fldChar w:fldCharType="separate"/>
      </w:r>
      <w:r>
        <w:rPr>
          <w:noProof/>
        </w:rPr>
        <w:t>25</w:t>
      </w:r>
      <w:r w:rsidR="00862942">
        <w:rPr>
          <w:noProof/>
        </w:rPr>
        <w:fldChar w:fldCharType="end"/>
      </w:r>
    </w:p>
    <w:p w14:paraId="6EC9CC74"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Correspondence Between Nei’s Estimator and Wright’s </w:t>
      </w:r>
      <w:r w:rsidRPr="000D55C1">
        <w:rPr>
          <w:i/>
          <w:noProof/>
        </w:rPr>
        <w:t>F</w:t>
      </w:r>
      <w:r w:rsidRPr="000D55C1">
        <w:rPr>
          <w:noProof/>
          <w:vertAlign w:val="subscript"/>
        </w:rPr>
        <w:t>ST</w:t>
      </w:r>
      <w:r>
        <w:rPr>
          <w:noProof/>
        </w:rPr>
        <w:tab/>
      </w:r>
      <w:r w:rsidR="00862942">
        <w:rPr>
          <w:noProof/>
        </w:rPr>
        <w:fldChar w:fldCharType="begin"/>
      </w:r>
      <w:r>
        <w:rPr>
          <w:noProof/>
        </w:rPr>
        <w:instrText xml:space="preserve"> PAGEREF _Toc232777593 \h </w:instrText>
      </w:r>
      <w:r w:rsidR="00862942">
        <w:rPr>
          <w:noProof/>
        </w:rPr>
      </w:r>
      <w:r w:rsidR="00862942">
        <w:rPr>
          <w:noProof/>
        </w:rPr>
        <w:fldChar w:fldCharType="separate"/>
      </w:r>
      <w:r>
        <w:rPr>
          <w:noProof/>
        </w:rPr>
        <w:t>27</w:t>
      </w:r>
      <w:r w:rsidR="00862942">
        <w:rPr>
          <w:noProof/>
        </w:rPr>
        <w:fldChar w:fldCharType="end"/>
      </w:r>
    </w:p>
    <w:p w14:paraId="4EB57799"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Table S1. All 1000 Genomes Pairs</w:t>
      </w:r>
      <w:r>
        <w:rPr>
          <w:noProof/>
        </w:rPr>
        <w:tab/>
      </w:r>
      <w:r w:rsidR="00862942">
        <w:rPr>
          <w:noProof/>
        </w:rPr>
        <w:fldChar w:fldCharType="begin"/>
      </w:r>
      <w:r>
        <w:rPr>
          <w:noProof/>
        </w:rPr>
        <w:instrText xml:space="preserve"> PAGEREF _Toc232777594 \h </w:instrText>
      </w:r>
      <w:r w:rsidR="00862942">
        <w:rPr>
          <w:noProof/>
        </w:rPr>
      </w:r>
      <w:r w:rsidR="00862942">
        <w:rPr>
          <w:noProof/>
        </w:rPr>
        <w:fldChar w:fldCharType="separate"/>
      </w:r>
      <w:r>
        <w:rPr>
          <w:noProof/>
        </w:rPr>
        <w:t>28</w:t>
      </w:r>
      <w:r w:rsidR="00862942">
        <w:rPr>
          <w:noProof/>
        </w:rPr>
        <w:fldChar w:fldCharType="end"/>
      </w:r>
    </w:p>
    <w:p w14:paraId="22BA135B"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Table S2. Correspondence between Definitions and Estimators</w:t>
      </w:r>
      <w:r>
        <w:rPr>
          <w:noProof/>
        </w:rPr>
        <w:tab/>
      </w:r>
      <w:r w:rsidR="00862942">
        <w:rPr>
          <w:noProof/>
        </w:rPr>
        <w:fldChar w:fldCharType="begin"/>
      </w:r>
      <w:r>
        <w:rPr>
          <w:noProof/>
        </w:rPr>
        <w:instrText xml:space="preserve"> PAGEREF _Toc232777595 \h </w:instrText>
      </w:r>
      <w:r w:rsidR="00862942">
        <w:rPr>
          <w:noProof/>
        </w:rPr>
      </w:r>
      <w:r w:rsidR="00862942">
        <w:rPr>
          <w:noProof/>
        </w:rPr>
        <w:fldChar w:fldCharType="separate"/>
      </w:r>
      <w:r>
        <w:rPr>
          <w:noProof/>
        </w:rPr>
        <w:t>29</w:t>
      </w:r>
      <w:r w:rsidR="00862942">
        <w:rPr>
          <w:noProof/>
        </w:rPr>
        <w:fldChar w:fldCharType="end"/>
      </w:r>
    </w:p>
    <w:p w14:paraId="57855DAD"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Table S3. Estimating </w:t>
      </w:r>
      <w:r w:rsidRPr="000D55C1">
        <w:rPr>
          <w:i/>
          <w:noProof/>
        </w:rPr>
        <w:t>F</w:t>
      </w:r>
      <w:r w:rsidRPr="000D55C1">
        <w:rPr>
          <w:noProof/>
          <w:vertAlign w:val="subscript"/>
        </w:rPr>
        <w:t>ST</w:t>
      </w:r>
      <w:r>
        <w:rPr>
          <w:noProof/>
        </w:rPr>
        <w:t xml:space="preserve"> With Varying Sample Sizes</w:t>
      </w:r>
      <w:r>
        <w:rPr>
          <w:noProof/>
        </w:rPr>
        <w:tab/>
      </w:r>
      <w:r w:rsidR="00862942">
        <w:rPr>
          <w:noProof/>
        </w:rPr>
        <w:fldChar w:fldCharType="begin"/>
      </w:r>
      <w:r>
        <w:rPr>
          <w:noProof/>
        </w:rPr>
        <w:instrText xml:space="preserve"> PAGEREF _Toc232777596 \h </w:instrText>
      </w:r>
      <w:r w:rsidR="00862942">
        <w:rPr>
          <w:noProof/>
        </w:rPr>
      </w:r>
      <w:r w:rsidR="00862942">
        <w:rPr>
          <w:noProof/>
        </w:rPr>
        <w:fldChar w:fldCharType="separate"/>
      </w:r>
      <w:r>
        <w:rPr>
          <w:noProof/>
        </w:rPr>
        <w:t>31</w:t>
      </w:r>
      <w:r w:rsidR="00862942">
        <w:rPr>
          <w:noProof/>
        </w:rPr>
        <w:fldChar w:fldCharType="end"/>
      </w:r>
    </w:p>
    <w:p w14:paraId="3267AAF6"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 xml:space="preserve">Table S4. Effects of </w:t>
      </w:r>
      <w:r w:rsidRPr="000D55C1">
        <w:rPr>
          <w:i/>
          <w:noProof/>
        </w:rPr>
        <w:t>F</w:t>
      </w:r>
      <w:r w:rsidRPr="000D55C1">
        <w:rPr>
          <w:noProof/>
          <w:vertAlign w:val="subscript"/>
        </w:rPr>
        <w:t>ST</w:t>
      </w:r>
      <w:r>
        <w:rPr>
          <w:noProof/>
        </w:rPr>
        <w:t xml:space="preserve"> estimator in the case of very simple demography</w:t>
      </w:r>
      <w:r>
        <w:rPr>
          <w:noProof/>
        </w:rPr>
        <w:tab/>
      </w:r>
      <w:r w:rsidR="00862942">
        <w:rPr>
          <w:noProof/>
        </w:rPr>
        <w:fldChar w:fldCharType="begin"/>
      </w:r>
      <w:r>
        <w:rPr>
          <w:noProof/>
        </w:rPr>
        <w:instrText xml:space="preserve"> PAGEREF _Toc232777597 \h </w:instrText>
      </w:r>
      <w:r w:rsidR="00862942">
        <w:rPr>
          <w:noProof/>
        </w:rPr>
      </w:r>
      <w:r w:rsidR="00862942">
        <w:rPr>
          <w:noProof/>
        </w:rPr>
        <w:fldChar w:fldCharType="separate"/>
      </w:r>
      <w:r>
        <w:rPr>
          <w:noProof/>
        </w:rPr>
        <w:t>31</w:t>
      </w:r>
      <w:r w:rsidR="00862942">
        <w:rPr>
          <w:noProof/>
        </w:rPr>
        <w:fldChar w:fldCharType="end"/>
      </w:r>
    </w:p>
    <w:p w14:paraId="4E167589"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Table S5. Effects of averaging and ascertainment in the case of very simple demography</w:t>
      </w:r>
      <w:r>
        <w:rPr>
          <w:noProof/>
        </w:rPr>
        <w:tab/>
      </w:r>
      <w:r w:rsidR="00862942">
        <w:rPr>
          <w:noProof/>
        </w:rPr>
        <w:fldChar w:fldCharType="begin"/>
      </w:r>
      <w:r>
        <w:rPr>
          <w:noProof/>
        </w:rPr>
        <w:instrText xml:space="preserve"> PAGEREF _Toc232777598 \h </w:instrText>
      </w:r>
      <w:r w:rsidR="00862942">
        <w:rPr>
          <w:noProof/>
        </w:rPr>
      </w:r>
      <w:r w:rsidR="00862942">
        <w:rPr>
          <w:noProof/>
        </w:rPr>
        <w:fldChar w:fldCharType="separate"/>
      </w:r>
      <w:r>
        <w:rPr>
          <w:noProof/>
        </w:rPr>
        <w:t>32</w:t>
      </w:r>
      <w:r w:rsidR="00862942">
        <w:rPr>
          <w:noProof/>
        </w:rPr>
        <w:fldChar w:fldCharType="end"/>
      </w:r>
    </w:p>
    <w:p w14:paraId="4EA7DE43"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Table S6. Effects of averaging and ascertainment</w:t>
      </w:r>
      <w:r>
        <w:rPr>
          <w:noProof/>
        </w:rPr>
        <w:tab/>
      </w:r>
      <w:r w:rsidR="00862942">
        <w:rPr>
          <w:noProof/>
        </w:rPr>
        <w:fldChar w:fldCharType="begin"/>
      </w:r>
      <w:r>
        <w:rPr>
          <w:noProof/>
        </w:rPr>
        <w:instrText xml:space="preserve"> PAGEREF _Toc232777599 \h </w:instrText>
      </w:r>
      <w:r w:rsidR="00862942">
        <w:rPr>
          <w:noProof/>
        </w:rPr>
      </w:r>
      <w:r w:rsidR="00862942">
        <w:rPr>
          <w:noProof/>
        </w:rPr>
        <w:fldChar w:fldCharType="separate"/>
      </w:r>
      <w:r>
        <w:rPr>
          <w:noProof/>
        </w:rPr>
        <w:t>32</w:t>
      </w:r>
      <w:r w:rsidR="00862942">
        <w:rPr>
          <w:noProof/>
        </w:rPr>
        <w:fldChar w:fldCharType="end"/>
      </w:r>
    </w:p>
    <w:p w14:paraId="190693D9" w14:textId="77777777" w:rsidR="00B946B7" w:rsidRDefault="00B946B7">
      <w:pPr>
        <w:pStyle w:val="TOC1"/>
        <w:tabs>
          <w:tab w:val="right" w:leader="dot" w:pos="8630"/>
        </w:tabs>
        <w:rPr>
          <w:rFonts w:asciiTheme="minorHAnsi" w:eastAsiaTheme="minorEastAsia" w:hAnsiTheme="minorHAnsi" w:cstheme="minorBidi"/>
          <w:noProof/>
          <w:lang w:eastAsia="ja-JP"/>
        </w:rPr>
      </w:pPr>
      <w:r>
        <w:rPr>
          <w:noProof/>
        </w:rPr>
        <w:t>References</w:t>
      </w:r>
      <w:r>
        <w:rPr>
          <w:noProof/>
        </w:rPr>
        <w:tab/>
      </w:r>
      <w:r w:rsidR="00862942">
        <w:rPr>
          <w:noProof/>
        </w:rPr>
        <w:fldChar w:fldCharType="begin"/>
      </w:r>
      <w:r>
        <w:rPr>
          <w:noProof/>
        </w:rPr>
        <w:instrText xml:space="preserve"> PAGEREF _Toc232777600 \h </w:instrText>
      </w:r>
      <w:r w:rsidR="00862942">
        <w:rPr>
          <w:noProof/>
        </w:rPr>
      </w:r>
      <w:r w:rsidR="00862942">
        <w:rPr>
          <w:noProof/>
        </w:rPr>
        <w:fldChar w:fldCharType="separate"/>
      </w:r>
      <w:r>
        <w:rPr>
          <w:noProof/>
        </w:rPr>
        <w:t>33</w:t>
      </w:r>
      <w:r w:rsidR="00862942">
        <w:rPr>
          <w:noProof/>
        </w:rPr>
        <w:fldChar w:fldCharType="end"/>
      </w:r>
    </w:p>
    <w:p w14:paraId="2C62A7B4" w14:textId="77777777" w:rsidR="00642606" w:rsidRPr="00642606" w:rsidRDefault="00862942" w:rsidP="00642606">
      <w:r>
        <w:fldChar w:fldCharType="end"/>
      </w:r>
    </w:p>
    <w:p w14:paraId="5FC85CE3" w14:textId="77777777" w:rsidR="00402599" w:rsidRDefault="00402599" w:rsidP="00402599">
      <w:pPr>
        <w:pStyle w:val="Heading1"/>
      </w:pPr>
      <w:bookmarkStart w:id="15" w:name="_Toc232440781"/>
      <w:bookmarkStart w:id="16" w:name="_Toc232704449"/>
      <w:bookmarkStart w:id="17" w:name="_Toc232777574"/>
      <w:bookmarkStart w:id="18" w:name="_Toc214967461"/>
      <w:bookmarkStart w:id="19" w:name="_Toc214970888"/>
      <w:bookmarkStart w:id="20" w:name="_Toc217045500"/>
      <w:bookmarkStart w:id="21" w:name="_Toc219534412"/>
      <w:bookmarkStart w:id="22" w:name="_Toc219534494"/>
      <w:r w:rsidRPr="001C257D">
        <w:rPr>
          <w:i/>
        </w:rPr>
        <w:t>F</w:t>
      </w:r>
      <w:r w:rsidRPr="001C257D">
        <w:rPr>
          <w:vertAlign w:val="subscript"/>
        </w:rPr>
        <w:t>ST</w:t>
      </w:r>
      <w:r>
        <w:rPr>
          <w:vertAlign w:val="subscript"/>
        </w:rPr>
        <w:t xml:space="preserve"> </w:t>
      </w:r>
      <w:r>
        <w:t>Definitions In the Literature</w:t>
      </w:r>
      <w:bookmarkEnd w:id="15"/>
      <w:bookmarkEnd w:id="16"/>
      <w:bookmarkEnd w:id="17"/>
    </w:p>
    <w:p w14:paraId="24A048A8" w14:textId="77777777" w:rsidR="00402599" w:rsidRDefault="00402599" w:rsidP="00402599">
      <w:pPr>
        <w:ind w:firstLine="720"/>
      </w:pPr>
      <w:r w:rsidRPr="000573BE">
        <w:t xml:space="preserve">In reviewing previous work on </w:t>
      </w:r>
      <w:r w:rsidRPr="000573BE">
        <w:rPr>
          <w:i/>
        </w:rPr>
        <w:t>F</w:t>
      </w:r>
      <w:r w:rsidRPr="000573BE">
        <w:rPr>
          <w:vertAlign w:val="subscript"/>
        </w:rPr>
        <w:t>ST</w:t>
      </w:r>
      <w:r>
        <w:t xml:space="preserve"> w</w:t>
      </w:r>
      <w:r w:rsidRPr="000573BE">
        <w:t xml:space="preserve">e use the term “conceptual definition” to refer to any definition that is not a mathematical function of the population allele frequencies of the two populations being compared, but relies on other quantities such as coalescent times, </w:t>
      </w:r>
      <w:r>
        <w:t>heterozygosities</w:t>
      </w:r>
      <w:r w:rsidRPr="000573BE">
        <w:t>, allele frequencies in a hypothetical ancestral population, etc.</w:t>
      </w:r>
    </w:p>
    <w:p w14:paraId="341026DB" w14:textId="77777777" w:rsidR="00402599" w:rsidRDefault="00402599" w:rsidP="00402599">
      <w:pPr>
        <w:ind w:firstLine="720"/>
      </w:pPr>
      <w:r>
        <w:t xml:space="preserve">Wright, and later Cockerham, conceptually defined </w:t>
      </w:r>
      <w:r w:rsidRPr="001C257D">
        <w:rPr>
          <w:i/>
        </w:rPr>
        <w:t>F</w:t>
      </w:r>
      <w:r w:rsidRPr="001C257D">
        <w:rPr>
          <w:vertAlign w:val="subscript"/>
        </w:rPr>
        <w:t>ST</w:t>
      </w:r>
      <w:r>
        <w:t xml:space="preserve"> as the correlation between uniting gametes within one population relative to the total </w:t>
      </w:r>
      <w:r w:rsidR="00862942">
        <w:fldChar w:fldCharType="begin"/>
      </w:r>
      <w:r w:rsidR="00D73545">
        <w:instrText xml:space="preserve"> ADDIN PAPERS2_CITATIONS &lt;citation&gt;&lt;uuid&gt;4E785A35-CB77-45CE-A6B7-9B5FFFBABE48&lt;/uuid&gt;&lt;priority&gt;0&lt;/priority&gt;&lt;publications&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643DE6D4-BE5D-4243-AE73-F73F11A626FF&lt;/uuid&gt;&lt;volume&gt;467&lt;/volume&gt;&lt;accepted_date&gt;99201006211200000000222000&lt;/accepted_date&gt;&lt;doi&gt;10.1038/nature09298&lt;/doi&gt;&lt;startpage&gt;52&lt;/startpage&gt;&lt;publication_date&gt;99201009021200000000222000&lt;/publication_date&gt;&lt;url&gt;http://eutils.ncbi.nlm.nih.gov/entrez/eutils/elink.fcgi?dbfrom=pubmed&amp;amp;id=20811451&amp;amp;retmode=ref&amp;amp;cmd=prlinks&lt;/url&gt;&lt;citekey&gt;RefWorks:41&lt;/citekey&gt;&lt;type&gt;400&lt;/type&gt;&lt;title&gt;Integrating common and rare genetic variation in diverse human populations.&lt;/title&gt;&lt;location&gt;200,5,42.3803274,-71.1389101&lt;/location&gt;&lt;submission_date&gt;99200911101200000000222000&lt;/submission_date&gt;&lt;number&gt;7311&lt;/number&gt;&lt;institution&gt;Broad Institute, 7 Cambridge Center, Cambridge, Massachusetts 02138, USA. altshuler@molbio.mgh.harvard.edu&lt;/institution&gt;&lt;subtype&gt;400&lt;/subtype&gt;&lt;endpage&gt;58&lt;/endpage&gt;&lt;bundle&gt;&lt;publication&gt;&lt;url&gt;http://www.nature.com/nature&lt;/url&gt;&lt;title&gt;Nature&lt;/title&gt;&lt;type&gt;-100&lt;/type&gt;&lt;subtype&gt;-100&lt;/subtype&gt;&lt;uuid&gt;6C310864-49BB-4421-ADF9-18C2D60E193A&lt;/uuid&gt;&lt;/publication&gt;&lt;/bundle&gt;&lt;authors&gt;&lt;author&gt;&lt;lastName&gt;International HapMap 3 Consortium&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(1000 Genomes Project Consortium 2010; Wright 1949; International HapMap 3 Consortium 2010; Cockerham 1969)</w:t>
      </w:r>
      <w:r w:rsidR="00862942">
        <w:fldChar w:fldCharType="end"/>
      </w:r>
      <w:r>
        <w:t>.</w:t>
      </w:r>
      <w:r w:rsidRPr="008F7538">
        <w:t xml:space="preserve"> </w:t>
      </w:r>
      <w:r>
        <w:t xml:space="preserve">Equivalently, this definition is a ratio of variance between populations to total variance (Wright 1949). These conceptual definitions, however, depend upon knowledge of the allele frequency in the “total” population, and Wright did not give a clear means for estimating this. When providing an estimator, Weir </w:t>
      </w:r>
      <w:r>
        <w:lastRenderedPageBreak/>
        <w:t xml:space="preserve">and Cockerham (Weir and Cockerham 1984) assumed that the total population referred to the most recent common ancestral population, that studied markers are polymorphic in this ancestral population, and that </w:t>
      </w:r>
      <w:r w:rsidRPr="004B5839">
        <w:rPr>
          <w:i/>
        </w:rPr>
        <w:t>F</w:t>
      </w:r>
      <w:r w:rsidRPr="004B5839">
        <w:rPr>
          <w:vertAlign w:val="subscript"/>
        </w:rPr>
        <w:t>ST</w:t>
      </w:r>
      <w:r>
        <w:t xml:space="preserve"> is identical for each population studied—in effect assuming that each population is a replicate of an identical evolutionary history. If these assumptions do not hold, then the estimator of </w:t>
      </w:r>
      <w:r w:rsidR="00862942">
        <w:fldChar w:fldCharType="begin"/>
      </w:r>
      <w:r w:rsidR="00D73545">
        <w:instrText xml:space="preserve"> ADDIN PAPERS2_CITATIONS &lt;citation&gt;&lt;uuid&gt;1C393959-7F5A-414B-B554-439718C22DBC&lt;/uuid&gt;&lt;priority&gt;1&lt;/priority&gt;&lt;publications&gt;&lt;publication&gt;&lt;publication_date&gt;99194800001200000000200000&lt;/publication_date&gt;&lt;title&gt;Les mathématiques de l'hérédié&lt;/title&gt;&lt;uuid&gt;A335B4D6-853F-4936-B4B7-728B79B4FA2C&lt;/uuid&gt;&lt;subtype&gt;400&lt;/subtype&gt;&lt;type&gt;400&lt;/type&gt;&lt;citekey&gt;RefWorks:83&lt;/citekey&gt;&lt;url&gt;http://www.google.com/search?client=safari&amp;amp;rls=10_7_4&amp;amp;q=Les+mathematiques+de+lheredie&amp;amp;ie=UTF-8&amp;amp;oe=UTF-8&lt;/url&gt;&lt;bundle&gt;&lt;publication&gt;&lt;title&gt;Masson&lt;/title&gt;&lt;type&gt;-100&lt;/type&gt;&lt;subtype&gt;-100&lt;/subtype&gt;&lt;uuid&gt;A2E6539B-702B-4786-A0B4-4C764EC1BA05&lt;/uuid&gt;&lt;/publication&gt;&lt;/bundle&gt;&lt;authors&gt;&lt;author&gt;&lt;firstName&gt;Gustave&lt;/firstName&gt;&lt;lastName&gt;Malécot&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s&gt;&lt;cites&gt;&lt;/cites&gt;&lt;/citation&gt;</w:instrText>
      </w:r>
      <w:r w:rsidR="00862942">
        <w:fldChar w:fldCharType="separate"/>
      </w:r>
      <w:r w:rsidR="00D73545">
        <w:rPr>
          <w:rFonts w:cs="Cambria"/>
        </w:rPr>
        <w:t>(Malécot 1948; Weir and Cockerham 1984; Wright 1949)</w:t>
      </w:r>
      <w:r w:rsidR="00862942">
        <w:fldChar w:fldCharType="end"/>
      </w:r>
      <w:r>
        <w:t xml:space="preserve"> produces estimates that vary with changes in sample size.</w:t>
      </w:r>
    </w:p>
    <w:p w14:paraId="6AAF6085" w14:textId="77777777" w:rsidR="003D5548" w:rsidRDefault="00402599" w:rsidP="00402599">
      <w:pPr>
        <w:ind w:firstLine="720"/>
      </w:pPr>
      <w:r>
        <w:t xml:space="preserve">In addition to this conceptual definition, </w:t>
      </w:r>
      <w:r w:rsidRPr="001C257D">
        <w:rPr>
          <w:i/>
        </w:rPr>
        <w:t>F</w:t>
      </w:r>
      <w:r w:rsidRPr="001C257D">
        <w:rPr>
          <w:vertAlign w:val="subscript"/>
        </w:rPr>
        <w:t>ST</w:t>
      </w:r>
      <w:r>
        <w:t xml:space="preserve"> has been conceptually defined in terms of coalescent times </w:t>
      </w:r>
      <w:r w:rsidR="00862942">
        <w:fldChar w:fldCharType="begin"/>
      </w:r>
      <w:r w:rsidR="00D73545">
        <w:instrText xml:space="preserve"> ADDIN PAPERS2_CITATIONS &lt;citation&gt;&lt;uuid&gt;E9C46657-82BA-4810-B63A-DD439548E0D4&lt;/uuid&gt;&lt;priority&gt;2&lt;/priority&gt;&lt;publications&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volume&gt;58&lt;/volume&gt;&lt;publication_date&gt;99199100001200000000200000&lt;/publication_date&gt;&lt;number&gt;02&lt;/number&gt;&lt;doi&gt;10.1017/S0016672300029827&lt;/doi&gt;&lt;startpage&gt;167&lt;/startpage&gt;&lt;title&gt;Inbreeding coefficients and coalescence times&lt;/title&gt;&lt;uuid&gt;60AE29C9-1434-4854-A065-906A1A930F56&lt;/uuid&gt;&lt;subtype&gt;400&lt;/subtype&gt;&lt;type&gt;400&lt;/type&gt;&lt;citekey&gt;RefWorks:153&lt;/citekey&gt;&lt;url&gt;http://dx.doi.org/10.1017/S0016672300029827&lt;/url&gt;&lt;bundle&gt;&lt;publication&gt;&lt;title&gt;Genetics Research&lt;/title&gt;&lt;type&gt;-100&lt;/type&gt;&lt;subtype&gt;-100&lt;/subtype&gt;&lt;uuid&gt;5F3B671F-B21D-4B18-9C70-9D5B8A2FDCB5&lt;/uuid&gt;&lt;/publication&gt;&lt;/bundle&gt;&lt;authors&gt;&lt;author&gt;&lt;firstName&gt;Montgomery&lt;/firstName&gt;&lt;lastName&gt;Slatkin&lt;/lastName&gt;&lt;/author&gt;&lt;/authors&gt;&lt;/publication&gt;&lt;publication&gt;&lt;uuid&gt;2772E051-16AA-4771-8A14-E509B7BFCED5&lt;/uuid&gt;&lt;volume&gt;10&lt;/volume&gt;&lt;doi&gt;10.1038/nrg2611&lt;/doi&gt;&lt;startpage&gt;639&lt;/startpage&gt;&lt;publication_date&gt;99200909001200000000220000&lt;/publication_date&gt;&lt;url&gt;http://eutils.ncbi.nlm.nih.gov/entrez/eutils/elink.fcgi?dbfrom=pubmed&amp;amp;id=19687804&amp;amp;retmode=ref&amp;amp;cmd=prlinks&lt;/url&gt;&lt;citekey&gt;RefWorks:110&lt;/citekey&gt;&lt;type&gt;400&lt;/type&gt;&lt;title&gt;Genetics in geographically structured populations: defining, estimating and interpreting F(ST).&lt;/title&gt;&lt;location&gt;200,9,41.8099449,-72.2558997&lt;/location&gt;&lt;institution&gt;Department of Ecology and Evolutionary Biology, U-3043, University of Connecticut, Storrs, Connecticut 06269-3043, USA. kent@darwin.eeb.uconn.edu&lt;/institution&gt;&lt;number&gt;9&lt;/number&gt;&lt;subtype&gt;400&lt;/subtype&gt;&lt;endpage&gt;650&lt;/endpage&gt;&lt;bundle&gt;&lt;publication&gt;&lt;url&gt;http://google.com&lt;/url&gt;&lt;title&gt;Nature reviews. Genetics&lt;/title&gt;&lt;type&gt;-100&lt;/type&gt;&lt;subtype&gt;-100&lt;/subtype&gt;&lt;uuid&gt;70AE9E5E-5C2B-483A-8647-AA04B5F1B1F5&lt;/uuid&gt;&lt;/publication&gt;&lt;/bundle&gt;&lt;authors&gt;&lt;author&gt;&lt;firstName&gt;Kent&lt;/firstName&gt;&lt;middleNames&gt;E&lt;/middleNames&gt;&lt;lastName&gt;Holsinger&lt;/lastName&gt;&lt;/author&gt;&lt;author&gt;&lt;firstName&gt;Bruce&lt;/firstName&gt;&lt;middleNames&gt;S&lt;/middleNames&gt;&lt;lastName&gt;Weir&lt;/lastName&gt;&lt;/author&gt;&lt;/authors&gt;&lt;/publication&gt;&lt;/publications&gt;&lt;cites&gt;&lt;/cites&gt;&lt;/citation&gt;</w:instrText>
      </w:r>
      <w:r w:rsidR="00862942">
        <w:fldChar w:fldCharType="separate"/>
      </w:r>
      <w:r w:rsidR="00D73545">
        <w:rPr>
          <w:rFonts w:cs="Cambria"/>
        </w:rPr>
        <w:t>(Weir and Cockerham 1984; Slatkin 1991; Holsinger and Weir 2009)</w:t>
      </w:r>
      <w:r w:rsidR="00862942">
        <w:fldChar w:fldCharType="end"/>
      </w:r>
      <w:r>
        <w:t xml:space="preserve">, heterozygosities </w:t>
      </w:r>
      <w:r w:rsidR="00862942">
        <w:fldChar w:fldCharType="begin"/>
      </w:r>
      <w:r w:rsidR="00D73545">
        <w:instrText xml:space="preserve"> ADDIN PAPERS2_CITATIONS &lt;citation&gt;&lt;uuid&gt;482B8BC1-6237-4403-B8BC-C11911A8A237&lt;/uuid&gt;&lt;priority&gt;3&lt;/priority&gt;&lt;publications&gt;&lt;publication&gt;&lt;uuid&gt;ED3AFC55-6211-4274-BA09-EF267ADFC08B&lt;/uuid&gt;&lt;volume&gt;449&lt;/volume&gt;&lt;accepted_date&gt;99200709181200000000222000&lt;/accepted_date&gt;&lt;doi&gt;10.1038/nature06258&lt;/doi&gt;&lt;startpage&gt;851&lt;/startpage&gt;&lt;publication_date&gt;99200710181200000000222000&lt;/publication_date&gt;&lt;url&gt;http://eutils.ncbi.nlm.nih.gov/entrez/eutils/elink.fcgi?dbfrom=pubmed&amp;amp;id=17943122&amp;amp;retmode=ref&amp;amp;cmd=prlinks&lt;/url&gt;&lt;citekey&gt;RefWorks:20&lt;/citekey&gt;&lt;type&gt;400&lt;/type&gt;&lt;title&gt;A second generation human haplotype map of over 3.1 million SNPs.&lt;/title&gt;&lt;location&gt;200,4,32.8472200,-117.2733300&lt;/location&gt;&lt;submission_date&gt;99200704121200000000222000&lt;/submission_date&gt;&lt;number&gt;7164&lt;/number&gt;&lt;institution&gt;The Scripps Research Institute, 10550 North Torrey Pines Road MEM275, La Jolla, California 92037, USA.&lt;/institution&gt;&lt;subtype&gt;400&lt;/subtype&gt;&lt;endpage&gt;861&lt;/endpage&gt;&lt;bundle&gt;&lt;publication&gt;&lt;url&gt;http://www.nature.com/nature&lt;/url&gt;&lt;title&gt;Nature&lt;/title&gt;&lt;type&gt;-100&lt;/type&gt;&lt;subtype&gt;-100&lt;/subtype&gt;&lt;uuid&gt;6C310864-49BB-4421-ADF9-18C2D60E193A&lt;/uuid&gt;&lt;/publication&gt;&lt;/bundle&gt;&lt;authors&gt;&lt;author&gt;&lt;lastName&gt;International HapMap Consortium&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139215B5-CB44-43A2-9195-E6396CFE8220&lt;/uuid&gt;&lt;volume&gt;319&lt;/volume&gt;&lt;doi&gt;10.1126/science.1153717&lt;/doi&gt;&lt;startpage&gt;1100&lt;/startpage&gt;&lt;publication_date&gt;99200802221200000000222000&lt;/publication_date&gt;&lt;url&gt;http://eutils.ncbi.nlm.nih.gov/entrez/eutils/elink.fcgi?dbfrom=pubmed&amp;amp;id=18292342&amp;amp;retmode=ref&amp;amp;cmd=prlinks&lt;/url&gt;&lt;citekey&gt;RefWorks:164&lt;/citekey&gt;&lt;type&gt;400&lt;/type&gt;&lt;title&gt;Worldwide human relationships inferred from genome-wide patterns of variation.&lt;/title&gt;&lt;location&gt;200,4,37.4241060,-122.1660756&lt;/location&gt;&lt;institution&gt;Department of Genetics, Stanford University School of Medicine, Stanford, CA 94305-5120, USA.&lt;/institution&gt;&lt;number&gt;5866&lt;/number&gt;&lt;subtype&gt;400&lt;/subtype&gt;&lt;endpage&gt;1104&lt;/endpage&gt;&lt;bundle&gt;&lt;publication&gt;&lt;url&gt;http://www.sciencemag.org&lt;/url&gt;&lt;title&gt;Science&lt;/title&gt;&lt;type&gt;-100&lt;/type&gt;&lt;subtype&gt;-100&lt;/subtype&gt;&lt;uuid&gt;1D9D1C01-9CF3-4851-B2F5-576D2D890C49&lt;/uuid&gt;&lt;/publication&gt;&lt;/bundle&gt;&lt;authors&gt;&lt;author&gt;&lt;firstName&gt;Jun&lt;/firstName&gt;&lt;middleNames&gt;Z&lt;/middleNames&gt;&lt;lastName&gt;Li&lt;/lastName&gt;&lt;/author&gt;&lt;author&gt;&lt;firstName&gt;Devin&lt;/firstName&gt;&lt;middleNames&gt;M&lt;/middleNames&gt;&lt;lastName&gt;Absher&lt;/lastName&gt;&lt;/author&gt;&lt;author&gt;&lt;firstName&gt;Hua&lt;/firstName&gt;&lt;lastName&gt;Tang&lt;/lastName&gt;&lt;/author&gt;&lt;author&gt;&lt;firstName&gt;Audrey&lt;/firstName&gt;&lt;middleNames&gt;M&lt;/middleNames&gt;&lt;lastName&gt;Southwick&lt;/lastName&gt;&lt;/author&gt;&lt;author&gt;&lt;firstName&gt;Amanda&lt;/firstName&gt;&lt;middleNames&gt;M&lt;/middleNames&gt;&lt;lastName&gt;Casto&lt;/lastName&gt;&lt;/author&gt;&lt;author&gt;&lt;firstName&gt;Sohini&lt;/firstName&gt;&lt;lastName&gt;Ramachandran&lt;/lastName&gt;&lt;/author&gt;&lt;author&gt;&lt;firstName&gt;Howard&lt;/firstName&gt;&lt;middleNames&gt;M&lt;/middleNames&gt;&lt;lastName&gt;Cann&lt;/lastName&gt;&lt;/author&gt;&lt;author&gt;&lt;firstName&gt;Gregory&lt;/firstName&gt;&lt;middleNames&gt;S&lt;/middleNames&gt;&lt;lastName&gt;Barsh&lt;/lastName&gt;&lt;/author&gt;&lt;author&gt;&lt;firstName&gt;Marcus&lt;/firstName&gt;&lt;lastName&gt;Feldman&lt;/lastName&gt;&lt;/author&gt;&lt;author&gt;&lt;firstName&gt;Luigi&lt;/firstName&gt;&lt;middleNames&gt;L&lt;/middleNames&gt;&lt;lastName&gt;Cavalli-Sforza&lt;/lastName&gt;&lt;/author&gt;&lt;author&gt;&lt;firstName&gt;Richard&lt;/firstName&gt;&lt;middleNames&gt;M&lt;/middleNames&gt;&lt;lastName&gt;Myers&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643DE6D4-BE5D-4243-AE73-F73F11A626FF&lt;/uuid&gt;&lt;volume&gt;467&lt;/volume&gt;&lt;accepted_date&gt;99201006211200000000222000&lt;/accepted_date&gt;&lt;doi&gt;10.1038/nature09298&lt;/doi&gt;&lt;startpage&gt;52&lt;/startpage&gt;&lt;publication_date&gt;99201009021200000000222000&lt;/publication_date&gt;&lt;url&gt;http://eutils.ncbi.nlm.nih.gov/entrez/eutils/elink.fcgi?dbfrom=pubmed&amp;amp;id=20811451&amp;amp;retmode=ref&amp;amp;cmd=prlinks&lt;/url&gt;&lt;citekey&gt;RefWorks:41&lt;/citekey&gt;&lt;type&gt;400&lt;/type&gt;&lt;title&gt;Integrating common and rare genetic variation in diverse human populations.&lt;/title&gt;&lt;location&gt;200,5,42.3803274,-71.1389101&lt;/location&gt;&lt;submission_date&gt;99200911101200000000222000&lt;/submission_date&gt;&lt;number&gt;7311&lt;/number&gt;&lt;institution&gt;Broad Institute, 7 Cambridge Center, Cambridge, Massachusetts 02138, USA. altshuler@molbio.mgh.harvard.edu&lt;/institution&gt;&lt;subtype&gt;400&lt;/subtype&gt;&lt;endpage&gt;58&lt;/endpage&gt;&lt;bundle&gt;&lt;publication&gt;&lt;url&gt;http://www.nature.com/nature&lt;/url&gt;&lt;title&gt;Nature&lt;/title&gt;&lt;type&gt;-100&lt;/type&gt;&lt;subtype&gt;-100&lt;/subtype&gt;&lt;uuid&gt;6C310864-49BB-4421-ADF9-18C2D60E193A&lt;/uuid&gt;&lt;/publication&gt;&lt;/bundle&gt;&lt;authors&gt;&lt;author&gt;&lt;lastName&gt;International HapMap 3 Consortium&lt;/lastName&gt;&lt;/author&gt;&lt;/authors&gt;&lt;/publication&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Consortium&lt;/lastName&gt;&lt;/author&gt;&lt;/authors&gt;&lt;/publication&gt;&lt;/publications&gt;&lt;cites&gt;&lt;/cites&gt;&lt;/citation&gt;</w:instrText>
      </w:r>
      <w:r w:rsidR="00862942">
        <w:fldChar w:fldCharType="separate"/>
      </w:r>
      <w:r w:rsidR="00D73545">
        <w:rPr>
          <w:rFonts w:cs="Cambria"/>
        </w:rPr>
        <w:t>(International HapMap Consortium 2007; Nei 1973; Li et al. 2008; Hudson et al. 1992; International HapMap 3 Consortium 2010; 1000 Genomes Project Consortium 2010)</w:t>
      </w:r>
      <w:r w:rsidR="00862942">
        <w:fldChar w:fldCharType="end"/>
      </w:r>
      <w:r>
        <w:t xml:space="preserve">, time since population divergence </w:t>
      </w:r>
      <w:r w:rsidR="00862942">
        <w:fldChar w:fldCharType="begin"/>
      </w:r>
      <w:r w:rsidR="00D73545">
        <w:instrText xml:space="preserve"> ADDIN PAPERS2_CITATIONS &lt;citation&gt;&lt;uuid&gt;3E0DF481-C93F-4206-99EC-E1664B5D81E6&lt;/uuid&gt;&lt;priority&gt;4&lt;/priority&gt;&lt;publications&gt;&lt;publication&gt;&lt;publication_date&gt;99194800001200000000200000&lt;/publication_date&gt;&lt;title&gt;Les mathématiques de l'hérédié&lt;/title&gt;&lt;uuid&gt;A335B4D6-853F-4936-B4B7-728B79B4FA2C&lt;/uuid&gt;&lt;subtype&gt;400&lt;/subtype&gt;&lt;type&gt;400&lt;/type&gt;&lt;citekey&gt;RefWorks:83&lt;/citekey&gt;&lt;url&gt;http://www.google.com/search?client=safari&amp;amp;rls=10_7_4&amp;amp;q=Les+mathematiques+de+lheredie&amp;amp;ie=UTF-8&amp;amp;oe=UTF-8&lt;/url&gt;&lt;bundle&gt;&lt;publication&gt;&lt;title&gt;Masson&lt;/title&gt;&lt;type&gt;-100&lt;/type&gt;&lt;subtype&gt;-100&lt;/subtype&gt;&lt;uuid&gt;A2E6539B-702B-4786-A0B4-4C764EC1BA05&lt;/uuid&gt;&lt;/publication&gt;&lt;/bundle&gt;&lt;authors&gt;&lt;author&gt;&lt;firstName&gt;Gustave&lt;/firstName&gt;&lt;lastName&gt;Malécot&lt;/lastName&gt;&lt;/author&gt;&lt;/authors&gt;&lt;/publication&gt;&lt;publication&gt;&lt;location&gt;200,4,37.7749295,-122.4194155&lt;/location&gt;&lt;publication_date&gt;99197100001200000000200000&lt;/publication_date&gt;&lt;title&gt;The genetics of human populations&lt;/title&gt;&lt;uuid&gt;8DC6D8F4-523D-46A7-A035-294B6977A6E0&lt;/uuid&gt;&lt;subtype&gt;0&lt;/subtype&gt;&lt;publisher&gt;W.H. Freeman&lt;/publisher&gt;&lt;type&gt;0&lt;/type&gt;&lt;place&gt;San Francisco&lt;/place&gt;&lt;citekey&gt;RefWorks:155&lt;/citekey&gt;&lt;url&gt;http://www.google.com/search?client=safari&amp;amp;rls=10_7_4&amp;amp;q=The+genetics+of+human+populations&amp;amp;ie=UTF-8&amp;amp;oe=UTF-8&lt;/url&gt;&lt;authors&gt;&lt;author&gt;&lt;firstName&gt;L&lt;/firstName&gt;&lt;middleNames&gt;L&lt;/middleNames&gt;&lt;lastName&gt;Cavalli-Sforza&lt;/lastName&gt;&lt;/author&gt;&lt;author&gt;&lt;firstName&gt;W&lt;/firstName&gt;&lt;middleNames&gt;F&lt;/middleNames&gt;&lt;lastName&gt;Bodmer&lt;/lastName&gt;&lt;/author&gt;&lt;/authors&gt;&lt;/publication&gt;&lt;publication&gt;&lt;uuid&gt;891D725E-3FF8-4EF0-BECB-685AFAA55160&lt;/uuid&gt;&lt;volume&gt;110&lt;/volume&gt;&lt;startpage&gt;695&lt;/startpage&gt;&lt;publication_date&gt;99197601011200000000222000&lt;/publication_date&gt;&lt;url&gt;http://www.jstor.org/stable/2459585&lt;/url&gt;&lt;citekey&gt;RefWorks:162&lt;/citekey&gt;&lt;type&gt;400&lt;/type&gt;&lt;title&gt;Animal Population Structure Under Close Inbreeding: The Land Snail Rumina in Southern France&lt;/title&gt;&lt;publisher&gt;The University of Chicago Press for The American Society of Naturalists&lt;/publisher&gt;&lt;number&gt;974&lt;/number&gt;&lt;subtype&gt;400&lt;/subtype&gt;&lt;endpage&gt;718&lt;/endpage&gt;&lt;bundle&gt;&lt;publication&gt;&lt;title&gt;The American Naturalist&lt;/title&gt;&lt;type&gt;-100&lt;/type&gt;&lt;subtype&gt;-100&lt;/subtype&gt;&lt;uuid&gt;6A2CE320-6B6F-4443-B278-8728ACBE1234&lt;/uuid&gt;&lt;/publication&gt;&lt;/bundle&gt;&lt;authors&gt;&lt;author&gt;&lt;firstName&gt;Robert&lt;/firstName&gt;&lt;middleNames&gt;K&lt;/middleNames&gt;&lt;lastName&gt;Selander&lt;/lastName&gt;&lt;/author&gt;&lt;author&gt;&lt;firstName&gt;Robert&lt;/firstName&gt;&lt;middleNames&gt;O&lt;/middleNames&gt;&lt;lastName&gt;Hudson&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420C49FD-4BF4-4D3B-A8CA-6AA7A85ED3DD&lt;/uuid&gt;&lt;volume&gt;36&lt;/volume&gt;&lt;startpage&gt;387&lt;/startpage&gt;&lt;publication_date&gt;99198201011200000000222000&lt;/publication_date&gt;&lt;url&gt;http://www.jstor.org/stable/2408058&lt;/url&gt;&lt;citekey&gt;RefWorks:160&lt;/citekey&gt;&lt;type&gt;400&lt;/type&gt;&lt;title&gt;Genetic Diversity and Population Structure in Pitch Pine (Pinus rigida Mill.)&lt;/title&gt;&lt;publisher&gt;Society for the Study of Evolution&lt;/publisher&gt;&lt;number&gt;2&lt;/number&gt;&lt;subtype&gt;400&lt;/subtype&gt;&lt;endpage&gt;402&lt;/endpage&gt;&lt;bundle&gt;&lt;publication&gt;&lt;title&gt;Evolution&lt;/title&gt;&lt;type&gt;-100&lt;/type&gt;&lt;subtype&gt;-100&lt;/subtype&gt;&lt;uuid&gt;F0EB598F-EE85-4B9D-B7A6-554C3D5205C2&lt;/uuid&gt;&lt;/publication&gt;&lt;/bundle&gt;&lt;authors&gt;&lt;author&gt;&lt;firstName&gt;Raymond&lt;/firstName&gt;&lt;middleNames&gt;P&lt;/middleNames&gt;&lt;lastName&gt;Guries&lt;/lastName&gt;&lt;/author&gt;&lt;author&gt;&lt;firstName&gt;F&lt;/firstName&gt;&lt;middleNames&gt;Thomas&lt;/middleNames&gt;&lt;lastName&gt;Ledig&lt;/lastName&gt;&lt;/author&gt;&lt;/authors&gt;&lt;/publication&gt;&lt;publication&gt;&lt;volume&gt;24 IS -&lt;/volume&gt;&lt;publication_date&gt;99199301011200000000222000&lt;/publication_date&gt;&lt;startpage&gt;217&lt;/startpage&gt;&lt;title&gt;Population Genetic Consequences of Small Population Size: Implications for Plant Conservation&lt;/title&gt;&lt;uuid&gt;5754E847-B073-4CCE-B945-C736DE8CA26F&lt;/uuid&gt;&lt;subtype&gt;400&lt;/subtype&gt;&lt;publisher&gt;Annual Reviews&lt;/publisher&gt;&lt;type&gt;400&lt;/type&gt;&lt;citekey&gt;RefWorks:161&lt;/citekey&gt;&lt;endpage&gt;242&lt;/endpage&gt;&lt;url&gt;http://www.jstor.org/stable/2097178&lt;/url&gt;&lt;bundle&gt;&lt;publication&gt;&lt;title&gt;Annual Review of Ecology and Systematics&lt;/title&gt;&lt;type&gt;-100&lt;/type&gt;&lt;subtype&gt;-100&lt;/subtype&gt;&lt;uuid&gt;9B92E0F5-3A27-4B10-8430-3898FFC124E5&lt;/uuid&gt;&lt;/publication&gt;&lt;/bundle&gt;&lt;authors&gt;&lt;author&gt;&lt;firstName&gt;Norman&lt;/firstName&gt;&lt;middleNames&gt;C&lt;/middleNames&gt;&lt;lastName&gt;Ellstrand&lt;/lastName&gt;&lt;/author&gt;&lt;author&gt;&lt;firstName&gt;Diane&lt;/firstName&gt;&lt;middleNames&gt;R&lt;/middleNames&gt;&lt;lastName&gt;Elam&lt;/lastName&gt;&lt;/author&gt;&lt;/authors&gt;&lt;/publication&gt;&lt;publication&gt;&lt;uuid&gt;1E336C8E-C920-42F5-B82C-1FC0FBEC84E4&lt;/uuid&gt;&lt;volume&gt;11&lt;/volume&gt;&lt;startpage&gt;426&lt;/startpage&gt;&lt;publication_date&gt;99199401011200000000222000&lt;/publication_date&gt;&lt;url&gt;http://mbe.oxfordjournals.org/content/11/3/426.abstract&lt;/url&gt;&lt;citekey&gt;RefWorks:163&lt;/citekey&gt;&lt;type&gt;400&lt;/type&gt;&lt;title&gt;Contrasting population structure from nuclear intron sequences and mtDNA of humpback whales.&lt;/title&gt;&lt;location&gt;200,5,21.3136151,-157.8480364&lt;/location&gt;&lt;institution&gt;Kewalo Marine Lab, University of Hawaii 96813.&lt;/institution&gt;&lt;number&gt;3&lt;/number&gt;&lt;subtype&gt;400&lt;/subtype&gt;&lt;endpage&gt;435&lt;/endpage&gt;&lt;bundle&gt;&lt;publication&gt;&lt;title&gt;Molecular biology and evolution&lt;/title&gt;&lt;type&gt;-100&lt;/type&gt;&lt;subtype&gt;-100&lt;/subtype&gt;&lt;uuid&gt;64ECEA76-7BF3-49FD-B66C-F33BFB8987B6&lt;/uuid&gt;&lt;/publication&gt;&lt;/bundle&gt;&lt;authors&gt;&lt;author&gt;&lt;firstName&gt;S&lt;/firstName&gt;&lt;middleNames&gt;R&lt;/middleNames&gt;&lt;lastName&gt;Palumbi&lt;/lastName&gt;&lt;/author&gt;&lt;author&gt;&lt;firstName&gt;C&lt;/firstName&gt;&lt;middleNames&gt;S&lt;/middleNames&gt;&lt;lastName&gt;Baker&lt;/lastName&gt;&lt;/author&gt;&lt;/authors&gt;&lt;/publication&gt;&lt;/publications&gt;&lt;cites&gt;&lt;/cites&gt;&lt;/citation&gt;</w:instrText>
      </w:r>
      <w:r w:rsidR="00862942">
        <w:fldChar w:fldCharType="separate"/>
      </w:r>
      <w:r w:rsidR="00D73545">
        <w:rPr>
          <w:rFonts w:cs="Cambria"/>
        </w:rPr>
        <w:t>(Malécot 1948; Cavalli-Sforza and Bodmer 1971; Selander and Hudson 1976; Wright 1949; Guries and Ledig 1982; Ellstrand and Elam 1993; Palumbi and Baker 1994)</w:t>
      </w:r>
      <w:r w:rsidR="00862942">
        <w:fldChar w:fldCharType="end"/>
      </w:r>
      <w:r>
        <w:t xml:space="preserve">, and migration rate </w:t>
      </w:r>
      <w:r w:rsidR="00862942">
        <w:fldChar w:fldCharType="begin"/>
      </w:r>
      <w:r w:rsidR="00D73545">
        <w:instrText xml:space="preserve"> ADDIN PAPERS2_CITATIONS &lt;citation&gt;&lt;uuid&gt;D9DF10B1-E1D7-4FD9-8390-C7ACA9C69709&lt;/uuid&gt;&lt;priority&gt;5&lt;/priority&gt;&lt;publications&gt;&lt;publication&gt;&lt;volume&gt;74&lt;/volume&gt;&lt;publication_date&gt;99197305001200000000220000&lt;/publication_date&gt;&lt;startpage&gt;175&lt;/startpage&gt;&lt;title&gt;Distribution of gene frequency as a test of the theory of the selective neutrality of polymorphisms&lt;/title&gt;&lt;uuid&gt;64F33D18-F6CE-4052-B740-8798F6FE65C6&lt;/uuid&gt;&lt;subtype&gt;400&lt;/subtype&gt;&lt;endpage&gt;195&lt;/endpage&gt;&lt;type&gt;400&lt;/type&gt;&lt;citekey&gt;RefWorks:112&lt;/citekey&gt;&lt;url&gt;http://www.google.com/search?client=safari&amp;amp;rls=10_7_4&amp;amp;q=Distribution+of+gene+frequency+as+a+test+of+the+theory+of+the+selective+neutrality+of+polymorphisms&amp;amp;ie=UTF-8&amp;amp;oe=UTF-8&lt;/url&gt;&lt;bundle&gt;&lt;publication&gt;&lt;title&gt;Genetics&lt;/title&gt;&lt;type&gt;-100&lt;/type&gt;&lt;subtype&gt;-100&lt;/subtype&gt;&lt;uuid&gt;11DBAA9B-C36A-48C0-9FD0-A64AF5948D71&lt;/uuid&gt;&lt;/publication&gt;&lt;/bundle&gt;&lt;authors&gt;&lt;author&gt;&lt;firstName&gt;R&lt;/firstName&gt;&lt;middleNames&gt;C&lt;/middleNames&gt;&lt;lastName&gt;Lewontin&lt;/lastName&gt;&lt;/author&gt;&lt;author&gt;&lt;firstName&gt;J&lt;/firstName&gt;&lt;lastName&gt;Krakauer&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40D07C08-AEDC-48F4-8F44-E69EF89EE9FC&lt;/uuid&gt;&lt;volume&gt;64&lt;/volume&gt;&lt;doi&gt;10.1111/1467-9868.00357&lt;/doi&gt;&lt;startpage&gt;695&lt;/startpage&gt;&lt;publication_date&gt;99200200001200000000200000&lt;/publication_date&gt;&lt;url&gt;http://dx.doi.org/10.1111/1467-9868.00357&lt;/url&gt;&lt;citekey&gt;RefWorks:64&lt;/citekey&gt;&lt;type&gt;400&lt;/type&gt;&lt;title&gt;Assessing population differentiation and isolation from single-nucleotide polymorphism data&lt;/title&gt;&lt;publisher&gt;Blackwell Publishers&lt;/publisher&gt;&lt;number&gt;4&lt;/number&gt;&lt;subtype&gt;400&lt;/subtype&gt;&lt;endpage&gt;715&lt;/endpage&gt;&lt;bundle&gt;&lt;publication&gt;&lt;title&gt;Journal of the Royal Statistical Society: Series B (Statistical Methodology)&lt;/title&gt;&lt;type&gt;-100&lt;/type&gt;&lt;subtype&gt;-100&lt;/subtype&gt;&lt;uuid&gt;72F8B113-A276-4C8F-83B1-27633EFAC5FB&lt;/uuid&gt;&lt;/publication&gt;&lt;/bundle&gt;&lt;authors&gt;&lt;author&gt;&lt;firstName&gt;George&lt;/firstName&gt;&lt;lastName&gt;Nicholson&lt;/lastName&gt;&lt;/author&gt;&lt;author&gt;&lt;firstName&gt;Albert&lt;/firstName&gt;&lt;middleNames&gt;V&lt;/middleNames&gt;&lt;lastName&gt;Smith&lt;/lastName&gt;&lt;/author&gt;&lt;author&gt;&lt;firstName&gt;Frosti&lt;/firstName&gt;&lt;lastName&gt;Jonsson&lt;/lastName&gt;&lt;/author&gt;&lt;author&gt;&lt;firstName&gt;Ómar&lt;/firstName&gt;&lt;lastName&gt;Gústafsson&lt;/lastName&gt;&lt;/author&gt;&lt;author&gt;&lt;firstName&gt;Kari&lt;/firstName&gt;&lt;lastName&gt;Stefansson&lt;/lastName&gt;&lt;/author&gt;&lt;author&gt;&lt;firstName&gt;Peter&lt;/firstName&gt;&lt;lastName&gt;Donnelly&lt;/lastName&gt;&lt;/author&gt;&lt;/authors&gt;&lt;/publication&gt;&lt;publication&gt;&lt;uuid&gt;C2E6FD1D-B796-4623-B5EE-79160A3365F1&lt;/uuid&gt;&lt;volume&gt;13&lt;/volume&gt;&lt;doi&gt;10.1111/j.1365-294X.2004.02125.x&lt;/doi&gt;&lt;startpage&gt;969&lt;/startpage&gt;&lt;publication_date&gt;99200404001200000000220000&lt;/publication_date&gt;&lt;url&gt;http://eutils.ncbi.nlm.nih.gov/entrez/eutils/elink.fcgi?dbfrom=pubmed&amp;amp;id=15012769&amp;amp;retmode=ref&amp;amp;cmd=prlinks&lt;/url&gt;&lt;citekey&gt;RefWorks:165&lt;/citekey&gt;&lt;type&gt;400&lt;/type&gt;&lt;title&gt;Identifying adaptive genetic divergence among populations from genome scans.&lt;/title&gt;&lt;location&gt;200,5,51.4576163,-0.9456216&lt;/location&gt;&lt;institution&gt;School of Animal and Microbial Sciences, The University of Reading, Whiteknights, PO Box 228, Reading RG6 6AJ, UK. m.a.beamount@reading.ac.uk&lt;/institution&gt;&lt;number&gt;4&lt;/number&gt;&lt;subtype&gt;400&lt;/subtype&gt;&lt;endpage&gt;980&lt;/endpage&gt;&lt;bundle&gt;&lt;publication&gt;&lt;title&gt;Molecular ecology&lt;/title&gt;&lt;type&gt;-100&lt;/type&gt;&lt;subtype&gt;-100&lt;/subtype&gt;&lt;uuid&gt;C816CF60-3F6A-4EFC-860D-8487AE5DDC95&lt;/uuid&gt;&lt;/publication&gt;&lt;/bundle&gt;&lt;authors&gt;&lt;author&gt;&lt;firstName&gt;Mark&lt;/firstName&gt;&lt;middleNames&gt;A&lt;/middleNames&gt;&lt;lastName&gt;Beaumont&lt;/lastName&gt;&lt;/author&gt;&lt;author&gt;&lt;firstName&gt;David&lt;/firstName&gt;&lt;middleNames&gt;J&lt;/middleNames&gt;&lt;lastName&gt;Balding&lt;/lastName&gt;&lt;/author&gt;&lt;/authors&gt;&lt;/publication&gt;&lt;publication&gt;&lt;uuid&gt;3E955CC9-73AA-4D93-9DEA-7409822C7309&lt;/uuid&gt;&lt;volume&gt;180&lt;/volume&gt;&lt;doi&gt;10.1534/genetics.108.092221&lt;/doi&gt;&lt;startpage&gt;977&lt;/startpage&gt;&lt;publication_date&gt;99200810001200000000220000&lt;/publication_date&gt;&lt;url&gt;http://eutils.ncbi.nlm.nih.gov/entrez/eutils/elink.fcgi?dbfrom=pubmed&amp;amp;id=18780740&amp;amp;retmode=ref&amp;amp;cmd=prlinks&lt;/url&gt;&lt;citekey&gt;RefWorks:166&lt;/citekey&gt;&lt;type&gt;400&lt;/type&gt;&lt;title&gt;A genome-scan method to identify selected loci appropriate for both dominant and codominant markers: a Bayesian perspective.&lt;/title&gt;&lt;location&gt;602,0,0,0&lt;/location&gt;&lt;institution&gt;Laboratoire d'Ecologie Alpine, 38041 Grenoble Cedex 09, France. matthieu.foll@zoo.unibe.ch&lt;/institution&gt;&lt;number&gt;2&lt;/number&gt;&lt;subtype&gt;400&lt;/subtype&gt;&lt;endpage&gt;993&lt;/endpage&gt;&lt;bundle&gt;&lt;publication&gt;&lt;title&gt;Genetics&lt;/title&gt;&lt;type&gt;-100&lt;/type&gt;&lt;subtype&gt;-100&lt;/subtype&gt;&lt;uuid&gt;11DBAA9B-C36A-48C0-9FD0-A64AF5948D71&lt;/uuid&gt;&lt;/publication&gt;&lt;/bundle&gt;&lt;authors&gt;&lt;author&gt;&lt;firstName&gt;Matthieu&lt;/firstName&gt;&lt;lastName&gt;Foll&lt;/lastName&gt;&lt;/author&gt;&lt;author&gt;&lt;firstName&gt;Oscar&lt;/firstName&gt;&lt;lastName&gt;Gaggiotti&lt;/lastName&gt;&lt;/author&gt;&lt;/authors&gt;&lt;/publication&gt;&lt;publication&gt;&lt;uuid&gt;43AB686B-9CE2-4CD2-883F-23EB3B7C4562&lt;/uuid&gt;&lt;volume&gt;19&lt;/volume&gt;&lt;doi&gt;10.1101/gr.086652.108&lt;/doi&gt;&lt;startpage&gt;711&lt;/startpage&gt;&lt;publication_date&gt;99200905001200000000220000&lt;/publication_date&gt;&lt;url&gt;http://eutils.ncbi.nlm.nih.gov/entrez/eutils/elink.fcgi?dbfrom=pubmed&amp;amp;id=19411596&amp;amp;retmode=ref&amp;amp;cmd=prlinks&lt;/url&gt;&lt;citekey&gt;RefWorks:78&lt;/citekey&gt;&lt;type&gt;400&lt;/type&gt;&lt;title&gt;Constructing genomic maps of positive selection in humans: where do we go from here?&lt;/title&gt;&lt;location&gt;200,5,47.6508882,-122.3084023&lt;/location&gt;&lt;institution&gt;Department of Genome Sciences, University of Washington, Seattle, WA 98195, USA. akeyj@u.washington.edu&lt;/institution&gt;&lt;number&gt;5&lt;/number&gt;&lt;subtype&gt;400&lt;/subtype&gt;&lt;endpage&gt;722&lt;/endpage&gt;&lt;bundle&gt;&lt;publication&gt;&lt;title&gt;Genome Res.&lt;/title&gt;&lt;type&gt;-100&lt;/type&gt;&lt;subtype&gt;-100&lt;/subtype&gt;&lt;uuid&gt;5DECB689-996D-46CA-937E-79CF4E9B7144&lt;/uuid&gt;&lt;/publication&gt;&lt;/bundle&gt;&lt;authors&gt;&lt;author&gt;&lt;firstName&gt;Joshua&lt;/firstName&gt;&lt;middleNames&gt;M&lt;/middleNames&gt;&lt;lastName&gt;Akey&lt;/lastName&gt;&lt;/author&gt;&lt;/authors&gt;&lt;/publication&gt;&lt;publication&gt;&lt;uuid&gt;43959367-4179-4C53-A1AC-1BF01049B67A&lt;/uuid&gt;&lt;volume&gt;19&lt;/volume&gt;&lt;doi&gt;10.1101/gr.083394.108&lt;/doi&gt;&lt;startpage&gt;804&lt;/startpage&gt;&lt;publication_date&gt;99200905001200000000220000&lt;/publication_date&gt;&lt;url&gt;http://eutils.ncbi.nlm.nih.gov/entrez/eutils/elink.fcgi?dbfrom=pubmed&amp;amp;id=19265028&amp;amp;retmode=ref&amp;amp;cmd=prlinks&lt;/url&gt;&lt;citekey&gt;RefWorks:87&lt;/citekey&gt;&lt;type&gt;400&lt;/type&gt;&lt;title&gt;Geographical structure and differential natural selection among North European populations.&lt;/title&gt;&lt;location&gt;200,9,-27.4492760,153.0262570&lt;/location&gt;&lt;institution&gt;Queensland Institute of Medical Research, Brisbane, Queensland, Australia. brian.mcevoy@qimr.edu.au&lt;/institution&gt;&lt;number&gt;5&lt;/number&gt;&lt;subtype&gt;400&lt;/subtype&gt;&lt;endpage&gt;814&lt;/endpage&gt;&lt;bundle&gt;&lt;publication&gt;&lt;title&gt;Genome Res.&lt;/title&gt;&lt;type&gt;-100&lt;/type&gt;&lt;subtype&gt;-100&lt;/subtype&gt;&lt;uuid&gt;5DECB689-996D-46CA-937E-79CF4E9B7144&lt;/uuid&gt;&lt;/publication&gt;&lt;/bundle&gt;&lt;authors&gt;&lt;author&gt;&lt;firstName&gt;Brian&lt;/firstName&gt;&lt;middleNames&gt;P&lt;/middleNames&gt;&lt;lastName&gt;McEvoy&lt;/lastName&gt;&lt;/author&gt;&lt;author&gt;&lt;firstName&gt;Grant&lt;/firstName&gt;&lt;middleNames&gt;W&lt;/middleNames&gt;&lt;lastName&gt;Montgomery&lt;/lastName&gt;&lt;/author&gt;&lt;author&gt;&lt;firstName&gt;Allan&lt;/firstName&gt;&lt;middleNames&gt;F&lt;/middleNames&gt;&lt;lastName&gt;McRae&lt;/lastName&gt;&lt;/author&gt;&lt;author&gt;&lt;firstName&gt;Samuli&lt;/firstName&gt;&lt;lastName&gt;Ripatti&lt;/lastName&gt;&lt;/author&gt;&lt;author&gt;&lt;firstName&gt;Markus&lt;/firstName&gt;&lt;lastName&gt;Perola&lt;/lastName&gt;&lt;/author&gt;&lt;author&gt;&lt;firstName&gt;Tim&lt;/firstName&gt;&lt;middleNames&gt;D&lt;/middleNames&gt;&lt;lastName&gt;Spector&lt;/lastName&gt;&lt;/author&gt;&lt;author&gt;&lt;firstName&gt;Lynn&lt;/firstName&gt;&lt;lastName&gt;Cherkas&lt;/lastName&gt;&lt;/author&gt;&lt;author&gt;&lt;firstName&gt;Kourosh&lt;/firstName&gt;&lt;middleNames&gt;R&lt;/middleNames&gt;&lt;lastName&gt;Ahmadi&lt;/lastName&gt;&lt;/author&gt;&lt;author&gt;&lt;firstName&gt;Dorret&lt;/firstName&gt;&lt;lastName&gt;Boomsma&lt;/lastName&gt;&lt;/author&gt;&lt;author&gt;&lt;firstName&gt;Gonneke&lt;/firstName&gt;&lt;lastName&gt;Willemsen&lt;/lastName&gt;&lt;/author&gt;&lt;author&gt;&lt;firstName&gt;Jouke&lt;/firstName&gt;&lt;middleNames&gt;J&lt;/middleNames&gt;&lt;lastName&gt;Hottenga&lt;/lastName&gt;&lt;/author&gt;&lt;author&gt;&lt;firstName&gt;Nancy&lt;/firstName&gt;&lt;middleNames&gt;L&lt;/middleNames&gt;&lt;lastName&gt;Pedersen&lt;/lastName&gt;&lt;/author&gt;&lt;author&gt;&lt;firstName&gt;Patrik&lt;/firstName&gt;&lt;middleNames&gt;K E&lt;/middleNames&gt;&lt;lastName&gt;Magnusson&lt;/lastName&gt;&lt;/author&gt;&lt;author&gt;&lt;firstName&gt;Kirsten&lt;/firstName&gt;&lt;middleNames&gt;Ohm&lt;/middleNames&gt;&lt;lastName&gt;Kyvik&lt;/lastName&gt;&lt;/author&gt;&lt;author&gt;&lt;firstName&gt;Kaare&lt;/firstName&gt;&lt;lastName&gt;Christensen&lt;/lastName&gt;&lt;/author&gt;&lt;author&gt;&lt;firstName&gt;Jaakko&lt;/firstName&gt;&lt;lastName&gt;Kaprio&lt;/lastName&gt;&lt;/author&gt;&lt;author&gt;&lt;firstName&gt;Kauko&lt;/firstName&gt;&lt;lastName&gt;Heikkilä&lt;/lastName&gt;&lt;/author&gt;&lt;author&gt;&lt;firstName&gt;Aarno&lt;/firstName&gt;&lt;lastName&gt;Palotie&lt;/lastName&gt;&lt;/author&gt;&lt;author&gt;&lt;firstName&gt;Elisabeth&lt;/firstName&gt;&lt;lastName&gt;Widen&lt;/lastName&gt;&lt;/author&gt;&lt;author&gt;&lt;firstName&gt;Juha&lt;/firstName&gt;&lt;lastName&gt;Muilu&lt;/lastName&gt;&lt;/author&gt;&lt;author&gt;&lt;firstName&gt;Ann-Christine&lt;/firstName&gt;&lt;lastName&gt;Syvänen&lt;/lastName&gt;&lt;/author&gt;&lt;author&gt;&lt;firstName&gt;Ulrika&lt;/firstName&gt;&lt;lastName&gt;Liljedahl&lt;/lastName&gt;&lt;/author&gt;&lt;author&gt;&lt;firstName&gt;Orla&lt;/firstName&gt;&lt;lastName&gt;Hardiman&lt;/lastName&gt;&lt;/author&gt;&lt;author&gt;&lt;firstName&gt;Simon&lt;/firstName&gt;&lt;lastName&gt;Cronin&lt;/lastName&gt;&lt;/author&gt;&lt;author&gt;&lt;firstName&gt;Leena&lt;/firstName&gt;&lt;lastName&gt;Peltonen&lt;/lastName&gt;&lt;/author&gt;&lt;author&gt;&lt;firstName&gt;Nicholas&lt;/firstName&gt;&lt;middleNames&gt;G&lt;/middleNames&gt;&lt;lastName&gt;Martin&lt;/lastName&gt;&lt;/author&gt;&lt;author&gt;&lt;firstName&gt;Peter&lt;/firstName&gt;&lt;middleNames&gt;M&lt;/middleNames&gt;&lt;lastName&gt;Visscher&lt;/lastName&gt;&lt;/author&gt;&lt;/authors&gt;&lt;/publication&gt;&lt;publication&gt;&lt;uuid&gt;B5184897-F3B5-44A2-92B4-1D0049EAEA37&lt;/uuid&gt;&lt;volume&gt;19&lt;/volume&gt;&lt;doi&gt;10.1101/gr.087577.108&lt;/doi&gt;&lt;startpage&gt;826&lt;/startpage&gt;&lt;publication_date&gt;99200905001200000000220000&lt;/publication_date&gt;&lt;url&gt;http://eutils.ncbi.nlm.nih.gov/entrez/eutils/elink.fcgi?dbfrom=pubmed&amp;amp;id=19307593&amp;amp;retmode=ref&amp;amp;cmd=prlinks&lt;/url&gt;&lt;citekey&gt;RefWorks:29&lt;/citekey&gt;&lt;type&gt;400&lt;/type&gt;&lt;title&gt;Signals of recent positive selection in a worldwide sample of human populations.&lt;/title&gt;&lt;location&gt;200,9,41.7904566,-87.6025419&lt;/location&gt;&lt;institution&gt;Department of Human Genetics, The University of Chicago, Chicago, IL 60637, USA. pickrell@uchicago.edu&lt;/institution&gt;&lt;number&gt;5&lt;/number&gt;&lt;subtype&gt;400&lt;/subtype&gt;&lt;endpage&gt;837&lt;/endpage&gt;&lt;bundle&gt;&lt;publication&gt;&lt;title&gt;Genome Res.&lt;/title&gt;&lt;type&gt;-100&lt;/type&gt;&lt;subtype&gt;-100&lt;/subtype&gt;&lt;uuid&gt;5DECB689-996D-46CA-937E-79CF4E9B7144&lt;/uuid&gt;&lt;/publication&gt;&lt;/bundle&gt;&lt;authors&gt;&lt;author&gt;&lt;firstName&gt;Joseph&lt;/firstName&gt;&lt;middleNames&gt;K&lt;/middleNames&gt;&lt;lastName&gt;Pickrell&lt;/lastName&gt;&lt;/author&gt;&lt;author&gt;&lt;firstName&gt;Graham&lt;/firstName&gt;&lt;lastName&gt;Coop&lt;/lastName&gt;&lt;/author&gt;&lt;author&gt;&lt;firstName&gt;John&lt;/firstName&gt;&lt;lastName&gt;Novembre&lt;/lastName&gt;&lt;/author&gt;&lt;author&gt;&lt;firstName&gt;Sridhar&lt;/firstName&gt;&lt;lastName&gt;Kudaravalli&lt;/lastName&gt;&lt;/author&gt;&lt;author&gt;&lt;firstName&gt;Jun&lt;/firstName&gt;&lt;middleNames&gt;Z&lt;/middleNames&gt;&lt;lastName&gt;Li&lt;/lastName&gt;&lt;/author&gt;&lt;author&gt;&lt;firstName&gt;Devin&lt;/firstName&gt;&lt;lastName&gt;Absher&lt;/lastName&gt;&lt;/author&gt;&lt;author&gt;&lt;firstName&gt;Balaji&lt;/firstName&gt;&lt;middleNames&gt;S&lt;/middleNames&gt;&lt;lastName&gt;Srinivasan&lt;/lastName&gt;&lt;/author&gt;&lt;author&gt;&lt;firstName&gt;Gregory&lt;/firstName&gt;&lt;middleNames&gt;S&lt;/middleNames&gt;&lt;lastName&gt;Barsh&lt;/lastName&gt;&lt;/author&gt;&lt;author&gt;&lt;firstName&gt;Richard&lt;/firstName&gt;&lt;middleNames&gt;M&lt;/middleNames&gt;&lt;lastName&gt;Myers&lt;/lastName&gt;&lt;/author&gt;&lt;author&gt;&lt;firstName&gt;Marcus&lt;/firstName&gt;&lt;middleNames&gt;W&lt;/middleNames&gt;&lt;lastName&gt;Feldman&lt;/lastName&gt;&lt;/author&gt;&lt;author&gt;&lt;firstName&gt;Jonathan&lt;/firstName&gt;&lt;middleNames&gt;K&lt;/middleNames&gt;&lt;lastName&gt;Pritchard&lt;/lastName&gt;&lt;/author&gt;&lt;/authors&gt;&lt;/publication&gt;&lt;publication&gt;&lt;uuid&gt;0BB8C101-9651-44B4-8C57-DFAF1DC2B75A&lt;/uuid&gt;&lt;volume&gt;19&lt;/volume&gt;&lt;doi&gt;10.1101/gr.095000.109&lt;/doi&gt;&lt;startpage&gt;2154&lt;/startpage&gt;&lt;publication_date&gt;99200911001200000000220000&lt;/publication_date&gt;&lt;url&gt;http://eutils.ncbi.nlm.nih.gov/entrez/eutils/elink.fcgi?dbfrom=pubmed&amp;amp;id=19700652&amp;amp;retmode=ref&amp;amp;cmd=prlinks&lt;/url&gt;&lt;citekey&gt;RefWorks:88&lt;/citekey&gt;&lt;type&gt;400&lt;/type&gt;&lt;title&gt;Singapore Genome Variation Project: a haplotype map of three Southeast Asian populations.&lt;/title&gt;&lt;location&gt;200,5,1.2958920,103.7816380&lt;/location&gt;&lt;institution&gt;Centre for Molecular Epidemiology, National University of Singapore, Singapore 117597.&lt;/institution&gt;&lt;number&gt;11&lt;/number&gt;&lt;subtype&gt;400&lt;/subtype&gt;&lt;endpage&gt;2162&lt;/endpage&gt;&lt;bundle&gt;&lt;publication&gt;&lt;title&gt;Genome Res.&lt;/title&gt;&lt;type&gt;-100&lt;/type&gt;&lt;subtype&gt;-100&lt;/subtype&gt;&lt;uuid&gt;5DECB689-996D-46CA-937E-79CF4E9B7144&lt;/uuid&gt;&lt;/publication&gt;&lt;/bundle&gt;&lt;authors&gt;&lt;author&gt;&lt;firstName&gt;Yik-Ying&lt;/firstName&gt;&lt;lastName&gt;Teo&lt;/lastName&gt;&lt;/author&gt;&lt;author&gt;&lt;firstName&gt;Xueling&lt;/firstName&gt;&lt;lastName&gt;Sim&lt;/lastName&gt;&lt;/author&gt;&lt;author&gt;&lt;firstName&gt;Rick&lt;/firstName&gt;&lt;middleNames&gt;T H&lt;/middleNames&gt;&lt;lastName&gt;Ong&lt;/lastName&gt;&lt;/author&gt;&lt;author&gt;&lt;firstName&gt;Adrian&lt;/firstName&gt;&lt;middleNames&gt;K S&lt;/middleNames&gt;&lt;lastName&gt;Tan&lt;/lastName&gt;&lt;/author&gt;&lt;author&gt;&lt;firstName&gt;Jieming&lt;/firstName&gt;&lt;lastName&gt;Chen&lt;/lastName&gt;&lt;/author&gt;&lt;author&gt;&lt;firstName&gt;Erwin&lt;/firstName&gt;&lt;lastName&gt;Tantoso&lt;/lastName&gt;&lt;/author&gt;&lt;author&gt;&lt;firstName&gt;Kerrin&lt;/firstName&gt;&lt;middleNames&gt;S&lt;/middleNames&gt;&lt;lastName&gt;Small&lt;/lastName&gt;&lt;/author&gt;&lt;author&gt;&lt;firstName&gt;Chee-Seng&lt;/firstName&gt;&lt;lastName&gt;Ku&lt;/lastName&gt;&lt;/author&gt;&lt;author&gt;&lt;firstName&gt;Edmund&lt;/firstName&gt;&lt;middleNames&gt;J D&lt;/middleNames&gt;&lt;lastName&gt;Lee&lt;/lastName&gt;&lt;/author&gt;&lt;author&gt;&lt;firstName&gt;Mark&lt;/firstName&gt;&lt;lastName&gt;Seielstad&lt;/lastName&gt;&lt;/author&gt;&lt;author&gt;&lt;firstName&gt;Kee-Seng&lt;/firstName&gt;&lt;lastName&gt;Chia&lt;/lastName&gt;&lt;/author&gt;&lt;/authors&gt;&lt;/publication&gt;&lt;publication&gt;&lt;uuid&gt;B73D21D6-CD82-4D1E-8E04-529B46DD7932&lt;/uuid&gt;&lt;volume&gt;89&lt;/volume&gt;&lt;accepted_date&gt;99201107291200000000222000&lt;/accepted_date&gt;&lt;doi&gt;10.1016/j.ajhg.2011.07.025&lt;/doi&gt;&lt;startpage&gt;368&lt;/startpage&gt;&lt;revision_date&gt;99201107181200000000222000&lt;/revision_date&gt;&lt;publication_date&gt;99201109091200000000222000&lt;/publication_date&gt;&lt;url&gt;http://eutils.ncbi.nlm.nih.gov/entrez/eutils/elink.fcgi?dbfrom=pubmed&amp;amp;id=21907010&amp;amp;retmode=ref&amp;amp;cmd=prlinks&lt;/url&gt;&lt;citekey&gt;RefWorks:91&lt;/citekey&gt;&lt;type&gt;400&lt;/type&gt;&lt;title&gt;Genome-wide comparison of African-ancestry populations from CARe and other cohorts reveals signals of natural selection.&lt;/title&gt;&lt;location&gt;200,4,42.3736158,-71.1097335&lt;/location&gt;&lt;submission_date&gt;99201105191200000000222000&lt;/submission_date&gt;&lt;number&gt;3&lt;/number&gt;&lt;institution&gt;Harvard- Massachusetts Institute of Technology (MIT) Division of Health, Science and Technology, Cambridge, USA. gbhatia@mit.edu&lt;/institution&gt;&lt;subtype&gt;400&lt;/subtype&gt;&lt;endpage&gt;381&lt;/endpage&gt;&lt;bundle&gt;&lt;publication&gt;&lt;title&gt;American journal of human genetics&lt;/title&gt;&lt;type&gt;-100&lt;/type&gt;&lt;subtype&gt;-100&lt;/subtype&gt;&lt;uuid&gt;7F149FF1-FDF9-49D9-B945-2C5EAD96D91E&lt;/uuid&gt;&lt;/publication&gt;&lt;/bundle&gt;&lt;authors&gt;&lt;author&gt;&lt;firstName&gt;Gaurav&lt;/firstName&gt;&lt;lastName&gt;Bhatia&lt;/lastName&gt;&lt;/author&gt;&lt;author&gt;&lt;firstName&gt;Nick&lt;/firstName&gt;&lt;lastName&gt;Patterson&lt;/lastName&gt;&lt;/author&gt;&lt;author&gt;&lt;firstName&gt;Bogdan&lt;/firstName&gt;&lt;lastName&gt;Pasaniuc&lt;/lastName&gt;&lt;/author&gt;&lt;author&gt;&lt;firstName&gt;Noah&lt;/firstName&gt;&lt;lastName&gt;Zaitlen&lt;/lastName&gt;&lt;/author&gt;&lt;author&gt;&lt;firstName&gt;Giulio&lt;/firstName&gt;&lt;lastName&gt;Genovese&lt;/lastName&gt;&lt;/author&gt;&lt;author&gt;&lt;firstName&gt;Samuela&lt;/firstName&gt;&lt;lastName&gt;Pollack&lt;/lastName&gt;&lt;/author&gt;&lt;author&gt;&lt;firstName&gt;Swapan&lt;/firstName&gt;&lt;lastName&gt;Mallick&lt;/lastName&gt;&lt;/author&gt;&lt;author&gt;&lt;firstName&gt;Simon&lt;/firstName&gt;&lt;lastName&gt;Myers&lt;/lastName&gt;&lt;/author&gt;&lt;author&gt;&lt;firstName&gt;Arti&lt;/firstName&gt;&lt;lastName&gt;Tandon&lt;/lastName&gt;&lt;/author&gt;&lt;author&gt;&lt;firstName&gt;Chris&lt;/firstName&gt;&lt;lastName&gt;Spencer&lt;/lastName&gt;&lt;/author&gt;&lt;author&gt;&lt;firstName&gt;Cameron&lt;/firstName&gt;&lt;middleNames&gt;D&lt;/middleNames&gt;&lt;lastName&gt;Palmer&lt;/lastName&gt;&lt;/author&gt;&lt;author&gt;&lt;firstName&gt;Adebowale&lt;/firstName&gt;&lt;middleNames&gt;A&lt;/middleNames&gt;&lt;lastName&gt;Adeyemo&lt;/lastName&gt;&lt;/author&gt;&lt;author&gt;&lt;firstName&gt;Ermeg&lt;/firstName&gt;&lt;middleNames&gt;L&lt;/middleNames&gt;&lt;lastName&gt;Akylbekova&lt;/lastName&gt;&lt;/author&gt;&lt;author&gt;&lt;firstName&gt;L&lt;/firstName&gt;&lt;middleNames&gt;Adrienne&lt;/middleNames&gt;&lt;lastName&gt;Cupples&lt;/lastName&gt;&lt;/author&gt;&lt;author&gt;&lt;firstName&gt;Jasmin&lt;/firstName&gt;&lt;lastName&gt;Divers&lt;/lastName&gt;&lt;/author&gt;&lt;author&gt;&lt;firstName&gt;Myriam&lt;/firstName&gt;&lt;lastName&gt;Fornage&lt;/lastName&gt;&lt;/author&gt;&lt;author&gt;&lt;firstName&gt;W&lt;/firstName&gt;&lt;middleNames&gt;H Linda&lt;/middleNames&gt;&lt;lastName&gt;Kao&lt;/lastName&gt;&lt;/author&gt;&lt;author&gt;&lt;firstName&gt;Leslie&lt;/firstName&gt;&lt;lastName&gt;Lange&lt;/lastName&gt;&lt;/author&gt;&lt;author&gt;&lt;firstName&gt;Mingyao&lt;/firstName&gt;&lt;lastName&gt;Li&lt;/lastName&gt;&lt;/author&gt;&lt;author&gt;&lt;firstName&gt;Solomon&lt;/firstName&gt;&lt;lastName&gt;Musani&lt;/lastName&gt;&lt;/author&gt;&lt;author&gt;&lt;firstName&gt;Josyf&lt;/firstName&gt;&lt;middleNames&gt;C&lt;/middleNames&gt;&lt;lastName&gt;Mychaleckyj&lt;/lastName&gt;&lt;/author&gt;&lt;author&gt;&lt;firstName&gt;Adesola&lt;/firstName&gt;&lt;lastName&gt;Ogunniyi&lt;/lastName&gt;&lt;/author&gt;&lt;author&gt;&lt;firstName&gt;George&lt;/firstName&gt;&lt;lastName&gt;Papanicolaou&lt;/lastName&gt;&lt;/author&gt;&lt;author&gt;&lt;firstName&gt;Charles&lt;/firstName&gt;&lt;middleNames&gt;N&lt;/middleNames&gt;&lt;lastName&gt;Rotimi&lt;/lastName&gt;&lt;/author&gt;&lt;author&gt;&lt;firstName&gt;Jerome&lt;/firstName&gt;&lt;middleNames&gt;I&lt;/middleNames&gt;&lt;lastName&gt;Rotter&lt;/lastName&gt;&lt;/author&gt;&lt;author&gt;&lt;firstName&gt;Ingo&lt;/firstName&gt;&lt;lastName&gt;Ruczinski&lt;/lastName&gt;&lt;/author&gt;&lt;author&gt;&lt;firstName&gt;Babatunde&lt;/firstName&gt;&lt;lastName&gt;Salako&lt;/lastName&gt;&lt;/author&gt;&lt;author&gt;&lt;firstName&gt;David&lt;/firstName&gt;&lt;middleNames&gt;S&lt;/middleNames&gt;&lt;lastName&gt;Siscovick&lt;/lastName&gt;&lt;/author&gt;&lt;author&gt;&lt;firstName&gt;Bamidele&lt;/firstName&gt;&lt;middleNames&gt;O&lt;/middleNames&gt;&lt;lastName&gt;Tayo&lt;/lastName&gt;&lt;/author&gt;&lt;author&gt;&lt;firstName&gt;Qiong&lt;/firstName&gt;&lt;lastName&gt;Yang&lt;/lastName&gt;&lt;/author&gt;&lt;author&gt;&lt;firstName&gt;Steve&lt;/firstName&gt;&lt;lastName&gt;McCarroll&lt;/lastName&gt;&lt;/author&gt;&lt;author&gt;&lt;firstName&gt;Pardis&lt;/firstName&gt;&lt;lastName&gt;Sabeti&lt;/lastName&gt;&lt;/author&gt;&lt;author&gt;&lt;firstName&gt;Guillaume&lt;/firstName&gt;&lt;lastName&gt;Lettre&lt;/lastName&gt;&lt;/author&gt;&lt;author&gt;&lt;nonDroppingParticle&gt;De&lt;/nonDroppingParticle&gt;&lt;firstName&gt;Phil&lt;/firstName&gt;&lt;lastName&gt;Jager&lt;/lastName&gt;&lt;/author&gt;&lt;author&gt;&lt;firstName&gt;Joel&lt;/firstName&gt;&lt;lastName&gt;Hirschhorn&lt;/lastName&gt;&lt;/author&gt;&lt;author&gt;&lt;firstName&gt;Xiaofeng&lt;/firstName&gt;&lt;lastName&gt;Zhu&lt;/lastName&gt;&lt;/author&gt;&lt;author&gt;&lt;firstName&gt;Richard&lt;/firstName&gt;&lt;lastName&gt;Cooper&lt;/lastName&gt;&lt;/author&gt;&lt;author&gt;&lt;firstName&gt;David&lt;/firstName&gt;&lt;lastName&gt;Reich&lt;/lastName&gt;&lt;/author&gt;&lt;author&gt;&lt;firstName&gt;James&lt;/firstName&gt;&lt;middleNames&gt;G&lt;/middleNames&gt;&lt;lastName&gt;Wilson&lt;/lastName&gt;&lt;/author&gt;&lt;author&gt;&lt;firstName&gt;Alkes&lt;/firstName&gt;&lt;middleNames&gt;L&lt;/middleNames&gt;&lt;lastName&gt;Price&lt;/lastName&gt;&lt;/author&gt;&lt;/authors&gt;&lt;/publication&gt;&lt;publication&gt;&lt;uuid&gt;00F8CD4C-499D-4100-B16A-0826472133DE&lt;/uuid&gt;&lt;volume&gt;22&lt;/volume&gt;&lt;doi&gt;10.1101/gr.124784.111&lt;/doi&gt;&lt;startpage&gt;519&lt;/startpage&gt;&lt;publication_date&gt;99201203001200000000220000&lt;/publication_date&gt;&lt;url&gt;http://eutils.ncbi.nlm.nih.gov/entrez/eutils/elink.fcgi?dbfrom=pubmed&amp;amp;id=22128132&amp;amp;retmode=ref&amp;amp;cmd=prlinks&lt;/url&gt;&lt;citekey&gt;RefWorks:89&lt;/citekey&gt;&lt;type&gt;400&lt;/type&gt;&lt;title&gt;Genome-wide detection of natural selection in African Americans pre- and post-admixture.&lt;/title&gt;&lt;location&gt;602,0,0,0&lt;/location&gt;&lt;institution&gt;Chinese Academy of Sciences Key Laboratory of Computational Biology, Chinese Academy of Sciences and Max Planck Society (CAS-MPG) Partner Institute for Computational Biology, Shanghai Institutes for Biological Sciences, Chinese Academy of Sciences, Shanghai, China.&lt;/institution&gt;&lt;number&gt;3&lt;/number&gt;&lt;subtype&gt;400&lt;/subtype&gt;&lt;endpage&gt;527&lt;/endpage&gt;&lt;bundle&gt;&lt;publication&gt;&lt;title&gt;Genome Res.&lt;/title&gt;&lt;type&gt;-100&lt;/type&gt;&lt;subtype&gt;-100&lt;/subtype&gt;&lt;uuid&gt;5DECB689-996D-46CA-937E-79CF4E9B7144&lt;/uuid&gt;&lt;/publication&gt;&lt;/bundle&gt;&lt;authors&gt;&lt;author&gt;&lt;firstName&gt;Wenfei&lt;/firstName&gt;&lt;lastName&gt;Jin&lt;/lastName&gt;&lt;/author&gt;&lt;author&gt;&lt;firstName&gt;Shuhua&lt;/firstName&gt;&lt;lastName&gt;Xu&lt;/lastName&gt;&lt;/author&gt;&lt;author&gt;&lt;firstName&gt;Haifeng&lt;/firstName&gt;&lt;lastName&gt;Wang&lt;/lastName&gt;&lt;/author&gt;&lt;author&gt;&lt;firstName&gt;Yongguo&lt;/firstName&gt;&lt;lastName&gt;Yu&lt;/lastName&gt;&lt;/author&gt;&lt;author&gt;&lt;firstName&gt;Yiping&lt;/firstName&gt;&lt;lastName&gt;Shen&lt;/lastName&gt;&lt;/author&gt;&lt;author&gt;&lt;firstName&gt;Bailin&lt;/firstName&gt;&lt;lastName&gt;Wu&lt;/lastName&gt;&lt;/author&gt;&lt;author&gt;&lt;firstName&gt;Li&lt;/firstName&gt;&lt;lastName&gt;Jin&lt;/lastName&gt;&lt;/author&gt;&lt;/authors&gt;&lt;/publication&gt;&lt;/publications&gt;&lt;cites&gt;&lt;/cites&gt;&lt;/citation&gt;</w:instrText>
      </w:r>
      <w:r w:rsidR="00862942">
        <w:fldChar w:fldCharType="separate"/>
      </w:r>
      <w:r w:rsidR="00D73545">
        <w:rPr>
          <w:rFonts w:cs="Cambria"/>
        </w:rPr>
        <w:t>(Lewontin and Krakauer 1973; Wright 1949; Nicholson et al. 2002; Beaumont and Balding 2004; Foll and Gaggiotti 2008; Akey 2009; McEvoy et al. 2009; Pickrell et al. 2009; Teo et al. 2009; Bhatia et al. 2011; Jin et al. 2012)</w:t>
      </w:r>
      <w:r w:rsidR="00862942">
        <w:fldChar w:fldCharType="end"/>
      </w:r>
      <w:r>
        <w:t xml:space="preserve">. Each of these conceptual definitions corresponds with estimates from extant populations only when a series of underlying assumptions about demographic history (i.e. no migration), systems of mating (i.e. panmixia) and sampling (i.e. equal sample sizes) hold (see </w:t>
      </w:r>
      <w:r w:rsidR="003A2591">
        <w:t>Table S2</w:t>
      </w:r>
      <w:r>
        <w:t>). However, when these are violated, estimates from extant populations may not correspond with the conceptual definition</w:t>
      </w:r>
    </w:p>
    <w:p w14:paraId="6516BAA9" w14:textId="77777777" w:rsidR="003D5548" w:rsidRPr="0033263A" w:rsidRDefault="00FB10C0" w:rsidP="003D5548">
      <w:pPr>
        <w:pStyle w:val="Heading1"/>
      </w:pPr>
      <w:bookmarkStart w:id="23" w:name="_Toc232440792"/>
      <w:bookmarkStart w:id="24" w:name="_Toc232704450"/>
      <w:bookmarkStart w:id="25" w:name="_Toc232777575"/>
      <w:r>
        <w:t xml:space="preserve">Use of the WC Estimator in </w:t>
      </w:r>
      <w:r w:rsidR="003D5548" w:rsidRPr="0033263A">
        <w:t>Studies of Selection</w:t>
      </w:r>
      <w:bookmarkEnd w:id="23"/>
      <w:bookmarkEnd w:id="24"/>
      <w:bookmarkEnd w:id="25"/>
      <w:r w:rsidR="003D5548">
        <w:t xml:space="preserve"> </w:t>
      </w:r>
    </w:p>
    <w:p w14:paraId="3403D843" w14:textId="77777777" w:rsidR="003D5548" w:rsidRPr="00E41079" w:rsidRDefault="005A754D" w:rsidP="005A754D">
      <w:pPr>
        <w:ind w:firstLine="720"/>
      </w:pPr>
      <w:r>
        <w:t>E</w:t>
      </w:r>
      <w:r w:rsidR="003D5548">
        <w:t xml:space="preserve">stimation of </w:t>
      </w:r>
      <w:r w:rsidR="003D5548" w:rsidRPr="001C257D">
        <w:rPr>
          <w:i/>
        </w:rPr>
        <w:t>F</w:t>
      </w:r>
      <w:r w:rsidR="003D5548" w:rsidRPr="001C257D">
        <w:rPr>
          <w:vertAlign w:val="subscript"/>
        </w:rPr>
        <w:t>ST</w:t>
      </w:r>
      <w:r w:rsidR="003D5548">
        <w:t xml:space="preserve"> </w:t>
      </w:r>
      <w:r>
        <w:t>has a</w:t>
      </w:r>
      <w:r w:rsidR="003D5548">
        <w:t xml:space="preserve"> particularly strong impact on studies of selection using population differentiation. Here we consider studies that rank single-SNP estimates of </w:t>
      </w:r>
      <w:r w:rsidR="003D5548" w:rsidRPr="001C257D">
        <w:rPr>
          <w:i/>
        </w:rPr>
        <w:t>F</w:t>
      </w:r>
      <w:r w:rsidR="003D5548" w:rsidRPr="001C257D">
        <w:rPr>
          <w:vertAlign w:val="subscript"/>
        </w:rPr>
        <w:t>ST</w:t>
      </w:r>
      <w:r>
        <w:t>—typically made using the WC estimator—</w:t>
      </w:r>
      <w:r w:rsidR="003D5548">
        <w:t xml:space="preserve">and report SNPs in the upper tail of the distribution as signals of selection </w:t>
      </w:r>
      <w:r w:rsidR="00862942">
        <w:fldChar w:fldCharType="begin"/>
      </w:r>
      <w:r w:rsidR="00D73545">
        <w:instrText xml:space="preserve"> ADDIN PAPERS2_CITATIONS &lt;citation&gt;&lt;uuid&gt;90E7BC63-9859-4525-A866-6F882644B7C7&lt;/uuid&gt;&lt;priority&gt;6&lt;/priority&gt;&lt;publications&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43AB686B-9CE2-4CD2-883F-23EB3B7C4562&lt;/uuid&gt;&lt;volume&gt;19&lt;/volume&gt;&lt;doi&gt;10.1101/gr.086652.108&lt;/doi&gt;&lt;startpage&gt;711&lt;/startpage&gt;&lt;publication_date&gt;99200905001200000000220000&lt;/publication_date&gt;&lt;url&gt;http://eutils.ncbi.nlm.nih.gov/entrez/eutils/elink.fcgi?dbfrom=pubmed&amp;amp;id=19411596&amp;amp;retmode=ref&amp;amp;cmd=prlinks&lt;/url&gt;&lt;citekey&gt;RefWorks:78&lt;/citekey&gt;&lt;type&gt;400&lt;/type&gt;&lt;title&gt;Constructing genomic maps of positive selection in humans: where do we go from here?&lt;/title&gt;&lt;location&gt;200,5,47.6508882,-122.3084023&lt;/location&gt;&lt;institution&gt;Department of Genome Sciences, University of Washington, Seattle, WA 98195, USA. akeyj@u.washington.edu&lt;/institution&gt;&lt;number&gt;5&lt;/number&gt;&lt;subtype&gt;400&lt;/subtype&gt;&lt;endpage&gt;722&lt;/endpage&gt;&lt;bundle&gt;&lt;publication&gt;&lt;title&gt;Genome Res.&lt;/title&gt;&lt;type&gt;-100&lt;/type&gt;&lt;subtype&gt;-100&lt;/subtype&gt;&lt;uuid&gt;5DECB689-996D-46CA-937E-79CF4E9B7144&lt;/uuid&gt;&lt;/publication&gt;&lt;/bundle&gt;&lt;authors&gt;&lt;author&gt;&lt;firstName&gt;Joshua&lt;/firstName&gt;&lt;middleNames&gt;M&lt;/middleNames&gt;&lt;lastName&gt;Akey&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43959367-4179-4C53-A1AC-1BF01049B67A&lt;/uuid&gt;&lt;volume&gt;19&lt;/volume&gt;&lt;doi&gt;10.1101/gr.083394.108&lt;/doi&gt;&lt;startpage&gt;804&lt;/startpage&gt;&lt;publication_date&gt;99200905001200000000220000&lt;/publication_date&gt;&lt;url&gt;http://eutils.ncbi.nlm.nih.gov/entrez/eutils/elink.fcgi?dbfrom=pubmed&amp;amp;id=19265028&amp;amp;retmode=ref&amp;amp;cmd=prlinks&lt;/url&gt;&lt;citekey&gt;RefWorks:87&lt;/citekey&gt;&lt;type&gt;400&lt;/type&gt;&lt;title&gt;Geographical structure and differential natural selection among North European populations.&lt;/title&gt;&lt;location&gt;200,9,-27.4492760,153.0262570&lt;/location&gt;&lt;institution&gt;Queensland Institute of Medical Research, Brisbane, Queensland, Australia. brian.mcevoy@qimr.edu.au&lt;/institution&gt;&lt;number&gt;5&lt;/number&gt;&lt;subtype&gt;400&lt;/subtype&gt;&lt;endpage&gt;814&lt;/endpage&gt;&lt;bundle&gt;&lt;publication&gt;&lt;title&gt;Genome Res.&lt;/title&gt;&lt;type&gt;-100&lt;/type&gt;&lt;subtype&gt;-100&lt;/subtype&gt;&lt;uuid&gt;5DECB689-996D-46CA-937E-79CF4E9B7144&lt;/uuid&gt;&lt;/publication&gt;&lt;/bundle&gt;&lt;authors&gt;&lt;author&gt;&lt;firstName&gt;Brian&lt;/firstName&gt;&lt;middleNames&gt;P&lt;/middleNames&gt;&lt;lastName&gt;McEvoy&lt;/lastName&gt;&lt;/author&gt;&lt;author&gt;&lt;firstName&gt;Grant&lt;/firstName&gt;&lt;middleNames&gt;W&lt;/middleNames&gt;&lt;lastName&gt;Montgomery&lt;/lastName&gt;&lt;/author&gt;&lt;author&gt;&lt;firstName&gt;Allan&lt;/firstName&gt;&lt;middleNames&gt;F&lt;/middleNames&gt;&lt;lastName&gt;McRae&lt;/lastName&gt;&lt;/author&gt;&lt;author&gt;&lt;firstName&gt;Samuli&lt;/firstName&gt;&lt;lastName&gt;Ripatti&lt;/lastName&gt;&lt;/author&gt;&lt;author&gt;&lt;firstName&gt;Markus&lt;/firstName&gt;&lt;lastName&gt;Perola&lt;/lastName&gt;&lt;/author&gt;&lt;author&gt;&lt;firstName&gt;Tim&lt;/firstName&gt;&lt;middleNames&gt;D&lt;/middleNames&gt;&lt;lastName&gt;Spector&lt;/lastName&gt;&lt;/author&gt;&lt;author&gt;&lt;firstName&gt;Lynn&lt;/firstName&gt;&lt;lastName&gt;Cherkas&lt;/lastName&gt;&lt;/author&gt;&lt;author&gt;&lt;firstName&gt;Kourosh&lt;/firstName&gt;&lt;middleNames&gt;R&lt;/middleNames&gt;&lt;lastName&gt;Ahmadi&lt;/lastName&gt;&lt;/author&gt;&lt;author&gt;&lt;firstName&gt;Dorret&lt;/firstName&gt;&lt;lastName&gt;Boomsma&lt;/lastName&gt;&lt;/author&gt;&lt;author&gt;&lt;firstName&gt;Gonneke&lt;/firstName&gt;&lt;lastName&gt;Willemsen&lt;/lastName&gt;&lt;/author&gt;&lt;author&gt;&lt;firstName&gt;Jouke&lt;/firstName&gt;&lt;middleNames&gt;J&lt;/middleNames&gt;&lt;lastName&gt;Hottenga&lt;/lastName&gt;&lt;/author&gt;&lt;author&gt;&lt;firstName&gt;Nancy&lt;/firstName&gt;&lt;middleNames&gt;L&lt;/middleNames&gt;&lt;lastName&gt;Pedersen&lt;/lastName&gt;&lt;/author&gt;&lt;author&gt;&lt;firstName&gt;Patrik&lt;/firstName&gt;&lt;middleNames&gt;K E&lt;/middleNames&gt;&lt;lastName&gt;Magnusson&lt;/lastName&gt;&lt;/author&gt;&lt;author&gt;&lt;firstName&gt;Kirsten&lt;/firstName&gt;&lt;middleNames&gt;Ohm&lt;/middleNames&gt;&lt;lastName&gt;Kyvik&lt;/lastName&gt;&lt;/author&gt;&lt;author&gt;&lt;firstName&gt;Kaare&lt;/firstName&gt;&lt;lastName&gt;Christensen&lt;/lastName&gt;&lt;/author&gt;&lt;author&gt;&lt;firstName&gt;Jaakko&lt;/firstName&gt;&lt;lastName&gt;Kaprio&lt;/lastName&gt;&lt;/author&gt;&lt;author&gt;&lt;firstName&gt;Kauko&lt;/firstName&gt;&lt;lastName&gt;Heikkilä&lt;/lastName&gt;&lt;/author&gt;&lt;author&gt;&lt;firstName&gt;Aarno&lt;/firstName&gt;&lt;lastName&gt;Palotie&lt;/lastName&gt;&lt;/author&gt;&lt;author&gt;&lt;firstName&gt;Elisabeth&lt;/firstName&gt;&lt;lastName&gt;Widen&lt;/lastName&gt;&lt;/author&gt;&lt;author&gt;&lt;firstName&gt;Juha&lt;/firstName&gt;&lt;lastName&gt;Muilu&lt;/lastName&gt;&lt;/author&gt;&lt;author&gt;&lt;firstName&gt;Ann-Christine&lt;/firstName&gt;&lt;lastName&gt;Syvänen&lt;/lastName&gt;&lt;/author&gt;&lt;author&gt;&lt;firstName&gt;Ulrika&lt;/firstName&gt;&lt;lastName&gt;Liljedahl&lt;/lastName&gt;&lt;/author&gt;&lt;author&gt;&lt;firstName&gt;Orla&lt;/firstName&gt;&lt;lastName&gt;Hardiman&lt;/lastName&gt;&lt;/author&gt;&lt;author&gt;&lt;firstName&gt;Simon&lt;/firstName&gt;&lt;lastName&gt;Cronin&lt;/lastName&gt;&lt;/author&gt;&lt;author&gt;&lt;firstName&gt;Leena&lt;/firstName&gt;&lt;lastName&gt;Peltonen&lt;/lastName&gt;&lt;/author&gt;&lt;author&gt;&lt;firstName&gt;Nicholas&lt;/firstName&gt;&lt;middleNames&gt;G&lt;/middleNames&gt;&lt;lastName&gt;Martin&lt;/lastName&gt;&lt;/author&gt;&lt;author&gt;&lt;firstName&gt;Peter&lt;/firstName&gt;&lt;middleNames&gt;M&lt;/middleNames&gt;&lt;lastName&gt;Visscher&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gt;&lt;uuid&gt;B5184897-F3B5-44A2-92B4-1D0049EAEA37&lt;/uuid&gt;&lt;volume&gt;19&lt;/volume&gt;&lt;doi&gt;10.1101/gr.087577.108&lt;/doi&gt;&lt;startpage&gt;826&lt;/startpage&gt;&lt;publication_date&gt;99200905001200000000220000&lt;/publication_date&gt;&lt;url&gt;http://eutils.ncbi.nlm.nih.gov/entrez/eutils/elink.fcgi?dbfrom=pubmed&amp;amp;id=19307593&amp;amp;retmode=ref&amp;amp;cmd=prlinks&lt;/url&gt;&lt;citekey&gt;RefWorks:29&lt;/citekey&gt;&lt;type&gt;400&lt;/type&gt;&lt;title&gt;Signals of recent positive selection in a worldwide sample of human populations.&lt;/title&gt;&lt;location&gt;200,9,41.7904566,-87.6025419&lt;/location&gt;&lt;institution&gt;Department of Human Genetics, The University of Chicago, Chicago, IL 60637, USA. pickrell@uchicago.edu&lt;/institution&gt;&lt;number&gt;5&lt;/number&gt;&lt;subtype&gt;400&lt;/subtype&gt;&lt;endpage&gt;837&lt;/endpage&gt;&lt;bundle&gt;&lt;publication&gt;&lt;title&gt;Genome Res.&lt;/title&gt;&lt;type&gt;-100&lt;/type&gt;&lt;subtype&gt;-100&lt;/subtype&gt;&lt;uuid&gt;5DECB689-996D-46CA-937E-79CF4E9B7144&lt;/uuid&gt;&lt;/publication&gt;&lt;/bundle&gt;&lt;authors&gt;&lt;author&gt;&lt;firstName&gt;Joseph&lt;/firstName&gt;&lt;middleNames&gt;K&lt;/middleNames&gt;&lt;lastName&gt;Pickrell&lt;/lastName&gt;&lt;/author&gt;&lt;author&gt;&lt;firstName&gt;Graham&lt;/firstName&gt;&lt;lastName&gt;Coop&lt;/lastName&gt;&lt;/author&gt;&lt;author&gt;&lt;firstName&gt;John&lt;/firstName&gt;&lt;lastName&gt;Novembre&lt;/lastName&gt;&lt;/author&gt;&lt;author&gt;&lt;firstName&gt;Sridhar&lt;/firstName&gt;&lt;lastName&gt;Kudaravalli&lt;/lastName&gt;&lt;/author&gt;&lt;author&gt;&lt;firstName&gt;Jun&lt;/firstName&gt;&lt;middleNames&gt;Z&lt;/middleNames&gt;&lt;lastName&gt;Li&lt;/lastName&gt;&lt;/author&gt;&lt;author&gt;&lt;firstName&gt;Devin&lt;/firstName&gt;&lt;lastName&gt;Absher&lt;/lastName&gt;&lt;/author&gt;&lt;author&gt;&lt;firstName&gt;Balaji&lt;/firstName&gt;&lt;middleNames&gt;S&lt;/middleNames&gt;&lt;lastName&gt;Srinivasan&lt;/lastName&gt;&lt;/author&gt;&lt;author&gt;&lt;firstName&gt;Gregory&lt;/firstName&gt;&lt;middleNames&gt;S&lt;/middleNames&gt;&lt;lastName&gt;Barsh&lt;/lastName&gt;&lt;/author&gt;&lt;author&gt;&lt;firstName&gt;Richard&lt;/firstName&gt;&lt;middleNames&gt;M&lt;/middleNames&gt;&lt;lastName&gt;Myers&lt;/lastName&gt;&lt;/author&gt;&lt;author&gt;&lt;firstName&gt;Marcus&lt;/firstName&gt;&lt;middleNames&gt;W&lt;/middleNames&gt;&lt;lastName&gt;Feldman&lt;/lastName&gt;&lt;/author&gt;&lt;author&gt;&lt;firstName&gt;Jonathan&lt;/firstName&gt;&lt;middleNames&gt;K&lt;/middleNames&gt;&lt;lastName&gt;Pritchard&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0BB8C101-9651-44B4-8C57-DFAF1DC2B75A&lt;/uuid&gt;&lt;volume&gt;19&lt;/volume&gt;&lt;doi&gt;10.1101/gr.095000.109&lt;/doi&gt;&lt;startpage&gt;2154&lt;/startpage&gt;&lt;publication_date&gt;99200911001200000000220000&lt;/publication_date&gt;&lt;url&gt;http://eutils.ncbi.nlm.nih.gov/entrez/eutils/elink.fcgi?dbfrom=pubmed&amp;amp;id=19700652&amp;amp;retmode=ref&amp;amp;cmd=prlinks&lt;/url&gt;&lt;citekey&gt;RefWorks:88&lt;/citekey&gt;&lt;type&gt;400&lt;/type&gt;&lt;title&gt;Singapore Genome Variation Project: a haplotype map of three Southeast Asian populations.&lt;/title&gt;&lt;location&gt;200,5,1.2958920,103.7816380&lt;/location&gt;&lt;institution&gt;Centre for Molecular Epidemiology, National University of Singapore, Singapore 117597.&lt;/institution&gt;&lt;number&gt;11&lt;/number&gt;&lt;subtype&gt;400&lt;/subtype&gt;&lt;endpage&gt;2162&lt;/endpage&gt;&lt;bundle&gt;&lt;publication&gt;&lt;title&gt;Genome Res.&lt;/title&gt;&lt;type&gt;-100&lt;/type&gt;&lt;subtype&gt;-100&lt;/subtype&gt;&lt;uuid&gt;5DECB689-996D-46CA-937E-79CF4E9B7144&lt;/uuid&gt;&lt;/publication&gt;&lt;/bundle&gt;&lt;authors&gt;&lt;author&gt;&lt;firstName&gt;Yik-Ying&lt;/firstName&gt;&lt;lastName&gt;Teo&lt;/lastName&gt;&lt;/author&gt;&lt;author&gt;&lt;firstName&gt;Xueling&lt;/firstName&gt;&lt;lastName&gt;Sim&lt;/lastName&gt;&lt;/author&gt;&lt;author&gt;&lt;firstName&gt;Rick&lt;/firstName&gt;&lt;middleNames&gt;T H&lt;/middleNames&gt;&lt;lastName&gt;Ong&lt;/lastName&gt;&lt;/author&gt;&lt;author&gt;&lt;firstName&gt;Adrian&lt;/firstName&gt;&lt;middleNames&gt;K S&lt;/middleNames&gt;&lt;lastName&gt;Tan&lt;/lastName&gt;&lt;/author&gt;&lt;author&gt;&lt;firstName&gt;Jieming&lt;/firstName&gt;&lt;lastName&gt;Chen&lt;/lastName&gt;&lt;/author&gt;&lt;author&gt;&lt;firstName&gt;Erwin&lt;/firstName&gt;&lt;lastName&gt;Tantoso&lt;/lastName&gt;&lt;/author&gt;&lt;author&gt;&lt;firstName&gt;Kerrin&lt;/firstName&gt;&lt;middleNames&gt;S&lt;/middleNames&gt;&lt;lastName&gt;Small&lt;/lastName&gt;&lt;/author&gt;&lt;author&gt;&lt;firstName&gt;Chee-Seng&lt;/firstName&gt;&lt;lastName&gt;Ku&lt;/lastName&gt;&lt;/author&gt;&lt;author&gt;&lt;firstName&gt;Edmund&lt;/firstName&gt;&lt;middleNames&gt;J D&lt;/middleNames&gt;&lt;lastName&gt;Lee&lt;/lastName&gt;&lt;/author&gt;&lt;author&gt;&lt;firstName&gt;Mark&lt;/firstName&gt;&lt;lastName&gt;Seielstad&lt;/lastName&gt;&lt;/author&gt;&lt;author&gt;&lt;firstName&gt;Kee-Seng&lt;/firstName&gt;&lt;lastName&gt;Chia&lt;/lastName&gt;&lt;/author&gt;&lt;/authors&gt;&lt;/publication&gt;&lt;publication&gt;&lt;uuid&gt;541A6A3C-72DD-4213-B15F-0D500A889351&lt;/uuid&gt;&lt;volume&gt;130&lt;/volume&gt;&lt;doi&gt;10.1111/j.1601-5223.1999.00245.x&lt;/doi&gt;&lt;startpage&gt;245&lt;/startpage&gt;&lt;publication_date&gt;99199900001200000000200000&lt;/publication_date&gt;&lt;url&gt;http://dx.doi.org/10.1111/j.1601-5223.1999.00245.x&lt;/url&gt;&lt;citekey&gt;RefWorks:151&lt;/citekey&gt;&lt;type&gt;400&lt;/type&gt;&lt;title&gt;Analysis of Genetic Diversity in Geographically Structured Populations: A Bayesian Perspective&lt;/title&gt;&lt;publisher&gt;Munksgaard International Publishers&lt;/publisher&gt;&lt;number&gt;3&lt;/number&gt;&lt;subtype&gt;400&lt;/subtype&gt;&lt;endpage&gt;255&lt;/endpage&gt;&lt;bundle&gt;&lt;publication&gt;&lt;title&gt;Hereditas&lt;/title&gt;&lt;type&gt;-100&lt;/type&gt;&lt;subtype&gt;-100&lt;/subtype&gt;&lt;uuid&gt;7F748748-B4D4-4D13-8C53-D84707B345AE&lt;/uuid&gt;&lt;/publication&gt;&lt;/bundle&gt;&lt;authors&gt;&lt;author&gt;&lt;firstName&gt;Kent&lt;/firstName&gt;&lt;middleNames&gt;E&lt;/middleNames&gt;&lt;lastName&gt;Holsinger&lt;/lastName&gt;&lt;/author&gt;&lt;/authors&gt;&lt;/publication&gt;&lt;publication&gt;&lt;uuid&gt;00F8CD4C-499D-4100-B16A-0826472133DE&lt;/uuid&gt;&lt;volume&gt;22&lt;/volume&gt;&lt;doi&gt;10.1101/gr.124784.111&lt;/doi&gt;&lt;startpage&gt;519&lt;/startpage&gt;&lt;publication_date&gt;99201203001200000000220000&lt;/publication_date&gt;&lt;url&gt;http://eutils.ncbi.nlm.nih.gov/entrez/eutils/elink.fcgi?dbfrom=pubmed&amp;amp;id=22128132&amp;amp;retmode=ref&amp;amp;cmd=prlinks&lt;/url&gt;&lt;citekey&gt;RefWorks:89&lt;/citekey&gt;&lt;type&gt;400&lt;/type&gt;&lt;title&gt;Genome-wide detection of natural selection in African Americans pre- and post-admixture.&lt;/title&gt;&lt;location&gt;602,0,0,0&lt;/location&gt;&lt;institution&gt;Chinese Academy of Sciences Key Laboratory of Computational Biology, Chinese Academy of Sciences and Max Planck Society (CAS-MPG) Partner Institute for Computational Biology, Shanghai Institutes for Biological Sciences, Chinese Academy of Sciences, Shanghai, China.&lt;/institution&gt;&lt;number&gt;3&lt;/number&gt;&lt;subtype&gt;400&lt;/subtype&gt;&lt;endpage&gt;527&lt;/endpage&gt;&lt;bundle&gt;&lt;publication&gt;&lt;title&gt;Genome Res.&lt;/title&gt;&lt;type&gt;-100&lt;/type&gt;&lt;subtype&gt;-100&lt;/subtype&gt;&lt;uuid&gt;5DECB689-996D-46CA-937E-79CF4E9B7144&lt;/uuid&gt;&lt;/publication&gt;&lt;/bundle&gt;&lt;authors&gt;&lt;author&gt;&lt;firstName&gt;Wenfei&lt;/firstName&gt;&lt;lastName&gt;Jin&lt;/lastName&gt;&lt;/author&gt;&lt;author&gt;&lt;firstName&gt;Shuhua&lt;/firstName&gt;&lt;lastName&gt;Xu&lt;/lastName&gt;&lt;/author&gt;&lt;author&gt;&lt;firstName&gt;Haifeng&lt;/firstName&gt;&lt;lastName&gt;Wang&lt;/lastName&gt;&lt;/author&gt;&lt;author&gt;&lt;firstName&gt;Yongguo&lt;/firstName&gt;&lt;lastName&gt;Yu&lt;/lastName&gt;&lt;/author&gt;&lt;author&gt;&lt;firstName&gt;Yiping&lt;/firstName&gt;&lt;lastName&gt;Shen&lt;/lastName&gt;&lt;/author&gt;&lt;author&gt;&lt;firstName&gt;Bailin&lt;/firstName&gt;&lt;lastName&gt;Wu&lt;/lastName&gt;&lt;/author&gt;&lt;author&gt;&lt;firstName&gt;Li&lt;/firstName&gt;&lt;lastName&gt;Jin&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s&gt;&lt;cites&gt;&lt;/cites&gt;&lt;/citation&gt;</w:instrText>
      </w:r>
      <w:r w:rsidR="00862942">
        <w:fldChar w:fldCharType="separate"/>
      </w:r>
      <w:r w:rsidR="00D73545">
        <w:rPr>
          <w:rFonts w:cs="Cambria"/>
        </w:rPr>
        <w:t>(Nei 1973; Akey 2009; Weir and Cockerham 1984; McEvoy et al. 2009; Nei 1986; Pickrell et al. 2009; Hudson et al. 1992; Teo et al. 2009; Holsinger 1999; Jin et al. 2012; Weir and Hill 2002)</w:t>
      </w:r>
      <w:r w:rsidR="00862942">
        <w:fldChar w:fldCharType="end"/>
      </w:r>
      <w:r w:rsidR="003D5548">
        <w:t xml:space="preserve">. </w:t>
      </w:r>
      <w:r>
        <w:t xml:space="preserve">The dependence of WC estimates on sample sizes </w:t>
      </w:r>
      <w:r w:rsidR="003D5548">
        <w:t>is</w:t>
      </w:r>
      <w:r w:rsidR="003D5548" w:rsidRPr="00E41079">
        <w:t xml:space="preserve"> exacerbated</w:t>
      </w:r>
      <w:r>
        <w:t xml:space="preserve"> for single SNPs</w:t>
      </w:r>
      <w:r w:rsidR="003D5548" w:rsidRPr="00E41079">
        <w:t xml:space="preserve">. Consider a SNP </w:t>
      </w:r>
      <w:r w:rsidR="003D5548">
        <w:t>that is rare in one population and has allele frequency zero in the other population:</w:t>
      </w:r>
      <w:r w:rsidR="003D5548" w:rsidRPr="00220026">
        <w:rPr>
          <w:noProof/>
          <w:position w:val="-10"/>
        </w:rPr>
        <w:drawing>
          <wp:inline distT="0" distB="0" distL="0" distR="0" wp14:anchorId="1E4263DA" wp14:editId="73FD6687">
            <wp:extent cx="812800" cy="203200"/>
            <wp:effectExtent l="0" t="0" r="0" b="0"/>
            <wp:docPr id="2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003D5548" w:rsidRPr="00E41079">
        <w:t xml:space="preserve">. </w:t>
      </w:r>
      <w:r w:rsidR="003D5548">
        <w:t>I</w:t>
      </w:r>
      <w:r w:rsidR="003D5548" w:rsidRPr="00E41079">
        <w:t xml:space="preserve">f sample sizes are equal, the single SNP estimate of </w:t>
      </w:r>
      <w:r w:rsidR="003D5548" w:rsidRPr="00E41079">
        <w:rPr>
          <w:i/>
        </w:rPr>
        <w:t>F</w:t>
      </w:r>
      <w:r w:rsidR="003D5548" w:rsidRPr="00E41079">
        <w:rPr>
          <w:vertAlign w:val="subscript"/>
        </w:rPr>
        <w:t>ST</w:t>
      </w:r>
      <w:r w:rsidR="003D5548" w:rsidRPr="00E41079">
        <w:t xml:space="preserve"> from the WC estimator is approximately</w:t>
      </w:r>
      <w:r w:rsidR="003D5548" w:rsidRPr="00220026">
        <w:rPr>
          <w:noProof/>
          <w:position w:val="-6"/>
        </w:rPr>
        <w:drawing>
          <wp:inline distT="0" distB="0" distL="0" distR="0" wp14:anchorId="5B533C0E" wp14:editId="2333DE66">
            <wp:extent cx="114300" cy="139700"/>
            <wp:effectExtent l="0" t="0" r="12700" b="12700"/>
            <wp:docPr id="10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003D5548" w:rsidRPr="00E41079">
        <w:t>. Now, consider what happens as we increase n</w:t>
      </w:r>
      <w:r w:rsidR="003D5548" w:rsidRPr="00E41079">
        <w:rPr>
          <w:vertAlign w:val="subscript"/>
        </w:rPr>
        <w:t>1</w:t>
      </w:r>
      <w:r w:rsidR="003D5548" w:rsidRPr="00E41079">
        <w:t xml:space="preserve">, the sample size of population 1, arbitrarily. It is clear that both numerator and denominator tend toward </w:t>
      </w:r>
    </w:p>
    <w:tbl>
      <w:tblPr>
        <w:tblW w:w="4390" w:type="pct"/>
        <w:tblLook w:val="04A0" w:firstRow="1" w:lastRow="0" w:firstColumn="1" w:lastColumn="0" w:noHBand="0" w:noVBand="1"/>
      </w:tblPr>
      <w:tblGrid>
        <w:gridCol w:w="7776"/>
      </w:tblGrid>
      <w:tr w:rsidR="003D5548" w:rsidRPr="00E41079" w14:paraId="2A972677" w14:textId="77777777" w:rsidTr="003F6191">
        <w:tc>
          <w:tcPr>
            <w:tcW w:w="5000" w:type="pct"/>
            <w:shd w:val="clear" w:color="auto" w:fill="auto"/>
            <w:vAlign w:val="center"/>
          </w:tcPr>
          <w:p w14:paraId="128C4747" w14:textId="77777777" w:rsidR="003D5548" w:rsidRPr="00E41079" w:rsidRDefault="003D5548" w:rsidP="003F6191">
            <w:pPr>
              <w:jc w:val="center"/>
            </w:pPr>
            <w:r w:rsidRPr="00220026">
              <w:rPr>
                <w:noProof/>
                <w:position w:val="-30"/>
              </w:rPr>
              <w:drawing>
                <wp:inline distT="0" distB="0" distL="0" distR="0" wp14:anchorId="17E7A575" wp14:editId="2CC32809">
                  <wp:extent cx="1193800" cy="43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431800"/>
                          </a:xfrm>
                          <a:prstGeom prst="rect">
                            <a:avLst/>
                          </a:prstGeom>
                          <a:noFill/>
                          <a:ln>
                            <a:noFill/>
                          </a:ln>
                        </pic:spPr>
                      </pic:pic>
                    </a:graphicData>
                  </a:graphic>
                </wp:inline>
              </w:drawing>
            </w:r>
          </w:p>
        </w:tc>
      </w:tr>
    </w:tbl>
    <w:p w14:paraId="03AB7B80" w14:textId="77777777" w:rsidR="003D5548" w:rsidRPr="00E41079" w:rsidRDefault="003D5548" w:rsidP="003D5548">
      <w:r w:rsidRPr="00E41079">
        <w:t xml:space="preserve"> (</w:t>
      </w:r>
      <w:proofErr w:type="gramStart"/>
      <w:r w:rsidRPr="00E41079">
        <w:t>see</w:t>
      </w:r>
      <w:proofErr w:type="gramEnd"/>
      <w:r w:rsidRPr="00E41079">
        <w:t xml:space="preserve"> </w:t>
      </w:r>
      <w:r>
        <w:t>below</w:t>
      </w:r>
      <w:r w:rsidRPr="00E41079">
        <w:t xml:space="preserve">) and </w:t>
      </w:r>
      <w:r w:rsidRPr="00E41079">
        <w:rPr>
          <w:i/>
        </w:rPr>
        <w:t>F</w:t>
      </w:r>
      <w:r w:rsidRPr="00E41079">
        <w:rPr>
          <w:vertAlign w:val="subscript"/>
        </w:rPr>
        <w:t>ST</w:t>
      </w:r>
      <w:r w:rsidRPr="00E41079">
        <w:t xml:space="preserve"> approaches 1. Then, in a study of selection with large differences in sample sizes between populations, many of the highest single SNP </w:t>
      </w:r>
      <w:r w:rsidRPr="00E41079">
        <w:rPr>
          <w:i/>
        </w:rPr>
        <w:t>F</w:t>
      </w:r>
      <w:r w:rsidRPr="00E41079">
        <w:rPr>
          <w:vertAlign w:val="subscript"/>
        </w:rPr>
        <w:t>ST</w:t>
      </w:r>
      <w:r w:rsidRPr="00E41079">
        <w:t xml:space="preserve"> estimates may be the result of inflation due to unequal sample sizes. </w:t>
      </w:r>
      <w:r>
        <w:t xml:space="preserve"> </w:t>
      </w:r>
    </w:p>
    <w:p w14:paraId="64AD8FED" w14:textId="77777777" w:rsidR="003D5548" w:rsidRPr="00E41079" w:rsidRDefault="003D5548" w:rsidP="003D5548">
      <w:r w:rsidRPr="00E41079">
        <w:tab/>
        <w:t xml:space="preserve">To test </w:t>
      </w:r>
      <w:r>
        <w:t xml:space="preserve">the effects of variation in sample size on </w:t>
      </w:r>
      <w:r w:rsidR="00955ACF">
        <w:t>s</w:t>
      </w:r>
      <w:r>
        <w:t xml:space="preserve">ingle SNP estimates of </w:t>
      </w:r>
      <w:r w:rsidRPr="004B5839">
        <w:rPr>
          <w:i/>
        </w:rPr>
        <w:t>F</w:t>
      </w:r>
      <w:r w:rsidRPr="004B5839">
        <w:rPr>
          <w:vertAlign w:val="subscript"/>
        </w:rPr>
        <w:t>ST</w:t>
      </w:r>
      <w:r>
        <w:t>,</w:t>
      </w:r>
      <w:r w:rsidRPr="00E41079">
        <w:t xml:space="preserve"> we simulated studies of selection between two populations with two regimes of very different sample size: regime 1 (n</w:t>
      </w:r>
      <w:r w:rsidRPr="00E41079">
        <w:rPr>
          <w:vertAlign w:val="subscript"/>
        </w:rPr>
        <w:t>1</w:t>
      </w:r>
      <w:r w:rsidRPr="00E41079">
        <w:t>=2500, n</w:t>
      </w:r>
      <w:r w:rsidRPr="00E41079">
        <w:rPr>
          <w:vertAlign w:val="subscript"/>
        </w:rPr>
        <w:t>2</w:t>
      </w:r>
      <w:r w:rsidRPr="00E41079">
        <w:t>=250) and regime2 (n</w:t>
      </w:r>
      <w:r w:rsidRPr="00E41079">
        <w:rPr>
          <w:vertAlign w:val="subscript"/>
        </w:rPr>
        <w:t>1</w:t>
      </w:r>
      <w:r w:rsidRPr="00E41079">
        <w:t>=250, n</w:t>
      </w:r>
      <w:r w:rsidRPr="00E41079">
        <w:rPr>
          <w:vertAlign w:val="subscript"/>
        </w:rPr>
        <w:t>2</w:t>
      </w:r>
      <w:r w:rsidRPr="00E41079">
        <w:t xml:space="preserve">=2500). We produced the top 0.01% of highly differentiated SNPs for the WC, Nei, and Hudson </w:t>
      </w:r>
      <w:r w:rsidR="00955ACF">
        <w:t xml:space="preserve">estimators </w:t>
      </w:r>
      <w:r w:rsidRPr="00E41079">
        <w:t>for regimes 1 and 2 and compared the overlap of these lists. Overlap was computed as a percentage of the number of SNPs in the top 0.01%. While we might expect that these lists overlap perfectly, the noise due to sampling error distorts the “true” top 0.01% and makes the overlap imperfect. However, as the amount of drift—or time since the populations split—increases, the amount of noise decreases relative to the signal. That is, as the time since divergence increases, we expect overlap t</w:t>
      </w:r>
      <w:r>
        <w:t xml:space="preserve">o increase as well. While we observe large and increasing overlap for the Nei and Hudson estimates, WC estimates show little overlap between regimes 1 and 2 (see </w:t>
      </w:r>
      <w:r w:rsidR="00E27BBE">
        <w:t>Figure S1</w:t>
      </w:r>
      <w:r w:rsidRPr="00E41079">
        <w:t xml:space="preserve">). </w:t>
      </w:r>
      <w:r>
        <w:t xml:space="preserve"> Population-specific estimates of </w:t>
      </w:r>
      <w:r w:rsidRPr="001C257D">
        <w:rPr>
          <w:i/>
        </w:rPr>
        <w:t>F</w:t>
      </w:r>
      <w:r w:rsidRPr="001C257D">
        <w:rPr>
          <w:vertAlign w:val="subscript"/>
        </w:rPr>
        <w:t>ST</w:t>
      </w:r>
      <w:r>
        <w:t xml:space="preserve"> (Weir and Hill 2002) also show consistency across regimes 1 and 2, indicating that these estimates do not depend on the ratio of sample sizes. However, if these estimates are combined in a sample size weighted average</w:t>
      </w:r>
      <w:r w:rsidR="005A754D">
        <w:t>, as recommended by Weir and Hill (2002)</w:t>
      </w:r>
      <w:r w:rsidR="00227CF7">
        <w:t xml:space="preserve"> (see p. 11 of Supplementary Material)</w:t>
      </w:r>
      <w:r>
        <w:t xml:space="preserve">, they are no longer independent of sample size and show little overlap between regimes 1 and 2 (See </w:t>
      </w:r>
      <w:r w:rsidR="00E27BBE">
        <w:t>Figure S1</w:t>
      </w:r>
      <w:r>
        <w:t>).</w:t>
      </w:r>
    </w:p>
    <w:p w14:paraId="71775A4D" w14:textId="77777777" w:rsidR="003D5548" w:rsidRDefault="003D5548" w:rsidP="003D5548"/>
    <w:p w14:paraId="0AD028B2" w14:textId="77777777" w:rsidR="003D5548" w:rsidRDefault="003D5548" w:rsidP="003D5548">
      <w:r>
        <w:rPr>
          <w:noProof/>
        </w:rPr>
        <w:drawing>
          <wp:inline distT="0" distB="0" distL="0" distR="0" wp14:anchorId="55E3B364" wp14:editId="1B65E02B">
            <wp:extent cx="5486400" cy="3053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XX-Selection-Single Snp Overlap-With pop-specific.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3053080"/>
                    </a:xfrm>
                    <a:prstGeom prst="rect">
                      <a:avLst/>
                    </a:prstGeom>
                  </pic:spPr>
                </pic:pic>
              </a:graphicData>
            </a:graphic>
          </wp:inline>
        </w:drawing>
      </w:r>
    </w:p>
    <w:p w14:paraId="6EB5FDB7" w14:textId="77777777" w:rsidR="003D5548" w:rsidRDefault="003D5548" w:rsidP="003D5548"/>
    <w:p w14:paraId="56D35981" w14:textId="77777777" w:rsidR="003D5548" w:rsidRPr="00E41079" w:rsidRDefault="00E27BBE" w:rsidP="003D5548">
      <w:r>
        <w:t>Figure S1</w:t>
      </w:r>
      <w:r w:rsidR="003D5548">
        <w:t>. Estimating the overlap of highly differentiated signals of selection. We performed studies of population differentiation between populations that diverged a number of generations ago, and compared results when sample sizes were (n</w:t>
      </w:r>
      <w:r w:rsidR="003D5548">
        <w:rPr>
          <w:vertAlign w:val="subscript"/>
        </w:rPr>
        <w:t>1</w:t>
      </w:r>
      <w:r w:rsidR="003D5548">
        <w:t>=500, n</w:t>
      </w:r>
      <w:r w:rsidR="003D5548">
        <w:rPr>
          <w:vertAlign w:val="subscript"/>
        </w:rPr>
        <w:t>2</w:t>
      </w:r>
      <w:r w:rsidR="003D5548">
        <w:t>=5000) to results when sample sizes were (n</w:t>
      </w:r>
      <w:r w:rsidR="003D5548">
        <w:rPr>
          <w:vertAlign w:val="subscript"/>
        </w:rPr>
        <w:t>1</w:t>
      </w:r>
      <w:r w:rsidR="003D5548">
        <w:t>=5000, n</w:t>
      </w:r>
      <w:r w:rsidR="003D5548">
        <w:rPr>
          <w:vertAlign w:val="subscript"/>
        </w:rPr>
        <w:t>2</w:t>
      </w:r>
      <w:r w:rsidR="003D5548">
        <w:t xml:space="preserve">=500). When estimating single SNP allele frequency differences, there are 2 sources of variation. The first is genetic drift, quantified by </w:t>
      </w:r>
      <w:r w:rsidR="003D5548" w:rsidRPr="001C257D">
        <w:rPr>
          <w:i/>
        </w:rPr>
        <w:t>F</w:t>
      </w:r>
      <w:r w:rsidR="003D5548" w:rsidRPr="001C257D">
        <w:rPr>
          <w:vertAlign w:val="subscript"/>
        </w:rPr>
        <w:t>ST</w:t>
      </w:r>
      <w:r w:rsidR="003D5548">
        <w:t xml:space="preserve">, and the second is variation due to finite sample sizes. As the number of generations since population split increases, we increase genetic drift while sampling variation remains the same. Therefore, we should expect that as genetic drift increases (along the x axis), the most highly differentiated (highest 0.01%) SNPs should increasingly be the result of genetic drift and not accidents of sampling. While we observe this phenomenon for the Hudson, Nei, and population-specific (WH1, WH2) estimators of </w:t>
      </w:r>
      <w:r w:rsidR="003D5548" w:rsidRPr="001C257D">
        <w:rPr>
          <w:i/>
        </w:rPr>
        <w:t>F</w:t>
      </w:r>
      <w:r w:rsidR="003D5548" w:rsidRPr="001C257D">
        <w:rPr>
          <w:vertAlign w:val="subscript"/>
        </w:rPr>
        <w:t>ST</w:t>
      </w:r>
      <w:r w:rsidR="003D5548">
        <w:t xml:space="preserve">, we see that the WC and WH estimators do not exhibit this behavior. Moreover, use of the WC or WH estimator in settings of very different sample size results in almost no overlap between the reported signals of selection. This suggests that nearly all results are due to differences in sample size. </w:t>
      </w:r>
    </w:p>
    <w:p w14:paraId="051D85CE" w14:textId="77777777" w:rsidR="003F6191" w:rsidRDefault="003F6191" w:rsidP="003F6191">
      <w:pPr>
        <w:pStyle w:val="Heading1"/>
      </w:pPr>
      <w:bookmarkStart w:id="26" w:name="_Toc210982964"/>
      <w:bookmarkStart w:id="27" w:name="_Toc211282950"/>
      <w:bookmarkStart w:id="28" w:name="_Toc214442409"/>
      <w:bookmarkStart w:id="29" w:name="_Toc214967465"/>
      <w:bookmarkStart w:id="30" w:name="_Toc214970892"/>
      <w:bookmarkStart w:id="31" w:name="_Toc217045508"/>
      <w:bookmarkStart w:id="32" w:name="_Toc219534420"/>
      <w:bookmarkStart w:id="33" w:name="_Toc219534502"/>
      <w:bookmarkStart w:id="34" w:name="_Toc232440783"/>
      <w:bookmarkStart w:id="35" w:name="_Toc232704451"/>
      <w:bookmarkStart w:id="36" w:name="_Toc232777576"/>
      <w:r>
        <w:t>Derivation of Hudson Estimator</w:t>
      </w:r>
      <w:bookmarkEnd w:id="26"/>
      <w:bookmarkEnd w:id="27"/>
      <w:bookmarkEnd w:id="28"/>
      <w:bookmarkEnd w:id="29"/>
      <w:bookmarkEnd w:id="30"/>
      <w:bookmarkEnd w:id="31"/>
      <w:bookmarkEnd w:id="32"/>
      <w:bookmarkEnd w:id="33"/>
      <w:bookmarkEnd w:id="34"/>
      <w:bookmarkEnd w:id="35"/>
      <w:bookmarkEnd w:id="36"/>
      <w:r>
        <w:t xml:space="preserve"> </w:t>
      </w:r>
    </w:p>
    <w:p w14:paraId="58A2DE71" w14:textId="77777777" w:rsidR="003F6191" w:rsidRDefault="003F6191" w:rsidP="003F6191">
      <w:r>
        <w:t xml:space="preserve">We derive equation 9 of the main text. Hudson did not give an estimator of </w:t>
      </w:r>
      <w:r w:rsidRPr="001C257D">
        <w:rPr>
          <w:i/>
        </w:rPr>
        <w:t>F</w:t>
      </w:r>
      <w:r w:rsidRPr="001C257D">
        <w:rPr>
          <w:vertAlign w:val="subscript"/>
        </w:rPr>
        <w:t>ST</w:t>
      </w:r>
      <w:r>
        <w:t xml:space="preserve"> in terms of sample allele frequencies. However, he did describe an estimation method </w:t>
      </w:r>
      <w:r w:rsidR="00862942">
        <w:fldChar w:fldCharType="begin"/>
      </w:r>
      <w:r w:rsidR="00D73545">
        <w:instrText xml:space="preserve"> ADDIN PAPERS2_CITATIONS &lt;citation&gt;&lt;uuid&gt;8DE25F68-8C49-4C67-BA17-480953C2EB47&lt;/uuid&gt;&lt;priority&gt;7&lt;/priority&gt;&lt;publications&gt;&lt;publication&gt;&lt;uuid&gt;E224CED1-D48E-4036-A1E9-0E05472BE172&lt;/uuid&gt;&lt;volume&gt;85&lt;/volume&gt;&lt;accepted_date&gt;99200910161200000000222000&lt;/accepted_date&gt;&lt;doi&gt;10.1016/j.ajhg.2009.10.015&lt;/doi&gt;&lt;startpage&gt;762&lt;/startpage&gt;&lt;revision_date&gt;99200910081200000000222000&lt;/revision_date&gt;&lt;publication_date&gt;99200912001200000000220000&lt;/publication_date&gt;&lt;url&gt;http://eutils.ncbi.nlm.nih.gov/entrez/eutils/elink.fcgi?dbfrom=pubmed&amp;amp;id=19944404&amp;amp;retmode=ref&amp;amp;cmd=prlinks&lt;/url&gt;&lt;citekey&gt;RefWorks:32&lt;/citekey&gt;&lt;type&gt;400&lt;/type&gt;&lt;title&gt;Genomic dissection of population substructure of Han Chinese and its implication in association studies.&lt;/title&gt;&lt;location&gt;602,0,0,0&lt;/location&gt;&lt;submission_date&gt;99200909151200000000222000&lt;/submission_date&gt;&lt;number&gt;6&lt;/number&gt;&lt;institution&gt;Chinese Academy of Sciences and Max Planck Society Partner Institute for Computational Biology, Shanghai Institutes for Biological Sciences, Chinese Academy of Sciences, Shanghai 200031, PR China.&lt;/institution&gt;&lt;subtype&gt;400&lt;/subtype&gt;&lt;endpage&gt;774&lt;/endpage&gt;&lt;bundle&gt;&lt;publication&gt;&lt;title&gt;American journal of human genetics&lt;/title&gt;&lt;type&gt;-100&lt;/type&gt;&lt;subtype&gt;-100&lt;/subtype&gt;&lt;uuid&gt;7F149FF1-FDF9-49D9-B945-2C5EAD96D91E&lt;/uuid&gt;&lt;/publication&gt;&lt;/bundle&gt;&lt;authors&gt;&lt;author&gt;&lt;firstName&gt;Shuhua&lt;/firstName&gt;&lt;lastName&gt;Xu&lt;/lastName&gt;&lt;/author&gt;&lt;author&gt;&lt;firstName&gt;Xianyong&lt;/firstName&gt;&lt;lastName&gt;Yin&lt;/lastName&gt;&lt;/author&gt;&lt;author&gt;&lt;firstName&gt;Shilin&lt;/firstName&gt;&lt;lastName&gt;Li&lt;/lastName&gt;&lt;/author&gt;&lt;author&gt;&lt;firstName&gt;Wenfei&lt;/firstName&gt;&lt;lastName&gt;Jin&lt;/lastName&gt;&lt;/author&gt;&lt;author&gt;&lt;firstName&gt;Haiyi&lt;/firstName&gt;&lt;lastName&gt;Lou&lt;/lastName&gt;&lt;/author&gt;&lt;author&gt;&lt;firstName&gt;Ling&lt;/firstName&gt;&lt;lastName&gt;Yang&lt;/lastName&gt;&lt;/author&gt;&lt;author&gt;&lt;firstName&gt;Xiaohong&lt;/firstName&gt;&lt;lastName&gt;Gong&lt;/lastName&gt;&lt;/author&gt;&lt;author&gt;&lt;firstName&gt;Hongyan&lt;/firstName&gt;&lt;lastName&gt;Wang&lt;/lastName&gt;&lt;/author&gt;&lt;author&gt;&lt;firstName&gt;Yiping&lt;/firstName&gt;&lt;lastName&gt;Shen&lt;/lastName&gt;&lt;/author&gt;&lt;author&gt;&lt;firstName&gt;Xuedong&lt;/firstName&gt;&lt;lastName&gt;Pan&lt;/lastName&gt;&lt;/author&gt;&lt;author&gt;&lt;firstName&gt;Yungang&lt;/firstName&gt;&lt;lastName&gt;He&lt;/lastName&gt;&lt;/author&gt;&lt;author&gt;&lt;firstName&gt;Yajun&lt;/firstName&gt;&lt;lastName&gt;Yang&lt;/lastName&gt;&lt;/author&gt;&lt;author&gt;&lt;firstName&gt;Yi&lt;/firstName&gt;&lt;lastName&gt;Wang&lt;/lastName&gt;&lt;/author&gt;&lt;author&gt;&lt;firstName&gt;Wenqing&lt;/firstName&gt;&lt;lastName&gt;Fu&lt;/lastName&gt;&lt;/author&gt;&lt;author&gt;&lt;firstName&gt;Yu&lt;/firstName&gt;&lt;lastName&gt;An&lt;/lastName&gt;&lt;/author&gt;&lt;author&gt;&lt;firstName&gt;Jiucun&lt;/firstName&gt;&lt;lastName&gt;Wang&lt;/lastName&gt;&lt;/author&gt;&lt;author&gt;&lt;firstName&gt;Jingze&lt;/firstName&gt;&lt;lastName&gt;Tan&lt;/lastName&gt;&lt;/author&gt;&lt;author&gt;&lt;firstName&gt;Ji&lt;/firstName&gt;&lt;lastName&gt;Qian&lt;/lastName&gt;&lt;/author&gt;&lt;author&gt;&lt;firstName&gt;Xiaoli&lt;/firstName&gt;&lt;lastName&gt;Chen&lt;/lastName&gt;&lt;/author&gt;&lt;author&gt;&lt;firstName&gt;Xin&lt;/firstName&gt;&lt;lastName&gt;Zhang&lt;/lastName&gt;&lt;/author&gt;&lt;author&gt;&lt;firstName&gt;Yangfei&lt;/firstName&gt;&lt;lastName&gt;Sun&lt;/lastName&gt;&lt;/author&gt;&lt;author&gt;&lt;firstName&gt;Xuejun&lt;/firstName&gt;&lt;lastName&gt;Zhang&lt;/lastName&gt;&lt;/author&gt;&lt;author&gt;&lt;firstName&gt;Bailin&lt;/firstName&gt;&lt;lastName&gt;Wu&lt;/lastName&gt;&lt;/author&gt;&lt;author&gt;&lt;firstName&gt;Li&lt;/firstName&gt;&lt;lastName&gt;Jin&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B8FB8738-6418-49CE-A0D8-BE01952CA7CD&lt;/uuid&gt;&lt;volume&gt;25&lt;/volume&gt;&lt;doi&gt;10.1111/j.1420-9101.2011.02443.x&lt;/doi&gt;&lt;subtitle&gt;Isolation-by-ecology in Spanish crossbills&lt;/subtitle&gt;&lt;startpage&gt;417&lt;/startpage&gt;&lt;publication_date&gt;99201201131200000000222000&lt;/publication_date&gt;&lt;url&gt;http://doi.wiley.com/10.1111/j.1420-9101.2011.02443.x&lt;/url&gt;&lt;citekey&gt;RefWorks:159&lt;/citekey&gt;&lt;type&gt;400&lt;/type&gt;&lt;title&gt;Population differentiation and restricted gene flow in Spanish crossbills: not isolation-by-distance but isolation-by-ecology&lt;/title&gt;&lt;number&gt;3&lt;/number&gt;&lt;subtype&gt;400&lt;/subtype&gt;&lt;endpage&gt;430&lt;/endpage&gt;&lt;bundle&gt;&lt;publication&gt;&lt;title&gt;Journal of Evolutionary Biology&lt;/title&gt;&lt;type&gt;-100&lt;/type&gt;&lt;subtype&gt;-100&lt;/subtype&gt;&lt;uuid&gt;829FD9B2-0943-4A7E-849F-A34B515AA443&lt;/uuid&gt;&lt;/publication&gt;&lt;/bundle&gt;&lt;authors&gt;&lt;author&gt;&lt;firstName&gt;P&lt;/firstName&gt;&lt;lastName&gt;Edelaar&lt;/lastName&gt;&lt;/author&gt;&lt;author&gt;&lt;firstName&gt;D&lt;/firstName&gt;&lt;lastName&gt;Alonso&lt;/lastName&gt;&lt;/author&gt;&lt;author&gt;&lt;firstName&gt;S&lt;/firstName&gt;&lt;lastName&gt;Lagerveld&lt;/lastName&gt;&lt;/author&gt;&lt;author&gt;&lt;firstName&gt;J&lt;/firstName&gt;&lt;middleNames&gt;C&lt;/middleNames&gt;&lt;lastName&gt;Senar&lt;/lastName&gt;&lt;/author&gt;&lt;author&gt;&lt;firstName&gt;M&lt;/firstName&gt;&lt;lastName&gt;Björklund&lt;/lastName&gt;&lt;/author&gt;&lt;/authors&gt;&lt;/publication&gt;&lt;publication&gt;&lt;uuid&gt;6D2AAD9F-80D8-4B28-82D6-A68616C2E218&lt;/uuid&gt;&lt;volume&gt;66&lt;/volume&gt;&lt;doi&gt;10.1111/j.1558-5646.2011.01472.x&lt;/doi&gt;&lt;startpage&gt;867&lt;/startpage&gt;&lt;publication_date&gt;99201203001200000000220000&lt;/publication_date&gt;&lt;url&gt;http://eutils.ncbi.nlm.nih.gov/entrez/eutils/elink.fcgi?dbfrom=pubmed&amp;amp;id=22380445&amp;amp;retmode=ref&amp;amp;cmd=prlinks&lt;/url&gt;&lt;citekey&gt;RefWorks:158&lt;/citekey&gt;&lt;type&gt;400&lt;/type&gt;&lt;title&gt;Adaptive divergence in moor frog (Rana arvalis) populations along an acidification gradient: inferences from Q(st) -F(st) correlations.&lt;/title&gt;&lt;location&gt;200,8,47.4017372,8.6120774&lt;/location&gt;&lt;institution&gt;EAWAG, Department of Aquatic Ecology and ETH-Zurich, Institute of Integrative Biology, Ueberlandstrasse 133, CH-8600 Duebendorf, Switzerland. sangartner@hotmail.ch&lt;/institution&gt;&lt;number&gt;3&lt;/number&gt;&lt;subtype&gt;400&lt;/subtype&gt;&lt;endpage&gt;881&lt;/endpage&gt;&lt;bundle&gt;&lt;publication&gt;&lt;title&gt;Evolution&lt;/title&gt;&lt;type&gt;-100&lt;/type&gt;&lt;subtype&gt;-100&lt;/subtype&gt;&lt;uuid&gt;F0EB598F-EE85-4B9D-B7A6-554C3D5205C2&lt;/uuid&gt;&lt;/publication&gt;&lt;/bundle&gt;&lt;authors&gt;&lt;author&gt;&lt;firstName&gt;Sandra&lt;/firstName&gt;&lt;lastName&gt;Hangartner&lt;/lastName&gt;&lt;/author&gt;&lt;author&gt;&lt;firstName&gt;Anssi&lt;/firstName&gt;&lt;lastName&gt;Laurila&lt;/lastName&gt;&lt;/author&gt;&lt;author&gt;&lt;firstName&gt;Katja&lt;/firstName&gt;&lt;lastName&gt;Räsänen&lt;/lastName&gt;&lt;/author&gt;&lt;/authors&gt;&lt;/publication&gt;&lt;/publications&gt;&lt;cites&gt;&lt;/cites&gt;&lt;/citation&gt;</w:instrText>
      </w:r>
      <w:r w:rsidR="00862942">
        <w:fldChar w:fldCharType="separate"/>
      </w:r>
      <w:r w:rsidR="00D73545">
        <w:rPr>
          <w:rFonts w:cs="Cambria"/>
        </w:rPr>
        <w:t>(Xu et al. 2009; Hudson et al. 1992; Edelaar et al. 2012; Hangartner et al. 2012)</w:t>
      </w:r>
      <w:r w:rsidR="00862942">
        <w:fldChar w:fldCharType="end"/>
      </w:r>
      <w:r>
        <w:t xml:space="preserve">, which is the basis for what we describe here. We have previously presented some of these ideas, without validation via coalescent simulations and application to 1000G data, in Supplementary Note 10 of </w:t>
      </w:r>
      <w:r w:rsidR="00862942">
        <w:fldChar w:fldCharType="begin"/>
      </w:r>
      <w:r w:rsidR="00D73545">
        <w:instrText xml:space="preserve"> ADDIN PAPERS2_CITATIONS &lt;citation&gt;&lt;uuid&gt;F695EFAE-7E62-4CF2-BB16-E18F74B6BA7F&lt;/uuid&gt;&lt;priority&gt;8&lt;/priority&gt;&lt;publications&gt;&lt;publication&gt;&lt;volume&gt;58&lt;/volume&gt;&lt;publication_date&gt;99199100001200000000200000&lt;/publication_date&gt;&lt;number&gt;02&lt;/number&gt;&lt;doi&gt;10.1017/S0016672300029827&lt;/doi&gt;&lt;startpage&gt;167&lt;/startpage&gt;&lt;title&gt;Inbreeding coefficients and coalescence times&lt;/title&gt;&lt;uuid&gt;60AE29C9-1434-4854-A065-906A1A930F56&lt;/uuid&gt;&lt;subtype&gt;400&lt;/subtype&gt;&lt;type&gt;400&lt;/type&gt;&lt;citekey&gt;RefWorks:153&lt;/citekey&gt;&lt;url&gt;http://dx.doi.org/10.1017/S0016672300029827&lt;/url&gt;&lt;bundle&gt;&lt;publication&gt;&lt;title&gt;Genetics Research&lt;/title&gt;&lt;type&gt;-100&lt;/type&gt;&lt;subtype&gt;-100&lt;/subtype&gt;&lt;uuid&gt;5F3B671F-B21D-4B18-9C70-9D5B8A2FDCB5&lt;/uuid&gt;&lt;/publication&gt;&lt;/bundle&gt;&lt;authors&gt;&lt;author&gt;&lt;firstName&gt;Montgomery&lt;/firstName&gt;&lt;lastName&gt;Slatkin&lt;/lastName&gt;&lt;/author&gt;&lt;/authors&gt;&lt;/publication&gt;&lt;publication&gt;&lt;uuid&gt;9A2A7598-4001-42A2-AC87-A3D5CF44556C&lt;/uuid&gt;&lt;volume&gt;39&lt;/volume&gt;&lt;accepted_date&gt;99200707171200000000222000&lt;/accepted_date&gt;&lt;doi&gt;10.1038/ng2116&lt;/doi&gt;&lt;startpage&gt;1251&lt;/startpage&gt;&lt;publication_date&gt;99200710001200000000220000&lt;/publication_date&gt;&lt;url&gt;http://eutils.ncbi.nlm.nih.gov/entrez/eutils/elink.fcgi?dbfrom=pubmed&amp;amp;id=17828266&amp;amp;retmode=ref&amp;amp;cmd=prlinks&lt;/url&gt;&lt;type&gt;400&lt;/type&gt;&lt;title&gt;Measurement of the human allele frequency spectrum demonstrates greater genetic drift in East Asians than in Europeans.&lt;/title&gt;&lt;location&gt;200,9,42.3355089,-71.1043686&lt;/location&gt;&lt;submission_date&gt;99200704241200000000222000&lt;/submission_date&gt;&lt;number&gt;10&lt;/number&gt;&lt;institution&gt;Department of Genetics, Harvard Medical School, Boston, Massachusetts 02115, USA. akeinan@genetics.med.harvard.edu&lt;/institution&gt;&lt;subtype&gt;400&lt;/subtype&gt;&lt;endpage&gt;1255&lt;/endpage&gt;&lt;bundle&gt;&lt;publication&gt;&lt;publisher&gt;Nature Publishing Group&lt;/publisher&gt;&lt;url&gt;http://www.nature.com&lt;/url&gt;&lt;title&gt;Nature genetics&lt;/title&gt;&lt;type&gt;-100&lt;/type&gt;&lt;subtype&gt;-100&lt;/subtype&gt;&lt;uuid&gt;02980058-4F1F-4866-97F2-89644F2F93F8&lt;/uuid&gt;&lt;/publication&gt;&lt;/bundle&gt;&lt;authors&gt;&lt;author&gt;&lt;firstName&gt;Alon&lt;/firstName&gt;&lt;lastName&gt;Keinan&lt;/lastName&gt;&lt;/author&gt;&lt;author&gt;&lt;firstName&gt;James&lt;/firstName&gt;&lt;middleNames&gt;C&lt;/middleNames&gt;&lt;lastName&gt;Mullikin&lt;/lastName&gt;&lt;/author&gt;&lt;author&gt;&lt;firstName&gt;Nick&lt;/firstName&gt;&lt;lastName&gt;Patterson&lt;/lastName&gt;&lt;/author&gt;&lt;author&gt;&lt;firstName&gt;David&lt;/firstName&gt;&lt;lastName&gt;Reich&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location&gt;200,4,37.7749295,-122.4194155&lt;/location&gt;&lt;publication_date&gt;99197100001200000000200000&lt;/publication_date&gt;&lt;title&gt;The genetics of human populations&lt;/title&gt;&lt;uuid&gt;8DC6D8F4-523D-46A7-A035-294B6977A6E0&lt;/uuid&gt;&lt;subtype&gt;0&lt;/subtype&gt;&lt;publisher&gt;W.H. Freeman&lt;/publisher&gt;&lt;type&gt;0&lt;/type&gt;&lt;place&gt;San Francisco&lt;/place&gt;&lt;citekey&gt;RefWorks:155&lt;/citekey&gt;&lt;url&gt;http://www.google.com/search?client=safari&amp;amp;rls=10_7_4&amp;amp;q=The+genetics+of+human+populations&amp;amp;ie=UTF-8&amp;amp;oe=UTF-8&lt;/url&gt;&lt;authors&gt;&lt;author&gt;&lt;firstName&gt;L&lt;/firstName&gt;&lt;middleNames&gt;L&lt;/middleNames&gt;&lt;lastName&gt;Cavalli-Sforza&lt;/lastName&gt;&lt;/author&gt;&lt;author&gt;&lt;firstName&gt;W&lt;/firstName&gt;&lt;middleNames&gt;F&lt;/middleNames&gt;&lt;lastName&gt;Bodmer&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(Slatkin 1991; Keinan et al. 2007; Nei 1973; Hudson et al. 1992; Cavalli-Sforza and Bodmer 1971; Wright 1949; Cockerham 1969)</w:t>
      </w:r>
      <w:r w:rsidR="00862942">
        <w:fldChar w:fldCharType="end"/>
      </w:r>
      <w:r>
        <w:t xml:space="preserve">. We note that the estimator described here assumes that the populations analyzed are randomly mating and will be incorrect if there is significant inbreeding. For a modification to this estimator to account for inbreeding, we refer the reader to the Appendix of </w:t>
      </w:r>
      <w:r w:rsidR="00862942">
        <w:fldChar w:fldCharType="begin"/>
      </w:r>
      <w:r w:rsidR="00D73545">
        <w:instrText xml:space="preserve"> ADDIN PAPERS2_CITATIONS &lt;citation&gt;&lt;uuid&gt;5473B932-9A00-41DE-9D43-C52A213ACF93&lt;/uuid&gt;&lt;priority&gt;9&lt;/priority&gt;&lt;publications&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F7EEF72B-D388-4C2E-A945-ADFC7A877E63&lt;/uuid&gt;&lt;volume&gt;461&lt;/volume&gt;&lt;accepted_date&gt;99200908051200000000222000&lt;/accepted_date&gt;&lt;doi&gt;10.1038/nature08365&lt;/doi&gt;&lt;startpage&gt;489&lt;/startpage&gt;&lt;publication_date&gt;99200909241200000000222000&lt;/publication_date&gt;&lt;url&gt;http://eutils.ncbi.nlm.nih.gov/entrez/eutils/elink.fcgi?dbfrom=pubmed&amp;amp;id=19779445&amp;amp;retmode=ref&amp;amp;cmd=prlinks&lt;/url&gt;&lt;citekey&gt;RefWorks:118&lt;/citekey&gt;&lt;type&gt;400&lt;/type&gt;&lt;title&gt;Reconstructing Indian population history.&lt;/title&gt;&lt;location&gt;200,9,42.3355089,-71.1043686&lt;/location&gt;&lt;submission_date&gt;99200904211200000000222000&lt;/submission_date&gt;&lt;number&gt;7263&lt;/number&gt;&lt;institution&gt;Department of Genetics, Harvard Medical School, Boston, Massachusetts 02115, USA. reich@genetics.med.harvard.edu&lt;/institution&gt;&lt;subtype&gt;400&lt;/subtype&gt;&lt;endpage&gt;494&lt;/endpage&gt;&lt;bundle&gt;&lt;publication&gt;&lt;url&gt;http://www.nature.com/nature&lt;/url&gt;&lt;title&gt;Nature&lt;/title&gt;&lt;type&gt;-100&lt;/type&gt;&lt;subtype&gt;-100&lt;/subtype&gt;&lt;uuid&gt;6C310864-49BB-4421-ADF9-18C2D60E193A&lt;/uuid&gt;&lt;/publication&gt;&lt;/bundle&gt;&lt;authors&gt;&lt;author&gt;&lt;firstName&gt;David&lt;/firstName&gt;&lt;lastName&gt;Reich&lt;/lastName&gt;&lt;/author&gt;&lt;author&gt;&lt;firstName&gt;Kumarasamy&lt;/firstName&gt;&lt;lastName&gt;Thangaraj&lt;/lastName&gt;&lt;/author&gt;&lt;author&gt;&lt;firstName&gt;Nick&lt;/firstName&gt;&lt;lastName&gt;Patterson&lt;/lastName&gt;&lt;/author&gt;&lt;author&gt;&lt;firstName&gt;Alkes&lt;/firstName&gt;&lt;middleNames&gt;L&lt;/middleNames&gt;&lt;lastName&gt;Price&lt;/lastName&gt;&lt;/author&gt;&lt;author&gt;&lt;firstName&gt;Lalji&lt;/firstName&gt;&lt;lastName&gt;Singh&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s&gt;&lt;cites&gt;&lt;/cites&gt;&lt;/citation&gt;</w:instrText>
      </w:r>
      <w:r w:rsidR="00862942">
        <w:fldChar w:fldCharType="separate"/>
      </w:r>
      <w:r w:rsidR="00D73545">
        <w:rPr>
          <w:rFonts w:cs="Cambria"/>
        </w:rPr>
        <w:t>(Nei 1973; Reich et al. 2009; Hudson et al. 1992)</w:t>
      </w:r>
      <w:r w:rsidR="00862942">
        <w:fldChar w:fldCharType="end"/>
      </w:r>
      <w:r>
        <w:t>.  Hudson’s quantity being estimated can be written as:</w:t>
      </w:r>
    </w:p>
    <w:p w14:paraId="7B3C6E23" w14:textId="77777777" w:rsidR="003F6191" w:rsidRDefault="003F6191" w:rsidP="003F6191">
      <w:pPr>
        <w:jc w:val="center"/>
      </w:pPr>
      <w:r w:rsidRPr="00DB7D96">
        <w:rPr>
          <w:position w:val="-30"/>
        </w:rPr>
        <w:object w:dxaOrig="1560" w:dyaOrig="680" w14:anchorId="2E558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4pt" o:ole="">
            <v:imagedata r:id="rId12" o:title=""/>
          </v:shape>
          <o:OLEObject Type="Embed" ProgID="Equation.3" ShapeID="_x0000_i1025" DrawAspect="Content" ObjectID="_1309872863" r:id="rId13"/>
        </w:object>
      </w:r>
    </w:p>
    <w:p w14:paraId="585A33CB" w14:textId="77777777" w:rsidR="003F6191" w:rsidRDefault="003F6191" w:rsidP="003F6191">
      <w:proofErr w:type="gramStart"/>
      <w:r>
        <w:t>where</w:t>
      </w:r>
      <w:proofErr w:type="gramEnd"/>
      <w:r>
        <w:t xml:space="preserve"> </w:t>
      </w:r>
    </w:p>
    <w:p w14:paraId="1781CEFC" w14:textId="77777777" w:rsidR="003F6191" w:rsidRDefault="003F6191" w:rsidP="003F6191">
      <w:pPr>
        <w:jc w:val="center"/>
        <w:rPr>
          <w:position w:val="-24"/>
        </w:rPr>
      </w:pPr>
      <w:r w:rsidRPr="00F35158">
        <w:rPr>
          <w:position w:val="-12"/>
        </w:rPr>
        <w:object w:dxaOrig="2580" w:dyaOrig="340" w14:anchorId="222D7E44">
          <v:shape id="_x0000_i1026" type="#_x0000_t75" style="width:129pt;height:17pt" o:ole="">
            <v:imagedata r:id="rId14" o:title=""/>
          </v:shape>
          <o:OLEObject Type="Embed" ProgID="Equation.3" ShapeID="_x0000_i1026" DrawAspect="Content" ObjectID="_1309872864" r:id="rId15"/>
        </w:object>
      </w:r>
    </w:p>
    <w:p w14:paraId="69EE6406" w14:textId="77777777" w:rsidR="003F6191" w:rsidRDefault="003F6191" w:rsidP="003F6191">
      <w:pPr>
        <w:rPr>
          <w:position w:val="-24"/>
        </w:rPr>
      </w:pPr>
      <w:r>
        <w:rPr>
          <w:position w:val="-24"/>
        </w:rPr>
        <w:t>is the heterozygosity within populations, and</w:t>
      </w:r>
    </w:p>
    <w:p w14:paraId="79802925" w14:textId="77777777" w:rsidR="003F6191" w:rsidRDefault="003F6191" w:rsidP="003F6191">
      <w:pPr>
        <w:jc w:val="center"/>
      </w:pPr>
      <w:r w:rsidRPr="00F35158">
        <w:rPr>
          <w:position w:val="-12"/>
        </w:rPr>
        <w:object w:dxaOrig="2560" w:dyaOrig="340" w14:anchorId="4651AD8D">
          <v:shape id="_x0000_i1027" type="#_x0000_t75" style="width:128pt;height:17pt" o:ole="">
            <v:imagedata r:id="rId16" o:title=""/>
          </v:shape>
          <o:OLEObject Type="Embed" ProgID="Equation.3" ShapeID="_x0000_i1027" DrawAspect="Content" ObjectID="_1309872865" r:id="rId17"/>
        </w:object>
      </w:r>
    </w:p>
    <w:p w14:paraId="44B77105" w14:textId="77777777" w:rsidR="003F6191" w:rsidRDefault="003F6191" w:rsidP="003F6191">
      <w:proofErr w:type="gramStart"/>
      <w:r>
        <w:t>is</w:t>
      </w:r>
      <w:proofErr w:type="gramEnd"/>
      <w:r>
        <w:t xml:space="preserve"> the heterozygosity between populations. We recast as:</w:t>
      </w:r>
    </w:p>
    <w:p w14:paraId="4C779AF7" w14:textId="77777777" w:rsidR="003F6191" w:rsidRDefault="003F6191" w:rsidP="003F6191">
      <w:pPr>
        <w:jc w:val="center"/>
      </w:pPr>
      <w:r>
        <w:rPr>
          <w:rFonts w:ascii="Times New Roman" w:hAnsi="Times New Roman"/>
          <w:noProof/>
          <w:position w:val="-46"/>
          <w:sz w:val="22"/>
          <w:szCs w:val="22"/>
        </w:rPr>
        <w:drawing>
          <wp:inline distT="0" distB="0" distL="0" distR="0" wp14:anchorId="467BD290" wp14:editId="1749BE13">
            <wp:extent cx="1562100" cy="863600"/>
            <wp:effectExtent l="0" t="0" r="1270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63600"/>
                    </a:xfrm>
                    <a:prstGeom prst="rect">
                      <a:avLst/>
                    </a:prstGeom>
                    <a:noFill/>
                    <a:ln>
                      <a:noFill/>
                    </a:ln>
                  </pic:spPr>
                </pic:pic>
              </a:graphicData>
            </a:graphic>
          </wp:inline>
        </w:drawing>
      </w:r>
    </w:p>
    <w:p w14:paraId="2380E0E1" w14:textId="77777777" w:rsidR="003F6191" w:rsidRDefault="003F6191" w:rsidP="003F6191">
      <w:r>
        <w:t>We do not make specific assumptions about the evolutionary process as Weir and Cockerham did. However, we view the above as a parameter definition as it is based on the population (and not sample) allele frequencies. Also, we note that under the assumptions made by Weir and Hill, our estimates will not depend on the ratio of sample sizes.</w:t>
      </w:r>
    </w:p>
    <w:p w14:paraId="223FE7D7" w14:textId="77777777" w:rsidR="003F6191" w:rsidRDefault="003F6191" w:rsidP="003F6191">
      <w:r>
        <w:t xml:space="preserve">We now consider the estimation of this parameter from a set of SNPs genotyped over a finite set of individuals. Suppose we have a set </w:t>
      </w:r>
      <w:r>
        <w:rPr>
          <w:noProof/>
          <w:position w:val="-6"/>
        </w:rPr>
        <w:drawing>
          <wp:inline distT="0" distB="0" distL="0" distR="0" wp14:anchorId="030D97A1" wp14:editId="3B7E9BDC">
            <wp:extent cx="127000" cy="165100"/>
            <wp:effectExtent l="0" t="0" r="0" b="1270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t>of markers</w:t>
      </w:r>
      <w:r>
        <w:rPr>
          <w:noProof/>
          <w:position w:val="-12"/>
        </w:rPr>
        <w:drawing>
          <wp:inline distT="0" distB="0" distL="0" distR="0" wp14:anchorId="032E0C63" wp14:editId="189DE4B2">
            <wp:extent cx="927100" cy="215900"/>
            <wp:effectExtent l="0" t="0" r="12700" b="1270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r>
        <w:t>. For marker</w:t>
      </w:r>
      <w:r>
        <w:rPr>
          <w:noProof/>
          <w:position w:val="-6"/>
        </w:rPr>
        <w:drawing>
          <wp:inline distT="0" distB="0" distL="0" distR="0" wp14:anchorId="7C5B3304" wp14:editId="51C113B1">
            <wp:extent cx="127000" cy="177800"/>
            <wp:effectExtent l="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t xml:space="preserve">, we deﬁne </w:t>
      </w:r>
      <w:r>
        <w:rPr>
          <w:noProof/>
          <w:position w:val="-6"/>
        </w:rPr>
        <w:drawing>
          <wp:inline distT="0" distB="0" distL="0" distR="0" wp14:anchorId="771D5539" wp14:editId="3B5B6970">
            <wp:extent cx="279400" cy="203200"/>
            <wp:effectExtent l="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t>and</w:t>
      </w:r>
      <w:r>
        <w:rPr>
          <w:noProof/>
          <w:position w:val="-4"/>
        </w:rPr>
        <w:drawing>
          <wp:inline distT="0" distB="0" distL="0" distR="0" wp14:anchorId="3CE8BFBC" wp14:editId="4810652A">
            <wp:extent cx="279400" cy="190500"/>
            <wp:effectExtent l="0" t="0" r="0" b="1270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t xml:space="preserve"> in the obvious way and </w:t>
      </w:r>
      <w:r>
        <w:rPr>
          <w:noProof/>
          <w:position w:val="-12"/>
        </w:rPr>
        <w:drawing>
          <wp:inline distT="0" distB="0" distL="0" distR="0" wp14:anchorId="3805DC3E" wp14:editId="53DF0426">
            <wp:extent cx="673100" cy="215900"/>
            <wp:effectExtent l="0" t="0" r="12700" b="1270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100" cy="215900"/>
                    </a:xfrm>
                    <a:prstGeom prst="rect">
                      <a:avLst/>
                    </a:prstGeom>
                    <a:noFill/>
                    <a:ln>
                      <a:noFill/>
                    </a:ln>
                  </pic:spPr>
                </pic:pic>
              </a:graphicData>
            </a:graphic>
          </wp:inline>
        </w:drawing>
      </w:r>
      <w:r>
        <w:t>for the marker set</w:t>
      </w:r>
      <w:r>
        <w:rPr>
          <w:noProof/>
          <w:position w:val="-6"/>
        </w:rPr>
        <w:drawing>
          <wp:inline distT="0" distB="0" distL="0" distR="0" wp14:anchorId="2DAF068A" wp14:editId="2E9AA2B7">
            <wp:extent cx="127000" cy="165100"/>
            <wp:effectExtent l="0" t="0" r="0" b="1270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t>by</w:t>
      </w:r>
    </w:p>
    <w:p w14:paraId="08ADDD41" w14:textId="77777777" w:rsidR="003F6191" w:rsidRDefault="003F6191" w:rsidP="003F6191">
      <w:pPr>
        <w:jc w:val="center"/>
      </w:pPr>
      <w:r>
        <w:rPr>
          <w:noProof/>
          <w:position w:val="-28"/>
        </w:rPr>
        <w:drawing>
          <wp:inline distT="0" distB="0" distL="0" distR="0" wp14:anchorId="7D61245D" wp14:editId="12BCF47B">
            <wp:extent cx="825500" cy="419100"/>
            <wp:effectExtent l="0" t="0" r="12700" b="1270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p w14:paraId="110DB84B" w14:textId="77777777" w:rsidR="003F6191" w:rsidRDefault="003F6191" w:rsidP="003F6191">
      <w:pPr>
        <w:jc w:val="center"/>
      </w:pPr>
      <w:r>
        <w:rPr>
          <w:noProof/>
          <w:position w:val="-24"/>
        </w:rPr>
        <w:drawing>
          <wp:inline distT="0" distB="0" distL="0" distR="0" wp14:anchorId="75FBCD59" wp14:editId="5801D826">
            <wp:extent cx="939800" cy="635000"/>
            <wp:effectExtent l="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635000"/>
                    </a:xfrm>
                    <a:prstGeom prst="rect">
                      <a:avLst/>
                    </a:prstGeom>
                    <a:noFill/>
                    <a:ln>
                      <a:noFill/>
                    </a:ln>
                  </pic:spPr>
                </pic:pic>
              </a:graphicData>
            </a:graphic>
          </wp:inline>
        </w:drawing>
      </w:r>
    </w:p>
    <w:p w14:paraId="5663D921" w14:textId="77777777" w:rsidR="003F6191" w:rsidRDefault="003F6191" w:rsidP="003F6191">
      <w:pPr>
        <w:jc w:val="center"/>
      </w:pPr>
      <w:r>
        <w:rPr>
          <w:noProof/>
          <w:position w:val="-24"/>
        </w:rPr>
        <w:drawing>
          <wp:inline distT="0" distB="0" distL="0" distR="0" wp14:anchorId="59CE1DB8" wp14:editId="5356F59B">
            <wp:extent cx="927100" cy="635000"/>
            <wp:effectExtent l="0" t="0" r="12700" b="0"/>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100" cy="635000"/>
                    </a:xfrm>
                    <a:prstGeom prst="rect">
                      <a:avLst/>
                    </a:prstGeom>
                    <a:noFill/>
                    <a:ln>
                      <a:noFill/>
                    </a:ln>
                  </pic:spPr>
                </pic:pic>
              </a:graphicData>
            </a:graphic>
          </wp:inline>
        </w:drawing>
      </w:r>
    </w:p>
    <w:p w14:paraId="4F8DB68E" w14:textId="77777777" w:rsidR="003F6191" w:rsidRDefault="003F6191" w:rsidP="003F6191"/>
    <w:p w14:paraId="0AA15130" w14:textId="77777777" w:rsidR="003F6191" w:rsidRDefault="003F6191" w:rsidP="003F6191">
      <w:r>
        <w:t xml:space="preserve">Note that </w:t>
      </w:r>
      <w:r>
        <w:rPr>
          <w:noProof/>
          <w:position w:val="-10"/>
        </w:rPr>
        <w:drawing>
          <wp:inline distT="0" distB="0" distL="0" distR="0" wp14:anchorId="4A192C60" wp14:editId="42C83C63">
            <wp:extent cx="342900" cy="203200"/>
            <wp:effectExtent l="0" t="0" r="1270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is a function of the population allele frequencies and is not a statistic (function of the observations). We wish to compute an estimator of</w:t>
      </w:r>
      <w:r>
        <w:rPr>
          <w:noProof/>
          <w:position w:val="-10"/>
        </w:rPr>
        <w:drawing>
          <wp:inline distT="0" distB="0" distL="0" distR="0" wp14:anchorId="16C16FD1" wp14:editId="15EB7434">
            <wp:extent cx="342900" cy="203200"/>
            <wp:effectExtent l="0" t="0" r="12700" b="0"/>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 xml:space="preserve">. Given the form of our estimator it is highly desirable to ﬁnd unbiased estimators of </w:t>
      </w:r>
      <w:r>
        <w:rPr>
          <w:noProof/>
          <w:position w:val="-6"/>
        </w:rPr>
        <w:drawing>
          <wp:inline distT="0" distB="0" distL="0" distR="0" wp14:anchorId="04D5A91D" wp14:editId="13C5762F">
            <wp:extent cx="279400" cy="203200"/>
            <wp:effectExtent l="0" t="0" r="0" b="0"/>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t>and</w:t>
      </w:r>
      <w:r>
        <w:rPr>
          <w:noProof/>
          <w:position w:val="-4"/>
        </w:rPr>
        <w:drawing>
          <wp:inline distT="0" distB="0" distL="0" distR="0" wp14:anchorId="1953A8D7" wp14:editId="398109B0">
            <wp:extent cx="279400" cy="190500"/>
            <wp:effectExtent l="0" t="0" r="0" b="1270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t xml:space="preserve"> else the bias will eventually dominate the estimate. We fix, for now, a marker</w:t>
      </w:r>
      <w:r>
        <w:rPr>
          <w:noProof/>
          <w:position w:val="-6"/>
        </w:rPr>
        <w:drawing>
          <wp:inline distT="0" distB="0" distL="0" distR="0" wp14:anchorId="265D66A7" wp14:editId="6837D39B">
            <wp:extent cx="127000" cy="177800"/>
            <wp:effectExtent l="0" t="0" r="0" b="0"/>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t xml:space="preserve">.  Suppose the population frequencies are </w:t>
      </w:r>
      <w:r>
        <w:rPr>
          <w:noProof/>
          <w:position w:val="-10"/>
        </w:rPr>
        <w:drawing>
          <wp:inline distT="0" distB="0" distL="0" distR="0" wp14:anchorId="40BDD154" wp14:editId="4D144C32">
            <wp:extent cx="368300" cy="203200"/>
            <wp:effectExtent l="0" t="0" r="1270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t xml:space="preserve"> for the variant allele, and we observe allele counts </w:t>
      </w:r>
      <w:r>
        <w:rPr>
          <w:noProof/>
          <w:position w:val="-10"/>
        </w:rPr>
        <w:drawing>
          <wp:inline distT="0" distB="0" distL="0" distR="0" wp14:anchorId="1EBBFB59" wp14:editId="2CA64F5D">
            <wp:extent cx="342900" cy="203200"/>
            <wp:effectExtent l="0" t="0" r="1270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 xml:space="preserve">for the variant allele, </w:t>
      </w:r>
      <w:r>
        <w:rPr>
          <w:noProof/>
          <w:position w:val="-10"/>
        </w:rPr>
        <w:drawing>
          <wp:inline distT="0" distB="0" distL="0" distR="0" wp14:anchorId="033F67F3" wp14:editId="32837B7E">
            <wp:extent cx="330200" cy="203200"/>
            <wp:effectExtent l="0" t="0" r="0" b="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t xml:space="preserve">for the reference allele. Take </w:t>
      </w:r>
      <w:r>
        <w:rPr>
          <w:noProof/>
          <w:position w:val="-12"/>
        </w:rPr>
        <w:drawing>
          <wp:inline distT="0" distB="0" distL="0" distR="0" wp14:anchorId="79255CAD" wp14:editId="296149C4">
            <wp:extent cx="622300" cy="215900"/>
            <wp:effectExtent l="0" t="0" r="12700" b="12700"/>
            <wp:docPr id="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t xml:space="preserve"> </w:t>
      </w:r>
      <w:r>
        <w:rPr>
          <w:noProof/>
          <w:position w:val="-8"/>
        </w:rPr>
        <w:drawing>
          <wp:inline distT="0" distB="0" distL="0" distR="0" wp14:anchorId="1457B3DB" wp14:editId="039B8F43">
            <wp:extent cx="406400" cy="177800"/>
            <wp:effectExtent l="0" t="0" r="0" b="0"/>
            <wp:docPr id="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t xml:space="preserve">. </w:t>
      </w:r>
      <w:r>
        <w:rPr>
          <w:noProof/>
          <w:position w:val="-6"/>
        </w:rPr>
        <w:drawing>
          <wp:inline distT="0" distB="0" distL="0" distR="0" wp14:anchorId="01D3A162" wp14:editId="2EE2EE3D">
            <wp:extent cx="558800" cy="203200"/>
            <wp:effectExtent l="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t xml:space="preserve"> </w:t>
      </w:r>
      <w:proofErr w:type="gramStart"/>
      <w:r>
        <w:t>is</w:t>
      </w:r>
      <w:proofErr w:type="gramEnd"/>
      <w:r>
        <w:t xml:space="preserve"> deﬁned as </w:t>
      </w:r>
      <w:r>
        <w:rPr>
          <w:noProof/>
          <w:position w:val="-10"/>
        </w:rPr>
        <w:drawing>
          <wp:inline distT="0" distB="0" distL="0" distR="0" wp14:anchorId="52DA787F" wp14:editId="224D84EB">
            <wp:extent cx="609600" cy="228600"/>
            <wp:effectExtent l="0" t="0" r="0"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A naïve estimator for </w:t>
      </w:r>
      <w:r>
        <w:rPr>
          <w:noProof/>
          <w:position w:val="-6"/>
        </w:rPr>
        <w:drawing>
          <wp:inline distT="0" distB="0" distL="0" distR="0" wp14:anchorId="12F0EA9D" wp14:editId="3F654833">
            <wp:extent cx="177800" cy="165100"/>
            <wp:effectExtent l="0" t="0" r="0" b="12700"/>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is</w:t>
      </w:r>
    </w:p>
    <w:p w14:paraId="69B44B9E" w14:textId="77777777" w:rsidR="003F6191" w:rsidRDefault="003F6191" w:rsidP="003F6191">
      <w:pPr>
        <w:jc w:val="center"/>
      </w:pPr>
      <w:r>
        <w:rPr>
          <w:noProof/>
          <w:position w:val="-10"/>
        </w:rPr>
        <w:drawing>
          <wp:inline distT="0" distB="0" distL="0" distR="0" wp14:anchorId="2B8FAB17" wp14:editId="41A34DAC">
            <wp:extent cx="1244600" cy="228600"/>
            <wp:effectExtent l="0" t="0" r="0" b="0"/>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4600" cy="228600"/>
                    </a:xfrm>
                    <a:prstGeom prst="rect">
                      <a:avLst/>
                    </a:prstGeom>
                    <a:noFill/>
                    <a:ln>
                      <a:noFill/>
                    </a:ln>
                  </pic:spPr>
                </pic:pic>
              </a:graphicData>
            </a:graphic>
          </wp:inline>
        </w:drawing>
      </w:r>
    </w:p>
    <w:p w14:paraId="44C5DA8B" w14:textId="77777777" w:rsidR="003F6191" w:rsidRDefault="003F6191" w:rsidP="003F6191">
      <w:r>
        <w:t xml:space="preserve">We calculate the bias of </w:t>
      </w:r>
      <w:r>
        <w:rPr>
          <w:noProof/>
          <w:position w:val="-4"/>
        </w:rPr>
        <w:drawing>
          <wp:inline distT="0" distB="0" distL="0" distR="0" wp14:anchorId="30E7A1CB" wp14:editId="4136A836">
            <wp:extent cx="165100" cy="152400"/>
            <wp:effectExtent l="0" t="0" r="12700" b="0"/>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Writing</w:t>
      </w:r>
    </w:p>
    <w:p w14:paraId="755DE0C8" w14:textId="77777777" w:rsidR="003F6191" w:rsidRDefault="003F6191" w:rsidP="003F6191">
      <w:pPr>
        <w:jc w:val="center"/>
      </w:pPr>
      <w:r>
        <w:rPr>
          <w:noProof/>
          <w:position w:val="-10"/>
        </w:rPr>
        <w:drawing>
          <wp:inline distT="0" distB="0" distL="0" distR="0" wp14:anchorId="68DFF3AF" wp14:editId="72947922">
            <wp:extent cx="2616200" cy="228600"/>
            <wp:effectExtent l="0" t="0" r="0" b="0"/>
            <wp:docPr id="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6200" cy="228600"/>
                    </a:xfrm>
                    <a:prstGeom prst="rect">
                      <a:avLst/>
                    </a:prstGeom>
                    <a:noFill/>
                    <a:ln>
                      <a:noFill/>
                    </a:ln>
                  </pic:spPr>
                </pic:pic>
              </a:graphicData>
            </a:graphic>
          </wp:inline>
        </w:drawing>
      </w:r>
    </w:p>
    <w:p w14:paraId="2D855424" w14:textId="77777777" w:rsidR="003F6191" w:rsidRDefault="003F6191" w:rsidP="003F6191">
      <w:pPr>
        <w:jc w:val="center"/>
      </w:pPr>
      <w:r>
        <w:rPr>
          <w:noProof/>
          <w:position w:val="-10"/>
        </w:rPr>
        <w:drawing>
          <wp:inline distT="0" distB="0" distL="0" distR="0" wp14:anchorId="44F7F128" wp14:editId="76EB6345">
            <wp:extent cx="3149600" cy="228600"/>
            <wp:effectExtent l="0" t="0" r="0" b="0"/>
            <wp:docPr id="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9600" cy="228600"/>
                    </a:xfrm>
                    <a:prstGeom prst="rect">
                      <a:avLst/>
                    </a:prstGeom>
                    <a:noFill/>
                    <a:ln>
                      <a:noFill/>
                    </a:ln>
                  </pic:spPr>
                </pic:pic>
              </a:graphicData>
            </a:graphic>
          </wp:inline>
        </w:drawing>
      </w:r>
    </w:p>
    <w:p w14:paraId="6EF9A9BD" w14:textId="77777777" w:rsidR="003F6191" w:rsidRDefault="003F6191" w:rsidP="003F6191">
      <w:pPr>
        <w:jc w:val="center"/>
      </w:pPr>
      <w:r>
        <w:rPr>
          <w:noProof/>
          <w:position w:val="-10"/>
        </w:rPr>
        <w:drawing>
          <wp:inline distT="0" distB="0" distL="0" distR="0" wp14:anchorId="3F4C42CE" wp14:editId="6BABB2AC">
            <wp:extent cx="2540000" cy="228600"/>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0" cy="228600"/>
                    </a:xfrm>
                    <a:prstGeom prst="rect">
                      <a:avLst/>
                    </a:prstGeom>
                    <a:noFill/>
                    <a:ln>
                      <a:noFill/>
                    </a:ln>
                  </pic:spPr>
                </pic:pic>
              </a:graphicData>
            </a:graphic>
          </wp:inline>
        </w:drawing>
      </w:r>
    </w:p>
    <w:p w14:paraId="7AF1AE7E" w14:textId="77777777" w:rsidR="003F6191" w:rsidRDefault="003F6191" w:rsidP="003F6191">
      <w:r>
        <w:t xml:space="preserve">Deﬁne </w:t>
      </w:r>
      <w:r>
        <w:rPr>
          <w:noProof/>
          <w:position w:val="-10"/>
        </w:rPr>
        <w:drawing>
          <wp:inline distT="0" distB="0" distL="0" distR="0" wp14:anchorId="34F26885" wp14:editId="52A08FDB">
            <wp:extent cx="850900" cy="203200"/>
            <wp:effectExtent l="0" t="0" r="12700" b="0"/>
            <wp:docPr id="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t xml:space="preserve"> (</w:t>
      </w:r>
      <w:r>
        <w:rPr>
          <w:noProof/>
          <w:position w:val="-10"/>
        </w:rPr>
        <w:drawing>
          <wp:inline distT="0" distB="0" distL="0" distR="0" wp14:anchorId="74BBA0B8" wp14:editId="5D119CB7">
            <wp:extent cx="228600" cy="203200"/>
            <wp:effectExtent l="0" t="0" r="0" b="0"/>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t xml:space="preserve"> is the heterozygosity at the marker for population 1).</w:t>
      </w:r>
    </w:p>
    <w:p w14:paraId="24C01B46" w14:textId="77777777" w:rsidR="003F6191" w:rsidRDefault="003F6191" w:rsidP="003F6191">
      <w:r>
        <w:t xml:space="preserve">Then a natural estimator for </w:t>
      </w:r>
      <w:r>
        <w:rPr>
          <w:noProof/>
          <w:position w:val="-10"/>
        </w:rPr>
        <w:drawing>
          <wp:inline distT="0" distB="0" distL="0" distR="0" wp14:anchorId="07B60BA6" wp14:editId="6DE999BF">
            <wp:extent cx="152400" cy="203200"/>
            <wp:effectExtent l="0" t="0" r="0" b="0"/>
            <wp:docPr id="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is</w:t>
      </w:r>
    </w:p>
    <w:p w14:paraId="78E31DE0" w14:textId="77777777" w:rsidR="003F6191" w:rsidRDefault="003F6191" w:rsidP="003F6191">
      <w:pPr>
        <w:jc w:val="center"/>
      </w:pPr>
      <w:r>
        <w:rPr>
          <w:noProof/>
          <w:position w:val="-30"/>
        </w:rPr>
        <w:drawing>
          <wp:inline distT="0" distB="0" distL="0" distR="0" wp14:anchorId="35BC284D" wp14:editId="0E62EBD1">
            <wp:extent cx="927100" cy="431800"/>
            <wp:effectExtent l="0" t="0" r="12700" b="0"/>
            <wp:docPr id="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100" cy="431800"/>
                    </a:xfrm>
                    <a:prstGeom prst="rect">
                      <a:avLst/>
                    </a:prstGeom>
                    <a:noFill/>
                    <a:ln>
                      <a:noFill/>
                    </a:ln>
                  </pic:spPr>
                </pic:pic>
              </a:graphicData>
            </a:graphic>
          </wp:inline>
        </w:drawing>
      </w:r>
    </w:p>
    <w:p w14:paraId="3BFE0539" w14:textId="77777777" w:rsidR="003F6191" w:rsidRDefault="003F6191" w:rsidP="003F6191"/>
    <w:p w14:paraId="1B1B3673" w14:textId="77777777" w:rsidR="003F6191" w:rsidRDefault="003F6191" w:rsidP="003F6191">
      <w:r>
        <w:t xml:space="preserve">It is easy to check that </w:t>
      </w:r>
      <w:r>
        <w:rPr>
          <w:noProof/>
          <w:position w:val="-10"/>
        </w:rPr>
        <w:drawing>
          <wp:inline distT="0" distB="0" distL="0" distR="0" wp14:anchorId="03FD5C3D" wp14:editId="29C84330">
            <wp:extent cx="152400" cy="241300"/>
            <wp:effectExtent l="0" t="0" r="0" b="12700"/>
            <wp:docPr id="6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t xml:space="preserve"> is unbiased. </w:t>
      </w:r>
      <w:proofErr w:type="gramStart"/>
      <w:r>
        <w:t xml:space="preserve">Similarly, deﬁne </w:t>
      </w:r>
      <w:r>
        <w:rPr>
          <w:noProof/>
          <w:position w:val="-10"/>
        </w:rPr>
        <w:drawing>
          <wp:inline distT="0" distB="0" distL="0" distR="0" wp14:anchorId="02C656AB" wp14:editId="0DF78384">
            <wp:extent cx="165100" cy="203200"/>
            <wp:effectExtent l="0" t="0" r="12700" b="0"/>
            <wp:docPr id="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t xml:space="preserve"> for population 2, with a corresponding estimator</w:t>
      </w:r>
      <w:r>
        <w:rPr>
          <w:noProof/>
          <w:position w:val="-10"/>
        </w:rPr>
        <w:drawing>
          <wp:inline distT="0" distB="0" distL="0" distR="0" wp14:anchorId="6B7D0491" wp14:editId="36252690">
            <wp:extent cx="165100" cy="241300"/>
            <wp:effectExtent l="0" t="0" r="12700" b="12700"/>
            <wp:docPr id="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100" cy="241300"/>
                    </a:xfrm>
                    <a:prstGeom prst="rect">
                      <a:avLst/>
                    </a:prstGeom>
                    <a:noFill/>
                    <a:ln>
                      <a:noFill/>
                    </a:ln>
                  </pic:spPr>
                </pic:pic>
              </a:graphicData>
            </a:graphic>
          </wp:inline>
        </w:drawing>
      </w:r>
      <w:r>
        <w:t>.</w:t>
      </w:r>
      <w:proofErr w:type="gramEnd"/>
      <w:r>
        <w:t xml:space="preserve"> This is enough to show that:</w:t>
      </w:r>
    </w:p>
    <w:p w14:paraId="7E048BFA" w14:textId="77777777" w:rsidR="003F6191" w:rsidRDefault="003F6191" w:rsidP="003F6191">
      <w:r>
        <w:rPr>
          <w:noProof/>
          <w:position w:val="-30"/>
        </w:rPr>
        <w:drawing>
          <wp:inline distT="0" distB="0" distL="0" distR="0" wp14:anchorId="4A452DC4" wp14:editId="5AF98EAB">
            <wp:extent cx="1828800" cy="457200"/>
            <wp:effectExtent l="0" t="0" r="0"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roofErr w:type="gramStart"/>
      <w:r>
        <w:t>is</w:t>
      </w:r>
      <w:proofErr w:type="gramEnd"/>
      <w:r>
        <w:t xml:space="preserve"> an unbiased estimator for</w:t>
      </w:r>
      <w:r>
        <w:rPr>
          <w:noProof/>
          <w:position w:val="-6"/>
        </w:rPr>
        <w:drawing>
          <wp:inline distT="0" distB="0" distL="0" distR="0" wp14:anchorId="32E3277D" wp14:editId="4F6EB96E">
            <wp:extent cx="177800" cy="165100"/>
            <wp:effectExtent l="0" t="0" r="0" b="12700"/>
            <wp:docPr id="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Now </w:t>
      </w:r>
      <w:r>
        <w:rPr>
          <w:noProof/>
          <w:position w:val="-10"/>
        </w:rPr>
        <w:drawing>
          <wp:inline distT="0" distB="0" distL="0" distR="0" wp14:anchorId="65CC94B0" wp14:editId="74711B12">
            <wp:extent cx="927100" cy="241300"/>
            <wp:effectExtent l="0" t="0" r="12700" b="12700"/>
            <wp:docPr id="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p>
    <w:p w14:paraId="0F7AEA7D" w14:textId="77777777" w:rsidR="003F6191" w:rsidRDefault="003F6191" w:rsidP="003F6191">
      <w:proofErr w:type="gramStart"/>
      <w:r>
        <w:t>is</w:t>
      </w:r>
      <w:proofErr w:type="gramEnd"/>
      <w:r>
        <w:t xml:space="preserve"> an unbiased estimator for </w:t>
      </w:r>
      <w:r>
        <w:rPr>
          <w:noProof/>
          <w:position w:val="-4"/>
        </w:rPr>
        <w:drawing>
          <wp:inline distT="0" distB="0" distL="0" distR="0" wp14:anchorId="32287A66" wp14:editId="55EC7471">
            <wp:extent cx="165100" cy="152400"/>
            <wp:effectExtent l="0" t="0" r="12700" b="0"/>
            <wp:docPr id="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xml:space="preserve">. By the </w:t>
      </w:r>
      <w:r w:rsidRPr="00E0323A">
        <w:t>Lehmann-</w:t>
      </w:r>
      <w:proofErr w:type="spellStart"/>
      <w:r w:rsidRPr="00E0323A">
        <w:t>Scheﬀ</w:t>
      </w:r>
      <w:r w:rsidRPr="00E0323A">
        <w:rPr>
          <w:rFonts w:ascii="Lucida Grande" w:hAnsi="Lucida Grande" w:cs="Lucida Grande"/>
          <w:color w:val="000000"/>
        </w:rPr>
        <w:t>é</w:t>
      </w:r>
      <w:proofErr w:type="spellEnd"/>
      <w:r>
        <w:t xml:space="preserve"> theorem,</w:t>
      </w:r>
      <w:r>
        <w:rPr>
          <w:noProof/>
          <w:position w:val="-6"/>
        </w:rPr>
        <w:drawing>
          <wp:inline distT="0" distB="0" distL="0" distR="0" wp14:anchorId="6B3C07A3" wp14:editId="78FDEA54">
            <wp:extent cx="177800" cy="215900"/>
            <wp:effectExtent l="0" t="0" r="0" b="12700"/>
            <wp:docPr id="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t>and</w:t>
      </w:r>
      <w:r>
        <w:rPr>
          <w:noProof/>
          <w:position w:val="-4"/>
        </w:rPr>
        <w:drawing>
          <wp:inline distT="0" distB="0" distL="0" distR="0" wp14:anchorId="40138AEE" wp14:editId="48C5B463">
            <wp:extent cx="165100" cy="203200"/>
            <wp:effectExtent l="0" t="0" r="12700" b="0"/>
            <wp:docPr id="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t xml:space="preserve">are uniformly minimum variance unbiased estimators </w:t>
      </w:r>
      <w:r w:rsidR="00862942">
        <w:fldChar w:fldCharType="begin"/>
      </w:r>
      <w:r w:rsidR="00D73545">
        <w:instrText xml:space="preserve"> ADDIN PAPERS2_CITATIONS &lt;citation&gt;&lt;uuid&gt;7686F169-FAB7-4C35-B0A5-AFC894496B9C&lt;/uuid&gt;&lt;priority&gt;10&lt;/priority&gt;&lt;publications&gt;&lt;publication&gt;&lt;location&gt;200,4,37.7749295,-122.4194155&lt;/location&gt;&lt;publication_date&gt;99197100001200000000200000&lt;/publication_date&gt;&lt;title&gt;The genetics of human populations&lt;/title&gt;&lt;uuid&gt;8DC6D8F4-523D-46A7-A035-294B6977A6E0&lt;/uuid&gt;&lt;subtype&gt;0&lt;/subtype&gt;&lt;publisher&gt;W.H. Freeman&lt;/publisher&gt;&lt;type&gt;0&lt;/type&gt;&lt;place&gt;San Francisco&lt;/place&gt;&lt;citekey&gt;RefWorks:155&lt;/citekey&gt;&lt;url&gt;http://www.google.com/search?client=safari&amp;amp;rls=10_7_4&amp;amp;q=The+genetics+of+human+populations&amp;amp;ie=UTF-8&amp;amp;oe=UTF-8&lt;/url&gt;&lt;authors&gt;&lt;author&gt;&lt;firstName&gt;L&lt;/firstName&gt;&lt;middleNames&gt;L&lt;/middleNames&gt;&lt;lastName&gt;Cavalli-Sforza&lt;/lastName&gt;&lt;/author&gt;&lt;author&gt;&lt;firstName&gt;W&lt;/firstName&gt;&lt;middleNames&gt;F&lt;/middleNames&gt;&lt;lastName&gt;Bodmer&lt;/lastName&gt;&lt;/author&gt;&lt;/authors&gt;&lt;/publication&gt;&lt;publication&gt;&lt;publication_date&gt;99200600001200000000200000&lt;/publication_date&gt;&lt;title&gt;Mathematical Statistics, Basic Ideas and Selected Topics, Vol. 1,&lt;/title&gt;&lt;uuid&gt;479F5AF7-369D-4A60-853D-06F5506EF789&lt;/uuid&gt;&lt;subtype&gt;0&lt;/subtype&gt;&lt;publisher&gt;Prentice Hall&lt;/publisher&gt;&lt;version&gt;2nd&lt;/version&gt;&lt;type&gt;0&lt;/type&gt;&lt;citekey&gt;RefWorks:116&lt;/citekey&gt;&lt;url&gt;http://www.amazon.com/Mathematical-Statistics-Selected-Topics-Edition/dp/0132306379%3FSubscriptionId%3D0JYN1NVW651KCA56C102%26tag%3Dtechkie-20%26linkCode%3Dxm2%26camp%3D2025%26creative%3D165953%26creativeASIN%3D0132306379&lt;/url&gt;&lt;authors&gt;&lt;author&gt;&lt;firstName&gt;Peter&lt;/firstName&gt;&lt;middleNames&gt;J&lt;/middleNames&gt;&lt;lastName&gt;Bickel&lt;/lastName&gt;&lt;/author&gt;&lt;author&gt;&lt;firstName&gt;Kjell&lt;/firstName&gt;&lt;middleNames&gt;A&lt;/middleNames&gt;&lt;lastName&gt;Doksum&lt;/lastName&gt;&lt;/author&gt;&lt;/authors&gt;&lt;/publication&gt;&lt;/publications&gt;&lt;cites&gt;&lt;/cites&gt;&lt;/citation&gt;</w:instrText>
      </w:r>
      <w:r w:rsidR="00862942">
        <w:fldChar w:fldCharType="separate"/>
      </w:r>
      <w:r w:rsidR="00D73545">
        <w:rPr>
          <w:rFonts w:cs="Cambria"/>
        </w:rPr>
        <w:t>(Cavalli-Sforza and Bodmer 1971; Bickel and Doksum 2006)</w:t>
      </w:r>
      <w:r w:rsidR="00862942">
        <w:fldChar w:fldCharType="end"/>
      </w:r>
      <w:r>
        <w:t xml:space="preserve">. No longer ﬁxing a marker and writing </w:t>
      </w:r>
      <w:r>
        <w:rPr>
          <w:noProof/>
          <w:position w:val="-6"/>
        </w:rPr>
        <w:drawing>
          <wp:inline distT="0" distB="0" distL="0" distR="0" wp14:anchorId="63A61154" wp14:editId="74F3BBC6">
            <wp:extent cx="279400" cy="215900"/>
            <wp:effectExtent l="0" t="0" r="0" b="12700"/>
            <wp:docPr id="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r>
        <w:t xml:space="preserve"> for our estimator of</w:t>
      </w:r>
      <w:r>
        <w:rPr>
          <w:noProof/>
          <w:position w:val="-6"/>
        </w:rPr>
        <w:drawing>
          <wp:inline distT="0" distB="0" distL="0" distR="0" wp14:anchorId="45778939" wp14:editId="15D837EF">
            <wp:extent cx="279400" cy="203200"/>
            <wp:effectExtent l="0" t="0" r="0" b="0"/>
            <wp:docPr id="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t xml:space="preserve">, and so on, we see that a natural estimator for </w:t>
      </w:r>
      <w:r>
        <w:rPr>
          <w:noProof/>
          <w:position w:val="-10"/>
        </w:rPr>
        <w:drawing>
          <wp:inline distT="0" distB="0" distL="0" distR="0" wp14:anchorId="22E698B4" wp14:editId="037CF2CF">
            <wp:extent cx="342900" cy="203200"/>
            <wp:effectExtent l="0" t="0" r="12700" b="0"/>
            <wp:docPr id="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is</w:t>
      </w:r>
    </w:p>
    <w:p w14:paraId="798269D7" w14:textId="77777777" w:rsidR="003F6191" w:rsidRPr="00432CFC" w:rsidRDefault="003F6191" w:rsidP="003F6191">
      <w:pPr>
        <w:jc w:val="center"/>
      </w:pPr>
      <w:r>
        <w:rPr>
          <w:noProof/>
          <w:position w:val="-64"/>
        </w:rPr>
        <w:drawing>
          <wp:inline distT="0" distB="0" distL="0" distR="0" wp14:anchorId="6B7B9243" wp14:editId="7EA714D7">
            <wp:extent cx="736600" cy="889000"/>
            <wp:effectExtent l="0" t="0" r="0" b="0"/>
            <wp:docPr id="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6600" cy="889000"/>
                    </a:xfrm>
                    <a:prstGeom prst="rect">
                      <a:avLst/>
                    </a:prstGeom>
                    <a:noFill/>
                    <a:ln>
                      <a:noFill/>
                    </a:ln>
                  </pic:spPr>
                </pic:pic>
              </a:graphicData>
            </a:graphic>
          </wp:inline>
        </w:drawing>
      </w:r>
    </w:p>
    <w:p w14:paraId="1B23524C" w14:textId="77777777" w:rsidR="003F6191" w:rsidRDefault="003F6191" w:rsidP="003F6191"/>
    <w:p w14:paraId="3518E462" w14:textId="77777777" w:rsidR="003F6191" w:rsidRDefault="003F6191" w:rsidP="003F6191">
      <w:r>
        <w:t xml:space="preserve">The proposed estimator for </w:t>
      </w:r>
      <w:r w:rsidRPr="004B5839">
        <w:rPr>
          <w:i/>
        </w:rPr>
        <w:t>F</w:t>
      </w:r>
      <w:r w:rsidRPr="004B5839">
        <w:rPr>
          <w:vertAlign w:val="subscript"/>
        </w:rPr>
        <w:t>ST</w:t>
      </w:r>
      <w:r>
        <w:t xml:space="preserve"> and a corresponding block-jackknife estimator for standard error of </w:t>
      </w:r>
      <w:r w:rsidRPr="004B5839">
        <w:rPr>
          <w:i/>
        </w:rPr>
        <w:t>F</w:t>
      </w:r>
      <w:r w:rsidRPr="004B5839">
        <w:rPr>
          <w:vertAlign w:val="subscript"/>
        </w:rPr>
        <w:t>ST</w:t>
      </w:r>
      <w:r>
        <w:t xml:space="preserve"> are implemented in the EIGENSOFT software package (See Web Resources).</w:t>
      </w:r>
    </w:p>
    <w:p w14:paraId="16FE54FA" w14:textId="77777777" w:rsidR="003F6191" w:rsidRDefault="003F6191" w:rsidP="003F6191"/>
    <w:p w14:paraId="360EB856" w14:textId="77777777" w:rsidR="003F6191" w:rsidRDefault="003F6191" w:rsidP="003F6191">
      <w:r>
        <w:rPr>
          <w:noProof/>
        </w:rPr>
        <w:drawing>
          <wp:inline distT="0" distB="0" distL="0" distR="0" wp14:anchorId="6AD769B9" wp14:editId="64FFD484">
            <wp:extent cx="5486400" cy="3143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Snp-GenomeWide-Consequences-Section 1.pdf"/>
                    <pic:cNvPicPr/>
                  </pic:nvPicPr>
                  <pic:blipFill>
                    <a:blip r:embed="rId56">
                      <a:extLst>
                        <a:ext uri="{28A0092B-C50C-407E-A947-70E740481C1C}">
                          <a14:useLocalDpi xmlns:a14="http://schemas.microsoft.com/office/drawing/2010/main" val="0"/>
                        </a:ext>
                      </a:extLst>
                    </a:blip>
                    <a:stretch>
                      <a:fillRect/>
                    </a:stretch>
                  </pic:blipFill>
                  <pic:spPr>
                    <a:xfrm>
                      <a:off x="0" y="0"/>
                      <a:ext cx="5486400" cy="3143885"/>
                    </a:xfrm>
                    <a:prstGeom prst="rect">
                      <a:avLst/>
                    </a:prstGeom>
                  </pic:spPr>
                </pic:pic>
              </a:graphicData>
            </a:graphic>
          </wp:inline>
        </w:drawing>
      </w:r>
    </w:p>
    <w:p w14:paraId="6DC299F3" w14:textId="77777777" w:rsidR="003F6191" w:rsidRDefault="00E27BBE" w:rsidP="003F6191">
      <w:r>
        <w:t>Figure S2</w:t>
      </w:r>
      <w:r w:rsidR="003F6191">
        <w:t xml:space="preserve">. Genome-wide estimates of </w:t>
      </w:r>
      <w:r w:rsidR="003F6191" w:rsidRPr="001C257D">
        <w:rPr>
          <w:i/>
        </w:rPr>
        <w:t>F</w:t>
      </w:r>
      <w:r w:rsidR="003F6191" w:rsidRPr="001C257D">
        <w:rPr>
          <w:vertAlign w:val="subscript"/>
        </w:rPr>
        <w:t>ST</w:t>
      </w:r>
      <w:r w:rsidR="003F6191">
        <w:t xml:space="preserve"> depend on the estimator used as well as relative sample sizes. Assuming ascertainment in population 1, we see that the WC estimator is sensitive to the ratio of sample sizes, and produces identical results to the Hudson estimator when the sample sizes are the same. While the Nei estimator is insensitive to changes in the ratio of sample sizes, it results in consistently higher estimates of </w:t>
      </w:r>
      <w:r w:rsidR="003F6191" w:rsidRPr="001C257D">
        <w:rPr>
          <w:i/>
        </w:rPr>
        <w:t>F</w:t>
      </w:r>
      <w:r w:rsidR="003F6191" w:rsidRPr="001C257D">
        <w:rPr>
          <w:vertAlign w:val="subscript"/>
        </w:rPr>
        <w:t>ST</w:t>
      </w:r>
      <w:r w:rsidR="003F6191">
        <w:t xml:space="preserve">. </w:t>
      </w:r>
    </w:p>
    <w:p w14:paraId="5D98EFE5" w14:textId="77777777" w:rsidR="00402599" w:rsidRDefault="00402599" w:rsidP="00402599">
      <w:pPr>
        <w:ind w:firstLine="720"/>
      </w:pPr>
    </w:p>
    <w:p w14:paraId="4F37FE54" w14:textId="77777777" w:rsidR="001C415A" w:rsidRDefault="001C415A" w:rsidP="001C415A">
      <w:pPr>
        <w:pStyle w:val="Heading1"/>
      </w:pPr>
      <w:bookmarkStart w:id="37" w:name="_Toc232440782"/>
      <w:bookmarkStart w:id="38" w:name="_Toc232704452"/>
      <w:bookmarkStart w:id="39" w:name="_Toc232777577"/>
      <w:r>
        <w:t>Single SNP Estimators – Coalescent Simulations</w:t>
      </w:r>
      <w:bookmarkEnd w:id="14"/>
      <w:bookmarkEnd w:id="18"/>
      <w:bookmarkEnd w:id="19"/>
      <w:bookmarkEnd w:id="20"/>
      <w:bookmarkEnd w:id="21"/>
      <w:bookmarkEnd w:id="22"/>
      <w:bookmarkEnd w:id="37"/>
      <w:bookmarkEnd w:id="38"/>
      <w:bookmarkEnd w:id="39"/>
    </w:p>
    <w:p w14:paraId="3224CA10" w14:textId="77777777" w:rsidR="001C415A" w:rsidRDefault="001C415A" w:rsidP="001C415A">
      <w:pPr>
        <w:ind w:firstLine="720"/>
      </w:pPr>
      <w:r>
        <w:t xml:space="preserve">To test the properties of </w:t>
      </w:r>
      <w:r w:rsidR="00F862C7">
        <w:t>single SNP</w:t>
      </w:r>
      <w:r>
        <w:t xml:space="preserve"> estimators we simulated two populations and a third out-group population that all diverged 1000 generations ago. These populations were simulated using the coalescent simulator GENOME </w:t>
      </w:r>
      <w:r w:rsidR="00862942">
        <w:fldChar w:fldCharType="begin"/>
      </w:r>
      <w:r w:rsidR="00D73545">
        <w:instrText xml:space="preserve"> ADDIN PAPERS2_CITATIONS &lt;citation&gt;&lt;uuid&gt;398FA6D1-8B5F-4ADB-9202-7D2C80409F2E&lt;/uuid&gt;&lt;priority&gt;11&lt;/priority&gt;&lt;publications&gt;&lt;publication&gt;&lt;uuid&gt;E3610380-32C1-4AF3-861D-D306DBCF5D59&lt;/uuid&gt;&lt;volume&gt;17&lt;/volume&gt;&lt;doi&gt;10.1016/j.leukres.2008.07.027&lt;/doi&gt;&lt;startpage&gt;4015&lt;/startpage&gt;&lt;publication_date&gt;99200800001200000000200000&lt;/publication_date&gt;&lt;url&gt;http://onlinelibrary.wiley.com/doi/10.1111/j.1365-294X.2008.03887.x/full&lt;/url&gt;&lt;type&gt;400&lt;/type&gt;&lt;title&gt;GST and its relatives do not measure differentiation&lt;/title&gt;&lt;publisher&gt;Wiley Online Library&lt;/publisher&gt;&lt;number&gt;18&lt;/number&gt;&lt;subtype&gt;400&lt;/subtype&gt;&lt;endpage&gt;4026&lt;/endpage&gt;&lt;bundle&gt;&lt;publication&gt;&lt;title&gt;Molecular ecology&lt;/title&gt;&lt;type&gt;-100&lt;/type&gt;&lt;subtype&gt;-100&lt;/subtype&gt;&lt;uuid&gt;C816CF60-3F6A-4EFC-860D-8487AE5DDC95&lt;/uuid&gt;&lt;/publication&gt;&lt;/bundle&gt;&lt;authors&gt;&lt;author&gt;&lt;firstName&gt;Lou&lt;/firstName&gt;&lt;lastName&gt;Jost&lt;/lastName&gt;&lt;/author&gt;&lt;/authors&gt;&lt;/publication&gt;&lt;publication&gt;&lt;uuid&gt;DFF58000-BC7B-4E0D-B09C-EDEE5A2E3EBE&lt;/uuid&gt;&lt;volume&gt;23&lt;/volume&gt;&lt;doi&gt;10.1093/bioinformatics/btm138&lt;/doi&gt;&lt;startpage&gt;1565&lt;/startpage&gt;&lt;publication_date&gt;99200706151200000000222000&lt;/publication_date&gt;&lt;url&gt;http://eutils.ncbi.nlm.nih.gov/entrez/eutils/elink.fcgi?dbfrom=pubmed&amp;amp;id=17459963&amp;amp;retmode=ref&amp;amp;cmd=prlinks&lt;/url&gt;&lt;citekey&gt;RefWorks:94&lt;/citekey&gt;&lt;type&gt;400&lt;/type&gt;&lt;title&gt;GENOME: a rapid coalescent-based whole genome simulator.&lt;/title&gt;&lt;location&gt;200,9,42.2761841,-83.7410733&lt;/location&gt;&lt;institution&gt;Center for Statistical Genetics, Department of Biostatistics, University of Michigan, Ann Arbor, MI 48109, USA. lianglim@umich.edu&lt;/institution&gt;&lt;number&gt;12&lt;/number&gt;&lt;subtype&gt;400&lt;/subtype&gt;&lt;endpage&gt;1567&lt;/endpage&gt;&lt;bundle&gt;&lt;publication&gt;&lt;title&gt;Bioinformatics&lt;/title&gt;&lt;type&gt;-100&lt;/type&gt;&lt;subtype&gt;-100&lt;/subtype&gt;&lt;uuid&gt;8041A9EA-59ED-4767-A952-92ADB9110437&lt;/uuid&gt;&lt;/publication&gt;&lt;/bundle&gt;&lt;authors&gt;&lt;author&gt;&lt;firstName&gt;Liming&lt;/firstName&gt;&lt;lastName&gt;Liang&lt;/lastName&gt;&lt;/author&gt;&lt;author&gt;&lt;firstName&gt;Sebastian&lt;/firstName&gt;&lt;lastName&gt;Zöllner&lt;/lastName&gt;&lt;/author&gt;&lt;author&gt;&lt;firstName&gt;Goncalo&lt;/firstName&gt;&lt;middleNames&gt;R&lt;/middleNames&gt;&lt;lastName&gt;Abecasis&lt;/lastName&gt;&lt;/author&gt;&lt;/authors&gt;&lt;/publication&gt;&lt;publication&gt;&lt;uuid&gt;534791E8-5573-4056-B82D-A003CB9E108A&lt;/uuid&gt;&lt;volume&gt;18&lt;/volume&gt;&lt;doi&gt;10.1111/j.1365-294X.2009.04187.x&lt;/doi&gt;&lt;startpage&gt;2084&lt;/startpage&gt;&lt;publication_date&gt;99200905001200000000220000&lt;/publication_date&gt;&lt;url&gt;http://eutils.ncbi.nlm.nih.gov/entrez/eutils/elink.fcgi?dbfrom=pubmed&amp;amp;id=19389168&amp;amp;retmode=ref&amp;amp;cmd=prlinks&lt;/url&gt;&lt;type&gt;400&lt;/type&gt;&lt;title&gt;G(ST) is still a useful measure of genetic differentiation - a comment on Jost's D.&lt;/title&gt;&lt;location&gt;200,9,59.3627526,18.0590272&lt;/location&gt;&lt;institution&gt;Division of Population Genetics, Department of Zoology, Stockholm University, Stockholm, Sweden. nils.ryman@popgen.su.se&lt;/institution&gt;&lt;number&gt;10&lt;/number&gt;&lt;subtype&gt;400&lt;/subtype&gt;&lt;endpage&gt;7- discussion 2088-91&lt;/endpage&gt;&lt;bundle&gt;&lt;publication&gt;&lt;title&gt;Molecular ecology&lt;/title&gt;&lt;type&gt;-100&lt;/type&gt;&lt;subtype&gt;-100&lt;/subtype&gt;&lt;uuid&gt;C816CF60-3F6A-4EFC-860D-8487AE5DDC95&lt;/uuid&gt;&lt;/publication&gt;&lt;/bundle&gt;&lt;authors&gt;&lt;author&gt;&lt;firstName&gt;Nils&lt;/firstName&gt;&lt;lastName&gt;Ryman&lt;/lastName&gt;&lt;/author&gt;&lt;author&gt;&lt;firstName&gt;Olof&lt;/firstName&gt;&lt;lastName&gt;Leimar&lt;/lastName&gt;&lt;/author&gt;&lt;/authors&gt;&lt;/publication&gt;&lt;/publications&gt;&lt;cites&gt;&lt;/cites&gt;&lt;/citation&gt;</w:instrText>
      </w:r>
      <w:r w:rsidR="00862942">
        <w:fldChar w:fldCharType="separate"/>
      </w:r>
      <w:r w:rsidR="00D73545">
        <w:rPr>
          <w:rFonts w:cs="Cambria"/>
        </w:rPr>
        <w:t>(Jost 2008; Liang et al. 2007; Ryman and Leimar 2009)</w:t>
      </w:r>
      <w:r w:rsidR="00862942">
        <w:fldChar w:fldCharType="end"/>
      </w:r>
      <w:r>
        <w:t xml:space="preserve"> under a standard Wright-Fisher model with constant generation time and random mating. To begin, we used a constant and equal effective population size for all populations. Under these conditions, and ascertainment in the out-group population, Nei estimates of </w:t>
      </w:r>
      <w:r w:rsidRPr="004B5839">
        <w:rPr>
          <w:i/>
        </w:rPr>
        <w:t>F</w:t>
      </w:r>
      <w:r w:rsidRPr="004B5839">
        <w:rPr>
          <w:vertAlign w:val="subscript"/>
        </w:rPr>
        <w:t>ST</w:t>
      </w:r>
      <w:r>
        <w:t xml:space="preserve"> are inflated while the WC and Hudson estimates are identical (see below). </w:t>
      </w:r>
    </w:p>
    <w:p w14:paraId="486890B8" w14:textId="77777777" w:rsidR="001C415A" w:rsidRDefault="001C415A" w:rsidP="001C415A">
      <w:pPr>
        <w:ind w:firstLine="720"/>
      </w:pPr>
      <w:r>
        <w:t xml:space="preserve">To better understand the differences between these estimators, we altered the demographic history of the two non-outgroup populations. The first population was subject to a recent bottleneck, while the second population was subject to a recent expansion. </w:t>
      </w:r>
      <w:r w:rsidRPr="001C257D">
        <w:rPr>
          <w:i/>
        </w:rPr>
        <w:t>F</w:t>
      </w:r>
      <w:r w:rsidRPr="001C257D">
        <w:rPr>
          <w:vertAlign w:val="subscript"/>
        </w:rPr>
        <w:t>ST</w:t>
      </w:r>
      <w:r>
        <w:t xml:space="preserve"> was estimated using SNPs ascertained in the out-group population, which did not undergo any bottleneck or expansion. This ascertainment and demography allow us to calculate an expected </w:t>
      </w:r>
      <w:r w:rsidRPr="004B5839">
        <w:rPr>
          <w:i/>
        </w:rPr>
        <w:t>F</w:t>
      </w:r>
      <w:r w:rsidRPr="004B5839">
        <w:rPr>
          <w:vertAlign w:val="subscript"/>
        </w:rPr>
        <w:t>ST</w:t>
      </w:r>
      <w:r>
        <w:t xml:space="preserve"> of 0.190 (see below). Issues related to ascertainment are investigated in more detail below. </w:t>
      </w:r>
      <w:r w:rsidR="00CA02F9">
        <w:t xml:space="preserve">We note that, in this simulation, a large percentage of this drift is a result of the bottleneck population. That is, the </w:t>
      </w:r>
      <w:r w:rsidR="00CA02F9" w:rsidRPr="001C257D">
        <w:rPr>
          <w:i/>
        </w:rPr>
        <w:t>F</w:t>
      </w:r>
      <w:r w:rsidR="00CA02F9" w:rsidRPr="001C257D">
        <w:rPr>
          <w:vertAlign w:val="subscript"/>
        </w:rPr>
        <w:t>ST</w:t>
      </w:r>
      <w:r w:rsidR="00CA02F9">
        <w:t xml:space="preserve"> between the bottleneck population and the ancestral population is larger than the </w:t>
      </w:r>
      <w:r w:rsidR="00CA02F9" w:rsidRPr="001C257D">
        <w:rPr>
          <w:i/>
        </w:rPr>
        <w:t>F</w:t>
      </w:r>
      <w:r w:rsidR="00CA02F9" w:rsidRPr="001C257D">
        <w:rPr>
          <w:vertAlign w:val="subscript"/>
        </w:rPr>
        <w:t>ST</w:t>
      </w:r>
      <w:r w:rsidR="00CA02F9">
        <w:t xml:space="preserve"> between the expansion population and the ancestral. In this setting, population-specific </w:t>
      </w:r>
      <w:r w:rsidR="00CA02F9" w:rsidRPr="001C257D">
        <w:rPr>
          <w:i/>
        </w:rPr>
        <w:t>F</w:t>
      </w:r>
      <w:r w:rsidR="00CA02F9" w:rsidRPr="001C257D">
        <w:rPr>
          <w:vertAlign w:val="subscript"/>
        </w:rPr>
        <w:t>ST</w:t>
      </w:r>
      <w:r w:rsidR="00CA02F9">
        <w:t xml:space="preserve"> values might be of </w:t>
      </w:r>
      <w:proofErr w:type="gramStart"/>
      <w:r w:rsidR="00CA02F9">
        <w:t>interest</w:t>
      </w:r>
      <w:r w:rsidR="00E1189C">
        <w:t xml:space="preserve"> </w:t>
      </w:r>
      <w:r w:rsidR="00CA02F9">
        <w:t>.</w:t>
      </w:r>
      <w:proofErr w:type="gramEnd"/>
    </w:p>
    <w:p w14:paraId="6E84B291" w14:textId="77777777" w:rsidR="001C415A" w:rsidRDefault="001C415A" w:rsidP="001C415A">
      <w:r>
        <w:tab/>
        <w:t>With equal sample sizes (n</w:t>
      </w:r>
      <w:r>
        <w:rPr>
          <w:vertAlign w:val="subscript"/>
        </w:rPr>
        <w:t>1</w:t>
      </w:r>
      <w:r>
        <w:t>=n</w:t>
      </w:r>
      <w:r>
        <w:rPr>
          <w:vertAlign w:val="subscript"/>
        </w:rPr>
        <w:t>2</w:t>
      </w:r>
      <w:r>
        <w:t>=2500) from populations simulated with no migration or admixture we see that WC and Hudson estimates are equal and accurately reproduce the expected value. The Nei estimator produces an inflated value of</w:t>
      </w:r>
      <w:r w:rsidR="00463145">
        <w:t xml:space="preserve"> 0.206 (s.e. 0.006) (see </w:t>
      </w:r>
      <w:r w:rsidR="003A2591">
        <w:t>Table S3</w:t>
      </w:r>
      <w:r>
        <w:t xml:space="preserve">). </w:t>
      </w:r>
    </w:p>
    <w:p w14:paraId="73C348B4" w14:textId="77777777" w:rsidR="001C415A" w:rsidRDefault="001C415A" w:rsidP="001C415A">
      <w:pPr>
        <w:ind w:firstLine="720"/>
      </w:pPr>
      <w:r>
        <w:t xml:space="preserve">As the sample sizes vary </w:t>
      </w:r>
      <w:r>
        <w:rPr>
          <w:i/>
        </w:rPr>
        <w:t>relative</w:t>
      </w:r>
      <w:r>
        <w:t xml:space="preserve"> to one another, the WC quantity being</w:t>
      </w:r>
      <w:r w:rsidR="00CF43DD">
        <w:t xml:space="preserve"> estimated changes (see </w:t>
      </w:r>
      <w:r w:rsidR="00E27BBE">
        <w:t>Figure S2</w:t>
      </w:r>
      <w:r>
        <w:t xml:space="preserve">). The direction of the change depends upon whether the bottleneck or expansion population has the larger sample size. WC estimates range from </w:t>
      </w:r>
      <w:r>
        <w:rPr>
          <w:rFonts w:eastAsia="Times New Roman"/>
          <w:color w:val="000000"/>
        </w:rPr>
        <w:t xml:space="preserve">0.218 (s.e. 0.006) </w:t>
      </w:r>
      <w:r>
        <w:t>(n</w:t>
      </w:r>
      <w:r>
        <w:rPr>
          <w:vertAlign w:val="subscript"/>
        </w:rPr>
        <w:t>1</w:t>
      </w:r>
      <w:r>
        <w:t xml:space="preserve"> = 25, n</w:t>
      </w:r>
      <w:r>
        <w:rPr>
          <w:vertAlign w:val="subscript"/>
        </w:rPr>
        <w:t>2</w:t>
      </w:r>
      <w:r>
        <w:t xml:space="preserve"> = 2500) </w:t>
      </w:r>
      <w:r>
        <w:rPr>
          <w:rFonts w:eastAsia="Times New Roman"/>
          <w:color w:val="000000"/>
        </w:rPr>
        <w:t xml:space="preserve">to 0.164 (s.e. 0.005) </w:t>
      </w:r>
      <w:r>
        <w:t>(n</w:t>
      </w:r>
      <w:r>
        <w:rPr>
          <w:vertAlign w:val="subscript"/>
        </w:rPr>
        <w:t>1</w:t>
      </w:r>
      <w:r>
        <w:t xml:space="preserve"> = 2500, n</w:t>
      </w:r>
      <w:r>
        <w:rPr>
          <w:vertAlign w:val="subscript"/>
        </w:rPr>
        <w:t>2</w:t>
      </w:r>
      <w:r>
        <w:t xml:space="preserve"> = 25)</w:t>
      </w:r>
      <w:r>
        <w:rPr>
          <w:rFonts w:eastAsia="Times New Roman"/>
          <w:color w:val="000000"/>
        </w:rPr>
        <w:t xml:space="preserve">. </w:t>
      </w:r>
      <w:r>
        <w:t xml:space="preserve">Nei estimates are inflated but insensitive to changes in sample size. Only Hudson estimates are consistent at approximately 0.187 (s.e. 0.005) </w:t>
      </w:r>
      <w:r w:rsidRPr="00B87E0A">
        <w:t>r</w:t>
      </w:r>
      <w:r>
        <w:t>egardless of relative sample sizes. The Hudson estimator</w:t>
      </w:r>
      <w:r w:rsidRPr="001C257D">
        <w:rPr>
          <w:i/>
        </w:rPr>
        <w:t xml:space="preserve"> </w:t>
      </w:r>
      <w:r>
        <w:t xml:space="preserve">is used to produce </w:t>
      </w:r>
      <w:r w:rsidRPr="001C257D">
        <w:rPr>
          <w:i/>
        </w:rPr>
        <w:t>F</w:t>
      </w:r>
      <w:r w:rsidRPr="001C257D">
        <w:rPr>
          <w:vertAlign w:val="subscript"/>
        </w:rPr>
        <w:t>ST</w:t>
      </w:r>
      <w:r>
        <w:t xml:space="preserve"> estimates reported in future sections.</w:t>
      </w:r>
    </w:p>
    <w:p w14:paraId="25C90E1D" w14:textId="77777777" w:rsidR="001C415A" w:rsidRDefault="001C415A" w:rsidP="001C415A">
      <w:pPr>
        <w:ind w:firstLine="720"/>
      </w:pPr>
      <w:r>
        <w:t>We note that these simulations did not include any migration. However, our findings did not change fundamentally when migration was included (see below).</w:t>
      </w:r>
    </w:p>
    <w:p w14:paraId="2D2F3797" w14:textId="77777777" w:rsidR="00AC4D9B" w:rsidRDefault="00AC4D9B"/>
    <w:p w14:paraId="07747985" w14:textId="77777777" w:rsidR="00B6215B" w:rsidRDefault="00B6215B" w:rsidP="00F862C7"/>
    <w:p w14:paraId="1A6698BE" w14:textId="77777777" w:rsidR="00B6215B" w:rsidRPr="00B6215B" w:rsidRDefault="00B6215B" w:rsidP="00B6215B">
      <w:pPr>
        <w:pStyle w:val="Heading1"/>
      </w:pPr>
      <w:bookmarkStart w:id="40" w:name="_Toc217045501"/>
      <w:bookmarkStart w:id="41" w:name="_Toc219534413"/>
      <w:bookmarkStart w:id="42" w:name="_Toc219534495"/>
      <w:bookmarkStart w:id="43" w:name="_Toc232440784"/>
      <w:bookmarkStart w:id="44" w:name="_Toc232704453"/>
      <w:bookmarkStart w:id="45" w:name="_Toc232777578"/>
      <w:r>
        <w:t>Combining Estimates Across SNPs – Coalescent Simulations</w:t>
      </w:r>
      <w:bookmarkEnd w:id="40"/>
      <w:bookmarkEnd w:id="41"/>
      <w:bookmarkEnd w:id="42"/>
      <w:bookmarkEnd w:id="43"/>
      <w:bookmarkEnd w:id="44"/>
      <w:bookmarkEnd w:id="45"/>
    </w:p>
    <w:p w14:paraId="6CFE780E" w14:textId="77777777" w:rsidR="00B6215B" w:rsidRDefault="00B6215B" w:rsidP="00B6215B">
      <w:pPr>
        <w:ind w:firstLine="720"/>
      </w:pPr>
      <w:r>
        <w:t xml:space="preserve">We analyzed the data from the coalescent simulations described above. We obtained estimates of </w:t>
      </w:r>
      <w:r w:rsidRPr="001C257D">
        <w:rPr>
          <w:i/>
        </w:rPr>
        <w:t>F</w:t>
      </w:r>
      <w:r w:rsidRPr="001C257D">
        <w:rPr>
          <w:vertAlign w:val="subscript"/>
        </w:rPr>
        <w:t>ST</w:t>
      </w:r>
      <w:r>
        <w:t xml:space="preserve"> 0.187 (s.e. 0.005) and 0.134 (s.e. 0.002) using the ratio of averages and average of ratios, respectively. We note that under the demographic history described above, an estimate of approximately 0.190 is expected. Thus, large reductions in </w:t>
      </w:r>
      <w:r w:rsidRPr="001C257D">
        <w:rPr>
          <w:i/>
        </w:rPr>
        <w:t>F</w:t>
      </w:r>
      <w:r w:rsidRPr="001C257D">
        <w:rPr>
          <w:vertAlign w:val="subscript"/>
        </w:rPr>
        <w:t>ST</w:t>
      </w:r>
      <w:r>
        <w:t xml:space="preserve"> are observed when using an average of ratios. This is true in even the simplest simulations where there have been no bottlenecks or expansions since divergence (see </w:t>
      </w:r>
      <w:r w:rsidR="003A2591">
        <w:t>Table S4</w:t>
      </w:r>
      <w:r>
        <w:t xml:space="preserve">). We note that in addition to the large bias in the </w:t>
      </w:r>
      <w:r w:rsidRPr="004B5839">
        <w:rPr>
          <w:i/>
        </w:rPr>
        <w:t>F</w:t>
      </w:r>
      <w:r w:rsidRPr="004B5839">
        <w:rPr>
          <w:vertAlign w:val="subscript"/>
        </w:rPr>
        <w:t>ST</w:t>
      </w:r>
      <w:r>
        <w:t xml:space="preserve"> estimator using an average of ratios, there is a slight bias in the </w:t>
      </w:r>
      <w:r w:rsidRPr="004B5839">
        <w:rPr>
          <w:i/>
        </w:rPr>
        <w:t>F</w:t>
      </w:r>
      <w:r w:rsidRPr="004B5839">
        <w:rPr>
          <w:vertAlign w:val="subscript"/>
        </w:rPr>
        <w:t>ST</w:t>
      </w:r>
      <w:r>
        <w:t xml:space="preserve"> estimator using a ratio of averages; we are not aware of any unbiased </w:t>
      </w:r>
      <w:r w:rsidRPr="004B5839">
        <w:rPr>
          <w:i/>
        </w:rPr>
        <w:t>F</w:t>
      </w:r>
      <w:r w:rsidRPr="004B5839">
        <w:rPr>
          <w:vertAlign w:val="subscript"/>
        </w:rPr>
        <w:t>ST</w:t>
      </w:r>
      <w:r>
        <w:t xml:space="preserve"> estimator.</w:t>
      </w:r>
    </w:p>
    <w:p w14:paraId="7950926A" w14:textId="77777777" w:rsidR="00B6215B" w:rsidRDefault="00B6215B" w:rsidP="00E43E9D">
      <w:pPr>
        <w:ind w:firstLine="720"/>
      </w:pPr>
      <w:r>
        <w:t xml:space="preserve">In addition to underestimating the value of </w:t>
      </w:r>
      <w:r w:rsidRPr="001C257D">
        <w:rPr>
          <w:i/>
        </w:rPr>
        <w:t>F</w:t>
      </w:r>
      <w:r w:rsidRPr="001C257D">
        <w:rPr>
          <w:vertAlign w:val="subscript"/>
        </w:rPr>
        <w:t>ST</w:t>
      </w:r>
      <w:r>
        <w:t xml:space="preserve">, use of an average of ratios will result in estimates that depend upon the number of rare variants studied. That is, as the sample sizes and sequencing depth increase, larger numbers of rare, population-specific variants will be included in the data. As an average of ratios is highly sensitive to the low </w:t>
      </w:r>
      <w:r w:rsidRPr="001C257D">
        <w:rPr>
          <w:i/>
        </w:rPr>
        <w:t>F</w:t>
      </w:r>
      <w:r w:rsidRPr="001C257D">
        <w:rPr>
          <w:vertAlign w:val="subscript"/>
        </w:rPr>
        <w:t>ST</w:t>
      </w:r>
      <w:r>
        <w:t xml:space="preserve"> estimates at these variants, the genome-wide </w:t>
      </w:r>
      <w:r w:rsidRPr="001C257D">
        <w:rPr>
          <w:i/>
        </w:rPr>
        <w:t>F</w:t>
      </w:r>
      <w:r w:rsidRPr="001C257D">
        <w:rPr>
          <w:vertAlign w:val="subscript"/>
        </w:rPr>
        <w:t>ST</w:t>
      </w:r>
      <w:r>
        <w:t xml:space="preserve"> estimate will decrease (see </w:t>
      </w:r>
      <w:r w:rsidR="00E27BBE">
        <w:t>Figure S3</w:t>
      </w:r>
      <w:r>
        <w:t xml:space="preserve">). These changes will not be informative for population history. </w:t>
      </w:r>
    </w:p>
    <w:p w14:paraId="230DEAEA" w14:textId="77777777" w:rsidR="00B6215B" w:rsidRDefault="00B6215B" w:rsidP="00F862C7"/>
    <w:p w14:paraId="67F9D6F7" w14:textId="77777777" w:rsidR="00134AD5" w:rsidRDefault="00134AD5" w:rsidP="00F862C7">
      <w:r>
        <w:rPr>
          <w:noProof/>
        </w:rPr>
        <w:drawing>
          <wp:inline distT="0" distB="0" distL="0" distR="0" wp14:anchorId="4588C4F6" wp14:editId="2AF8F89F">
            <wp:extent cx="5486400" cy="3200400"/>
            <wp:effectExtent l="0" t="0" r="0" b="0"/>
            <wp:docPr id="23" name="Picture 23" descr="Macintosh HD:Users:gauravbhatia:Dropbox:Projects:Fst:Revision4:Figures:Supp Figures:Flat_vs_Separate-Section 2-NEW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gauravbhatia:Dropbox:Projects:Fst:Revision4:Figures:Supp Figures:Flat_vs_Separate-Section 2-NEW S2.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76B8B844" w14:textId="77777777" w:rsidR="00134AD5" w:rsidRDefault="00E27BBE" w:rsidP="00134AD5">
      <w:r>
        <w:t>Figure S3</w:t>
      </w:r>
      <w:r w:rsidR="00134AD5">
        <w:t xml:space="preserve">. We compare a ratio of averages with an average of ratios when using SNPs that are polymorphic in an out-group or in either population studied. A ratio of averages produces consistent estimates of </w:t>
      </w:r>
      <w:r w:rsidR="00134AD5" w:rsidRPr="001C257D">
        <w:rPr>
          <w:i/>
        </w:rPr>
        <w:t>F</w:t>
      </w:r>
      <w:r w:rsidR="00134AD5" w:rsidRPr="001C257D">
        <w:rPr>
          <w:vertAlign w:val="subscript"/>
        </w:rPr>
        <w:t>ST</w:t>
      </w:r>
      <w:r w:rsidR="00134AD5">
        <w:t xml:space="preserve"> regardless of sample size, though the choice of ascertainment has a statistically significant impact on the </w:t>
      </w:r>
      <w:r w:rsidR="00134AD5" w:rsidRPr="001C257D">
        <w:rPr>
          <w:i/>
        </w:rPr>
        <w:t>F</w:t>
      </w:r>
      <w:r w:rsidR="00134AD5" w:rsidRPr="001C257D">
        <w:rPr>
          <w:vertAlign w:val="subscript"/>
        </w:rPr>
        <w:t>ST</w:t>
      </w:r>
      <w:r w:rsidR="00134AD5">
        <w:t xml:space="preserve"> estimate. Estimates produced by an average of ratios are lower but consistent when ascertainment is done in an out-group population. However, when SNPs are ascertained as polymorphic in either population, an average of ratios will decrease dramatically with increased sample size. This will result in </w:t>
      </w:r>
      <w:r w:rsidR="00134AD5" w:rsidRPr="001C257D">
        <w:rPr>
          <w:i/>
        </w:rPr>
        <w:t>F</w:t>
      </w:r>
      <w:r w:rsidR="00134AD5" w:rsidRPr="001C257D">
        <w:rPr>
          <w:vertAlign w:val="subscript"/>
        </w:rPr>
        <w:t>ST</w:t>
      </w:r>
      <w:r w:rsidR="00134AD5">
        <w:t xml:space="preserve"> estimates that are incomparable across studies and essentially unrelated with population demographic history.</w:t>
      </w:r>
    </w:p>
    <w:p w14:paraId="2781F02E" w14:textId="77777777" w:rsidR="00134AD5" w:rsidRDefault="00134AD5" w:rsidP="00F862C7"/>
    <w:p w14:paraId="3EE7E8B5" w14:textId="77777777" w:rsidR="00676ADB" w:rsidRDefault="00676ADB" w:rsidP="00676ADB">
      <w:pPr>
        <w:pStyle w:val="Heading1"/>
      </w:pPr>
      <w:bookmarkStart w:id="46" w:name="_Toc210982966"/>
      <w:bookmarkStart w:id="47" w:name="_Toc211282952"/>
      <w:bookmarkStart w:id="48" w:name="_Toc214442411"/>
      <w:bookmarkStart w:id="49" w:name="_Toc214967467"/>
      <w:bookmarkStart w:id="50" w:name="_Toc214970894"/>
      <w:bookmarkStart w:id="51" w:name="_Toc217045510"/>
      <w:bookmarkStart w:id="52" w:name="_Toc219534422"/>
      <w:bookmarkStart w:id="53" w:name="_Toc219534504"/>
      <w:bookmarkStart w:id="54" w:name="_Toc232440785"/>
      <w:bookmarkStart w:id="55" w:name="_Toc232704454"/>
      <w:bookmarkStart w:id="56" w:name="_Toc232777579"/>
      <w:r>
        <w:t>Relationship to Divergence Time</w:t>
      </w:r>
      <w:bookmarkEnd w:id="46"/>
      <w:bookmarkEnd w:id="47"/>
      <w:bookmarkEnd w:id="48"/>
      <w:bookmarkEnd w:id="49"/>
      <w:bookmarkEnd w:id="50"/>
      <w:bookmarkEnd w:id="51"/>
      <w:bookmarkEnd w:id="52"/>
      <w:bookmarkEnd w:id="53"/>
      <w:bookmarkEnd w:id="54"/>
      <w:bookmarkEnd w:id="55"/>
      <w:bookmarkEnd w:id="56"/>
    </w:p>
    <w:p w14:paraId="61D732FB" w14:textId="77777777" w:rsidR="00676ADB" w:rsidRDefault="00676ADB" w:rsidP="00676ADB"/>
    <w:p w14:paraId="17CBAF1D" w14:textId="77777777" w:rsidR="00676ADB" w:rsidRDefault="00676ADB" w:rsidP="00676ADB">
      <w:r>
        <w:t xml:space="preserve">Based on the work of </w:t>
      </w:r>
      <w:r w:rsidR="00862942">
        <w:fldChar w:fldCharType="begin"/>
      </w:r>
      <w:r w:rsidR="00D73545">
        <w:instrText xml:space="preserve"> ADDIN PAPERS2_CITATIONS &lt;citation&gt;&lt;uuid&gt;0E17FBFC-6279-446A-BC9E-EF2BB732DEE3&lt;/uuid&gt;&lt;priority&gt;12&lt;/priority&gt;&lt;publications&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location&gt;200,4,37.7749295,-122.4194155&lt;/location&gt;&lt;publication_date&gt;99197100001200000000200000&lt;/publication_date&gt;&lt;title&gt;The genetics of human populations&lt;/title&gt;&lt;uuid&gt;8DC6D8F4-523D-46A7-A035-294B6977A6E0&lt;/uuid&gt;&lt;subtype&gt;0&lt;/subtype&gt;&lt;publisher&gt;W.H. Freeman&lt;/publisher&gt;&lt;type&gt;0&lt;/type&gt;&lt;place&gt;San Francisco&lt;/place&gt;&lt;citekey&gt;RefWorks:155&lt;/citekey&gt;&lt;url&gt;http://www.google.com/search?client=safari&amp;amp;rls=10_7_4&amp;amp;q=The+genetics+of+human+populations&amp;amp;ie=UTF-8&amp;amp;oe=UTF-8&lt;/url&gt;&lt;authors&gt;&lt;author&gt;&lt;firstName&gt;L&lt;/firstName&gt;&lt;middleNames&gt;L&lt;/middleNames&gt;&lt;lastName&gt;Cavalli-Sforza&lt;/lastName&gt;&lt;/author&gt;&lt;author&gt;&lt;firstName&gt;W&lt;/firstName&gt;&lt;middleNames&gt;F&lt;/middleNames&gt;&lt;lastName&gt;Bodmer&lt;/lastName&gt;&lt;/author&gt;&lt;/authors&gt;&lt;/publication&gt;&lt;/publications&gt;&lt;cites&gt;&lt;/cites&gt;&lt;/citation&gt;</w:instrText>
      </w:r>
      <w:r w:rsidR="00862942">
        <w:fldChar w:fldCharType="separate"/>
      </w:r>
      <w:r w:rsidR="00D73545">
        <w:rPr>
          <w:rFonts w:cs="Cambria"/>
        </w:rPr>
        <w:t>(Wright 1949; Cavalli-Sforza and Bodmer 1971)</w:t>
      </w:r>
      <w:r w:rsidR="00862942">
        <w:fldChar w:fldCharType="end"/>
      </w:r>
      <w:r>
        <w:t xml:space="preserve"> and the equations given in </w:t>
      </w:r>
      <w:r w:rsidR="00862942">
        <w:fldChar w:fldCharType="begin"/>
      </w:r>
      <w:r w:rsidR="00D73545">
        <w:instrText xml:space="preserve"> ADDIN PAPERS2_CITATIONS &lt;citation&gt;&lt;uuid&gt;60EB7D4E-7BF6-4E38-AF05-EB0A531B72B5&lt;/uuid&gt;&lt;priority&gt;13&lt;/priority&gt;&lt;publications&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(Wright 1949; Weir and Hill 2002; Cockerham 1969)</w:t>
      </w:r>
      <w:r w:rsidR="00862942">
        <w:fldChar w:fldCharType="end"/>
      </w:r>
      <w:r>
        <w:t xml:space="preserve">, we relate </w:t>
      </w:r>
      <w:r w:rsidRPr="001C257D">
        <w:rPr>
          <w:i/>
        </w:rPr>
        <w:t>F</w:t>
      </w:r>
      <w:r w:rsidRPr="001C257D">
        <w:rPr>
          <w:vertAlign w:val="subscript"/>
        </w:rPr>
        <w:t>ST</w:t>
      </w:r>
      <w:r>
        <w:t xml:space="preserve"> to divergence time since an ancestral population as</w:t>
      </w:r>
    </w:p>
    <w:tbl>
      <w:tblPr>
        <w:tblW w:w="4736" w:type="pct"/>
        <w:tblLook w:val="04A0" w:firstRow="1" w:lastRow="0" w:firstColumn="1" w:lastColumn="0" w:noHBand="0" w:noVBand="1"/>
      </w:tblPr>
      <w:tblGrid>
        <w:gridCol w:w="7776"/>
        <w:gridCol w:w="612"/>
      </w:tblGrid>
      <w:tr w:rsidR="00676ADB" w14:paraId="4EF0F6E9" w14:textId="77777777" w:rsidTr="0081143A">
        <w:tc>
          <w:tcPr>
            <w:tcW w:w="4635" w:type="pct"/>
            <w:shd w:val="clear" w:color="auto" w:fill="auto"/>
            <w:vAlign w:val="center"/>
          </w:tcPr>
          <w:p w14:paraId="7C099C89" w14:textId="77777777" w:rsidR="00676ADB" w:rsidRDefault="00676ADB" w:rsidP="0081143A">
            <w:pPr>
              <w:jc w:val="center"/>
            </w:pPr>
            <w:r>
              <w:rPr>
                <w:noProof/>
                <w:position w:val="-34"/>
              </w:rPr>
              <w:drawing>
                <wp:inline distT="0" distB="0" distL="0" distR="0" wp14:anchorId="2C66AAC7" wp14:editId="79B264EA">
                  <wp:extent cx="1346200" cy="482600"/>
                  <wp:effectExtent l="0" t="0" r="0" b="0"/>
                  <wp:docPr id="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6200" cy="482600"/>
                          </a:xfrm>
                          <a:prstGeom prst="rect">
                            <a:avLst/>
                          </a:prstGeom>
                          <a:noFill/>
                          <a:ln>
                            <a:noFill/>
                          </a:ln>
                        </pic:spPr>
                      </pic:pic>
                    </a:graphicData>
                  </a:graphic>
                </wp:inline>
              </w:drawing>
            </w:r>
          </w:p>
        </w:tc>
        <w:tc>
          <w:tcPr>
            <w:tcW w:w="365" w:type="pct"/>
            <w:shd w:val="clear" w:color="auto" w:fill="auto"/>
            <w:vAlign w:val="center"/>
          </w:tcPr>
          <w:p w14:paraId="17C72C08" w14:textId="77777777" w:rsidR="00676ADB" w:rsidRDefault="00676ADB" w:rsidP="0081143A">
            <w:pPr>
              <w:pStyle w:val="ListParagraph"/>
              <w:numPr>
                <w:ilvl w:val="0"/>
                <w:numId w:val="7"/>
              </w:numPr>
              <w:jc w:val="center"/>
            </w:pPr>
          </w:p>
        </w:tc>
      </w:tr>
    </w:tbl>
    <w:p w14:paraId="0D3D37D7" w14:textId="77777777" w:rsidR="00676ADB" w:rsidRDefault="00676ADB" w:rsidP="00676ADB">
      <w:proofErr w:type="gramStart"/>
      <w:r>
        <w:t>where</w:t>
      </w:r>
      <w:proofErr w:type="gramEnd"/>
      <w:r>
        <w:t xml:space="preserve"> </w:t>
      </w:r>
      <w:r w:rsidRPr="003E5D4E">
        <w:rPr>
          <w:position w:val="-12"/>
        </w:rPr>
        <w:object w:dxaOrig="360" w:dyaOrig="380" w14:anchorId="4BD64FEE">
          <v:shape id="_x0000_i1028" type="#_x0000_t75" style="width:18pt;height:19pt" o:ole="">
            <v:imagedata r:id="rId59" o:title=""/>
          </v:shape>
          <o:OLEObject Type="Embed" ProgID="Equation.3" ShapeID="_x0000_i1028" DrawAspect="Content" ObjectID="_1309872866" r:id="rId60"/>
        </w:object>
      </w:r>
      <w:r>
        <w:t xml:space="preserve">is the effective population size of population </w:t>
      </w:r>
      <w:proofErr w:type="spellStart"/>
      <w:r>
        <w:rPr>
          <w:i/>
        </w:rPr>
        <w:t>i</w:t>
      </w:r>
      <w:proofErr w:type="spellEnd"/>
      <w:r>
        <w:t xml:space="preserve"> in generation </w:t>
      </w:r>
      <w:r>
        <w:rPr>
          <w:i/>
        </w:rPr>
        <w:t>g</w:t>
      </w:r>
      <w:r>
        <w:t xml:space="preserve">, and </w:t>
      </w:r>
      <w:r>
        <w:rPr>
          <w:i/>
        </w:rPr>
        <w:t xml:space="preserve">t </w:t>
      </w:r>
      <w:r>
        <w:t xml:space="preserve">is the number of generations since the ancestral population. Equation s12 depends on estimation from neutrally evolving loci that were polymorphic in the ancestral population, without migration or admixture between populations. We use this to give the expected value of </w:t>
      </w:r>
      <w:r w:rsidRPr="001C257D">
        <w:rPr>
          <w:i/>
        </w:rPr>
        <w:t>F</w:t>
      </w:r>
      <w:r w:rsidRPr="001C257D">
        <w:rPr>
          <w:vertAlign w:val="subscript"/>
        </w:rPr>
        <w:t>ST</w:t>
      </w:r>
      <w:r>
        <w:t xml:space="preserve"> in simulations with known demography (see above). If the effective population size is constant for each population, then this becomes</w:t>
      </w:r>
    </w:p>
    <w:tbl>
      <w:tblPr>
        <w:tblW w:w="4736" w:type="pct"/>
        <w:tblLook w:val="04A0" w:firstRow="1" w:lastRow="0" w:firstColumn="1" w:lastColumn="0" w:noHBand="0" w:noVBand="1"/>
      </w:tblPr>
      <w:tblGrid>
        <w:gridCol w:w="7776"/>
        <w:gridCol w:w="612"/>
      </w:tblGrid>
      <w:tr w:rsidR="00676ADB" w14:paraId="437911D0" w14:textId="77777777" w:rsidTr="0081143A">
        <w:tc>
          <w:tcPr>
            <w:tcW w:w="4635" w:type="pct"/>
            <w:shd w:val="clear" w:color="auto" w:fill="auto"/>
            <w:vAlign w:val="center"/>
          </w:tcPr>
          <w:p w14:paraId="0093FBDD" w14:textId="77777777" w:rsidR="00676ADB" w:rsidRDefault="00676ADB" w:rsidP="0081143A">
            <w:pPr>
              <w:jc w:val="center"/>
            </w:pPr>
            <w:r>
              <w:rPr>
                <w:noProof/>
                <w:position w:val="-30"/>
              </w:rPr>
              <w:drawing>
                <wp:inline distT="0" distB="0" distL="0" distR="0" wp14:anchorId="77C53F17" wp14:editId="65124931">
                  <wp:extent cx="1143000" cy="431800"/>
                  <wp:effectExtent l="0" t="0" r="0" b="0"/>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431800"/>
                          </a:xfrm>
                          <a:prstGeom prst="rect">
                            <a:avLst/>
                          </a:prstGeom>
                          <a:noFill/>
                          <a:ln>
                            <a:noFill/>
                          </a:ln>
                        </pic:spPr>
                      </pic:pic>
                    </a:graphicData>
                  </a:graphic>
                </wp:inline>
              </w:drawing>
            </w:r>
          </w:p>
        </w:tc>
        <w:tc>
          <w:tcPr>
            <w:tcW w:w="365" w:type="pct"/>
            <w:shd w:val="clear" w:color="auto" w:fill="auto"/>
            <w:vAlign w:val="center"/>
          </w:tcPr>
          <w:p w14:paraId="48320F12" w14:textId="77777777" w:rsidR="00676ADB" w:rsidRDefault="00676ADB" w:rsidP="0081143A">
            <w:pPr>
              <w:pStyle w:val="ListParagraph"/>
              <w:numPr>
                <w:ilvl w:val="0"/>
                <w:numId w:val="7"/>
              </w:numPr>
              <w:jc w:val="center"/>
            </w:pPr>
          </w:p>
        </w:tc>
      </w:tr>
    </w:tbl>
    <w:p w14:paraId="16AD2990" w14:textId="77777777" w:rsidR="00676ADB" w:rsidRDefault="00676ADB" w:rsidP="00676ADB">
      <w:r>
        <w:t xml:space="preserve">Then, if the assumptions above are satisfied, estimates of </w:t>
      </w:r>
      <w:r w:rsidRPr="001C257D">
        <w:rPr>
          <w:i/>
        </w:rPr>
        <w:t>F</w:t>
      </w:r>
      <w:r w:rsidRPr="001C257D">
        <w:rPr>
          <w:vertAlign w:val="subscript"/>
        </w:rPr>
        <w:t>ST</w:t>
      </w:r>
      <w:r>
        <w:t xml:space="preserve"> are related to divergence time as</w:t>
      </w:r>
    </w:p>
    <w:tbl>
      <w:tblPr>
        <w:tblW w:w="4736" w:type="pct"/>
        <w:tblLook w:val="04A0" w:firstRow="1" w:lastRow="0" w:firstColumn="1" w:lastColumn="0" w:noHBand="0" w:noVBand="1"/>
      </w:tblPr>
      <w:tblGrid>
        <w:gridCol w:w="7776"/>
        <w:gridCol w:w="612"/>
      </w:tblGrid>
      <w:tr w:rsidR="00676ADB" w14:paraId="70A7B7AF" w14:textId="77777777" w:rsidTr="0081143A">
        <w:tc>
          <w:tcPr>
            <w:tcW w:w="4635" w:type="pct"/>
            <w:shd w:val="clear" w:color="auto" w:fill="auto"/>
            <w:vAlign w:val="center"/>
          </w:tcPr>
          <w:p w14:paraId="0C203A5B" w14:textId="77777777" w:rsidR="00676ADB" w:rsidRDefault="00676ADB" w:rsidP="0081143A">
            <w:pPr>
              <w:jc w:val="center"/>
            </w:pPr>
            <w:r>
              <w:rPr>
                <w:rFonts w:ascii="Times New Roman" w:hAnsi="Times New Roman"/>
                <w:noProof/>
                <w:position w:val="-58"/>
                <w:sz w:val="22"/>
                <w:szCs w:val="22"/>
              </w:rPr>
              <w:drawing>
                <wp:inline distT="0" distB="0" distL="0" distR="0" wp14:anchorId="098ED61D" wp14:editId="47B8CCEF">
                  <wp:extent cx="2857500" cy="622300"/>
                  <wp:effectExtent l="0" t="0" r="12700" b="12700"/>
                  <wp:docPr id="7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622300"/>
                          </a:xfrm>
                          <a:prstGeom prst="rect">
                            <a:avLst/>
                          </a:prstGeom>
                          <a:noFill/>
                          <a:ln>
                            <a:noFill/>
                          </a:ln>
                        </pic:spPr>
                      </pic:pic>
                    </a:graphicData>
                  </a:graphic>
                </wp:inline>
              </w:drawing>
            </w:r>
          </w:p>
        </w:tc>
        <w:tc>
          <w:tcPr>
            <w:tcW w:w="365" w:type="pct"/>
            <w:shd w:val="clear" w:color="auto" w:fill="auto"/>
            <w:vAlign w:val="center"/>
          </w:tcPr>
          <w:p w14:paraId="4B6B5BA5" w14:textId="77777777" w:rsidR="00676ADB" w:rsidRDefault="00676ADB" w:rsidP="0081143A">
            <w:pPr>
              <w:pStyle w:val="ListParagraph"/>
              <w:numPr>
                <w:ilvl w:val="0"/>
                <w:numId w:val="7"/>
              </w:numPr>
              <w:jc w:val="center"/>
            </w:pPr>
          </w:p>
        </w:tc>
      </w:tr>
    </w:tbl>
    <w:p w14:paraId="6D3EA03E" w14:textId="77777777" w:rsidR="00676ADB" w:rsidRDefault="00676ADB" w:rsidP="00676ADB"/>
    <w:tbl>
      <w:tblPr>
        <w:tblW w:w="4736" w:type="pct"/>
        <w:tblLook w:val="04A0" w:firstRow="1" w:lastRow="0" w:firstColumn="1" w:lastColumn="0" w:noHBand="0" w:noVBand="1"/>
      </w:tblPr>
      <w:tblGrid>
        <w:gridCol w:w="7776"/>
        <w:gridCol w:w="612"/>
      </w:tblGrid>
      <w:tr w:rsidR="00676ADB" w14:paraId="3042ADB1" w14:textId="77777777" w:rsidTr="0081143A">
        <w:tc>
          <w:tcPr>
            <w:tcW w:w="4635" w:type="pct"/>
            <w:shd w:val="clear" w:color="auto" w:fill="auto"/>
            <w:vAlign w:val="center"/>
          </w:tcPr>
          <w:p w14:paraId="16966B7A" w14:textId="77777777" w:rsidR="00676ADB" w:rsidRDefault="00676ADB" w:rsidP="0081143A">
            <w:pPr>
              <w:jc w:val="center"/>
            </w:pPr>
            <w:r>
              <w:rPr>
                <w:rFonts w:ascii="Times New Roman" w:hAnsi="Times New Roman"/>
                <w:noProof/>
                <w:position w:val="-56"/>
                <w:sz w:val="22"/>
                <w:szCs w:val="22"/>
              </w:rPr>
              <w:drawing>
                <wp:inline distT="0" distB="0" distL="0" distR="0" wp14:anchorId="179AC1B9" wp14:editId="270681F8">
                  <wp:extent cx="1282700" cy="609600"/>
                  <wp:effectExtent l="0" t="0" r="12700" b="0"/>
                  <wp:docPr id="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2700" cy="609600"/>
                          </a:xfrm>
                          <a:prstGeom prst="rect">
                            <a:avLst/>
                          </a:prstGeom>
                          <a:noFill/>
                          <a:ln>
                            <a:noFill/>
                          </a:ln>
                        </pic:spPr>
                      </pic:pic>
                    </a:graphicData>
                  </a:graphic>
                </wp:inline>
              </w:drawing>
            </w:r>
          </w:p>
        </w:tc>
        <w:tc>
          <w:tcPr>
            <w:tcW w:w="365" w:type="pct"/>
            <w:shd w:val="clear" w:color="auto" w:fill="auto"/>
            <w:vAlign w:val="center"/>
          </w:tcPr>
          <w:p w14:paraId="23A5F207" w14:textId="77777777" w:rsidR="00676ADB" w:rsidRDefault="00676ADB" w:rsidP="0081143A">
            <w:pPr>
              <w:pStyle w:val="ListParagraph"/>
              <w:numPr>
                <w:ilvl w:val="0"/>
                <w:numId w:val="7"/>
              </w:numPr>
              <w:jc w:val="center"/>
            </w:pPr>
          </w:p>
        </w:tc>
      </w:tr>
    </w:tbl>
    <w:p w14:paraId="090E2D28" w14:textId="77777777" w:rsidR="00676ADB" w:rsidRDefault="00676ADB" w:rsidP="00676ADB"/>
    <w:tbl>
      <w:tblPr>
        <w:tblW w:w="4736" w:type="pct"/>
        <w:tblLook w:val="04A0" w:firstRow="1" w:lastRow="0" w:firstColumn="1" w:lastColumn="0" w:noHBand="0" w:noVBand="1"/>
      </w:tblPr>
      <w:tblGrid>
        <w:gridCol w:w="7776"/>
        <w:gridCol w:w="612"/>
      </w:tblGrid>
      <w:tr w:rsidR="00676ADB" w14:paraId="591258EF" w14:textId="77777777" w:rsidTr="0081143A">
        <w:tc>
          <w:tcPr>
            <w:tcW w:w="4635" w:type="pct"/>
            <w:shd w:val="clear" w:color="auto" w:fill="auto"/>
            <w:vAlign w:val="center"/>
          </w:tcPr>
          <w:p w14:paraId="7FE70070" w14:textId="77777777" w:rsidR="00676ADB" w:rsidRDefault="00676ADB" w:rsidP="0081143A">
            <w:pPr>
              <w:jc w:val="center"/>
            </w:pPr>
            <w:r>
              <w:rPr>
                <w:rFonts w:ascii="Times New Roman" w:hAnsi="Times New Roman"/>
                <w:noProof/>
                <w:position w:val="-24"/>
                <w:sz w:val="22"/>
                <w:szCs w:val="22"/>
              </w:rPr>
              <w:drawing>
                <wp:inline distT="0" distB="0" distL="0" distR="0" wp14:anchorId="3FB4BD91" wp14:editId="13D93F8A">
                  <wp:extent cx="1308100" cy="406400"/>
                  <wp:effectExtent l="0" t="0" r="12700" b="0"/>
                  <wp:docPr id="1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8100" cy="406400"/>
                          </a:xfrm>
                          <a:prstGeom prst="rect">
                            <a:avLst/>
                          </a:prstGeom>
                          <a:noFill/>
                          <a:ln>
                            <a:noFill/>
                          </a:ln>
                        </pic:spPr>
                      </pic:pic>
                    </a:graphicData>
                  </a:graphic>
                </wp:inline>
              </w:drawing>
            </w:r>
          </w:p>
        </w:tc>
        <w:tc>
          <w:tcPr>
            <w:tcW w:w="365" w:type="pct"/>
            <w:shd w:val="clear" w:color="auto" w:fill="auto"/>
            <w:vAlign w:val="center"/>
          </w:tcPr>
          <w:p w14:paraId="5C08CFA2" w14:textId="77777777" w:rsidR="00676ADB" w:rsidRDefault="00676ADB" w:rsidP="0081143A">
            <w:pPr>
              <w:pStyle w:val="ListParagraph"/>
              <w:numPr>
                <w:ilvl w:val="0"/>
                <w:numId w:val="7"/>
              </w:numPr>
              <w:jc w:val="center"/>
            </w:pPr>
          </w:p>
        </w:tc>
      </w:tr>
    </w:tbl>
    <w:p w14:paraId="2FEAB5EC" w14:textId="77777777" w:rsidR="00676ADB" w:rsidRDefault="00676ADB" w:rsidP="00676ADB"/>
    <w:p w14:paraId="5A51E431" w14:textId="77777777" w:rsidR="00676ADB" w:rsidRDefault="00676ADB" w:rsidP="00676ADB">
      <w:proofErr w:type="gramStart"/>
      <w:r>
        <w:t>where</w:t>
      </w:r>
      <w:proofErr w:type="gramEnd"/>
      <w:r>
        <w:t xml:space="preserve"> </w:t>
      </w:r>
      <w:r>
        <w:rPr>
          <w:noProof/>
          <w:position w:val="-30"/>
        </w:rPr>
        <w:drawing>
          <wp:inline distT="0" distB="0" distL="0" distR="0" wp14:anchorId="10675F23" wp14:editId="68B9788F">
            <wp:extent cx="876300" cy="431800"/>
            <wp:effectExtent l="0" t="0" r="12700" b="0"/>
            <wp:docPr id="15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431800"/>
                    </a:xfrm>
                    <a:prstGeom prst="rect">
                      <a:avLst/>
                    </a:prstGeom>
                    <a:noFill/>
                    <a:ln>
                      <a:noFill/>
                    </a:ln>
                  </pic:spPr>
                </pic:pic>
              </a:graphicData>
            </a:graphic>
          </wp:inline>
        </w:drawing>
      </w:r>
      <w:r>
        <w:t xml:space="preserve">. While estimates are not unbiased, </w:t>
      </w:r>
      <w:r w:rsidRPr="001C257D">
        <w:rPr>
          <w:i/>
        </w:rPr>
        <w:t>F</w:t>
      </w:r>
      <w:r w:rsidRPr="001C257D">
        <w:rPr>
          <w:vertAlign w:val="subscript"/>
        </w:rPr>
        <w:t>ST</w:t>
      </w:r>
      <w:r>
        <w:t xml:space="preserve"> estimates will tend toward the expressions given in the limit of large sample sizes and large numbers of SNPs. We note that the relationship between Hudson estimates of </w:t>
      </w:r>
      <w:r w:rsidRPr="001C257D">
        <w:rPr>
          <w:i/>
        </w:rPr>
        <w:t>F</w:t>
      </w:r>
      <w:r w:rsidRPr="001C257D">
        <w:rPr>
          <w:vertAlign w:val="subscript"/>
        </w:rPr>
        <w:t>ST</w:t>
      </w:r>
      <w:r>
        <w:t xml:space="preserve"> and divergence time was given in </w:t>
      </w:r>
      <w:r w:rsidR="00862942">
        <w:fldChar w:fldCharType="begin"/>
      </w:r>
      <w:r w:rsidR="00D73545">
        <w:instrText xml:space="preserve"> ADDIN PAPERS2_CITATIONS &lt;citation&gt;&lt;uuid&gt;BA16DE92-1E74-4668-9E40-606B350BE07C&lt;/uuid&gt;&lt;priority&gt;14&lt;/priority&gt;&lt;publications&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541A6A3C-72DD-4213-B15F-0D500A889351&lt;/uuid&gt;&lt;volume&gt;130&lt;/volume&gt;&lt;doi&gt;10.1111/j.1601-5223.1999.00245.x&lt;/doi&gt;&lt;startpage&gt;245&lt;/startpage&gt;&lt;publication_date&gt;99199900001200000000200000&lt;/publication_date&gt;&lt;url&gt;http://dx.doi.org/10.1111/j.1601-5223.1999.00245.x&lt;/url&gt;&lt;citekey&gt;RefWorks:151&lt;/citekey&gt;&lt;type&gt;400&lt;/type&gt;&lt;title&gt;Analysis of Genetic Diversity in Geographically Structured Populations: A Bayesian Perspective&lt;/title&gt;&lt;publisher&gt;Munksgaard International Publishers&lt;/publisher&gt;&lt;number&gt;3&lt;/number&gt;&lt;subtype&gt;400&lt;/subtype&gt;&lt;endpage&gt;255&lt;/endpage&gt;&lt;bundle&gt;&lt;publication&gt;&lt;title&gt;Hereditas&lt;/title&gt;&lt;type&gt;-100&lt;/type&gt;&lt;subtype&gt;-100&lt;/subtype&gt;&lt;uuid&gt;7F748748-B4D4-4D13-8C53-D84707B345AE&lt;/uuid&gt;&lt;/publication&gt;&lt;/bundle&gt;&lt;authors&gt;&lt;author&gt;&lt;firstName&gt;Kent&lt;/firstName&gt;&lt;middleNames&gt;E&lt;/middleNames&gt;&lt;lastName&gt;Holsinger&lt;/lastName&gt;&lt;/author&gt;&lt;/authors&gt;&lt;/publication&gt;&lt;/publications&gt;&lt;cites&gt;&lt;/cites&gt;&lt;/citation&gt;</w:instrText>
      </w:r>
      <w:r w:rsidR="00862942">
        <w:fldChar w:fldCharType="separate"/>
      </w:r>
      <w:r w:rsidR="00D73545">
        <w:rPr>
          <w:rFonts w:cs="Cambria"/>
        </w:rPr>
        <w:t>(Nei 1973; Weir and Hill 2002; Weir and Cockerham 1984; Nei 1986; Hudson et al. 1992; Holsinger 1999)</w:t>
      </w:r>
      <w:r w:rsidR="00862942">
        <w:fldChar w:fldCharType="end"/>
      </w:r>
      <w:r>
        <w:t xml:space="preserve"> as related to the WC estimator. However, this is only valid for the case of equal sample sizes taken from each population. In order to produce estimates of </w:t>
      </w:r>
      <w:r w:rsidRPr="001C257D">
        <w:rPr>
          <w:i/>
        </w:rPr>
        <w:t>F</w:t>
      </w:r>
      <w:r w:rsidRPr="001C257D">
        <w:rPr>
          <w:vertAlign w:val="subscript"/>
        </w:rPr>
        <w:t>ST</w:t>
      </w:r>
      <w:r>
        <w:t xml:space="preserve"> that relate to divergence time according to equation s16, we recommend use of Hudson’s </w:t>
      </w:r>
      <w:r w:rsidRPr="001C257D">
        <w:rPr>
          <w:i/>
        </w:rPr>
        <w:t>F</w:t>
      </w:r>
      <w:r w:rsidRPr="001C257D">
        <w:rPr>
          <w:vertAlign w:val="subscript"/>
        </w:rPr>
        <w:t>ST</w:t>
      </w:r>
      <w:r>
        <w:t xml:space="preserve">. </w:t>
      </w:r>
    </w:p>
    <w:p w14:paraId="12AC1441" w14:textId="77777777" w:rsidR="00676ADB" w:rsidRDefault="00676ADB" w:rsidP="00F862C7"/>
    <w:p w14:paraId="6E91BD07" w14:textId="77777777" w:rsidR="00053AAA" w:rsidRPr="00B6215B" w:rsidRDefault="00053AAA" w:rsidP="00053AAA">
      <w:pPr>
        <w:pStyle w:val="Heading1"/>
      </w:pPr>
      <w:bookmarkStart w:id="57" w:name="_Toc217045502"/>
      <w:bookmarkStart w:id="58" w:name="_Toc219534414"/>
      <w:bookmarkStart w:id="59" w:name="_Toc219534496"/>
      <w:bookmarkStart w:id="60" w:name="_Toc232440786"/>
      <w:bookmarkStart w:id="61" w:name="_Toc232704455"/>
      <w:bookmarkStart w:id="62" w:name="_Toc232777580"/>
      <w:r>
        <w:t>Dependence on the Set of SNPs Analyzed – Coalescent Simulations</w:t>
      </w:r>
      <w:bookmarkEnd w:id="57"/>
      <w:bookmarkEnd w:id="58"/>
      <w:bookmarkEnd w:id="59"/>
      <w:bookmarkEnd w:id="60"/>
      <w:bookmarkEnd w:id="61"/>
      <w:bookmarkEnd w:id="62"/>
    </w:p>
    <w:p w14:paraId="680DB751" w14:textId="77777777" w:rsidR="00053AAA" w:rsidRDefault="00053AAA" w:rsidP="00053AAA">
      <w:pPr>
        <w:ind w:firstLine="720"/>
      </w:pPr>
      <w:r>
        <w:t xml:space="preserve">To explore the effects of different ascertainment schemes on estimates of </w:t>
      </w:r>
      <w:r w:rsidRPr="001C257D">
        <w:rPr>
          <w:i/>
        </w:rPr>
        <w:t>F</w:t>
      </w:r>
      <w:r w:rsidRPr="001C257D">
        <w:rPr>
          <w:vertAlign w:val="subscript"/>
        </w:rPr>
        <w:t>ST</w:t>
      </w:r>
      <w:r>
        <w:t xml:space="preserve">, we analyzed the data from the coalescent simulations described above, in addition to simulations without any bottleneck or expansion (see </w:t>
      </w:r>
      <w:r w:rsidR="003A2591">
        <w:t>Table S5</w:t>
      </w:r>
      <w:r>
        <w:t xml:space="preserve">). We estimate </w:t>
      </w:r>
      <w:r w:rsidRPr="004B5839">
        <w:rPr>
          <w:i/>
        </w:rPr>
        <w:t>F</w:t>
      </w:r>
      <w:r w:rsidRPr="004B5839">
        <w:rPr>
          <w:vertAlign w:val="subscript"/>
        </w:rPr>
        <w:t>ST</w:t>
      </w:r>
      <w:r>
        <w:t xml:space="preserve"> using SNPs that are polymorphic in the out-group population, and expect an </w:t>
      </w:r>
      <w:r w:rsidRPr="001C257D">
        <w:rPr>
          <w:i/>
        </w:rPr>
        <w:t>F</w:t>
      </w:r>
      <w:r w:rsidRPr="001C257D">
        <w:rPr>
          <w:vertAlign w:val="subscript"/>
        </w:rPr>
        <w:t>ST</w:t>
      </w:r>
      <w:r>
        <w:t xml:space="preserve"> of 0.190 in this scenario. We note that SNPs are considered polymorphic if they have a non-zero minor allele frequency</w:t>
      </w:r>
      <w:r w:rsidRPr="00882BD8">
        <w:t xml:space="preserve"> </w:t>
      </w:r>
      <w:r>
        <w:t xml:space="preserve">in the sample. The effects of modifying the ascertainment are statistically significant and dependent on the demographic history of the populations studied (see </w:t>
      </w:r>
      <w:r w:rsidR="003A2591">
        <w:t>Table S6</w:t>
      </w:r>
      <w:r>
        <w:t xml:space="preserve">). SNPs polymorphic in the expansion population are likely to be recent and reduce the estimate of </w:t>
      </w:r>
      <w:r w:rsidRPr="001C257D">
        <w:rPr>
          <w:i/>
        </w:rPr>
        <w:t>F</w:t>
      </w:r>
      <w:r w:rsidRPr="001C257D">
        <w:rPr>
          <w:vertAlign w:val="subscript"/>
        </w:rPr>
        <w:t>ST</w:t>
      </w:r>
      <w:r>
        <w:t xml:space="preserve">. On the other hand, SNPs polymorphic in the bottleneck population are more likely to be ancient and polymorphic in the ancestral population. By imposing a restriction that SNPs be polymorphic in both populations, we exclude highly differentiated SNPs that have fixed in one population or the other, and lower our estimate of </w:t>
      </w:r>
      <w:r w:rsidRPr="001C257D">
        <w:rPr>
          <w:i/>
        </w:rPr>
        <w:t>F</w:t>
      </w:r>
      <w:r w:rsidRPr="001C257D">
        <w:rPr>
          <w:vertAlign w:val="subscript"/>
        </w:rPr>
        <w:t>ST</w:t>
      </w:r>
      <w:r>
        <w:t xml:space="preserve">. </w:t>
      </w:r>
    </w:p>
    <w:p w14:paraId="713E8F57" w14:textId="77777777" w:rsidR="00053AAA" w:rsidRDefault="00053AAA" w:rsidP="00053AAA">
      <w:pPr>
        <w:ind w:firstLine="720"/>
      </w:pPr>
      <w:r>
        <w:t xml:space="preserve">Additionally, we observe that </w:t>
      </w:r>
      <w:r w:rsidRPr="001C257D">
        <w:rPr>
          <w:i/>
        </w:rPr>
        <w:t>F</w:t>
      </w:r>
      <w:r w:rsidRPr="001C257D">
        <w:rPr>
          <w:vertAlign w:val="subscript"/>
        </w:rPr>
        <w:t>ST</w:t>
      </w:r>
      <w:r>
        <w:t xml:space="preserve"> estimates showed dependence on minor allele frequency (see </w:t>
      </w:r>
      <w:r w:rsidR="00E27BBE">
        <w:t>Figure S4</w:t>
      </w:r>
      <w:r>
        <w:t xml:space="preserve">) when using either of the single-population ascertainment schemes. This is expected according to population genetic theory. For example, following an expansion, rare variants in one population will tend to be recent and not polymorphic in the second population. These variants will, on average, have a lower estimate of </w:t>
      </w:r>
      <w:r w:rsidRPr="001C257D">
        <w:rPr>
          <w:i/>
        </w:rPr>
        <w:t>F</w:t>
      </w:r>
      <w:r w:rsidRPr="001C257D">
        <w:rPr>
          <w:vertAlign w:val="subscript"/>
        </w:rPr>
        <w:t>ST</w:t>
      </w:r>
      <w:r>
        <w:t xml:space="preserve">. In the case of a bottleneck, however, rare variants in one population are likely to be highly differentiated ancestral variants and, therefore, have a higher </w:t>
      </w:r>
      <w:r w:rsidRPr="001C257D">
        <w:rPr>
          <w:i/>
        </w:rPr>
        <w:t>F</w:t>
      </w:r>
      <w:r w:rsidRPr="001C257D">
        <w:rPr>
          <w:vertAlign w:val="subscript"/>
        </w:rPr>
        <w:t>ST</w:t>
      </w:r>
      <w:r>
        <w:t xml:space="preserve">. All together, our results demonstrate that the estimate of </w:t>
      </w:r>
      <w:r w:rsidRPr="001C257D">
        <w:rPr>
          <w:i/>
        </w:rPr>
        <w:t>F</w:t>
      </w:r>
      <w:r w:rsidRPr="001C257D">
        <w:rPr>
          <w:vertAlign w:val="subscript"/>
        </w:rPr>
        <w:t>ST</w:t>
      </w:r>
      <w:r>
        <w:t xml:space="preserve"> depends intrinsically on the set of SNPs used to estimate it.</w:t>
      </w:r>
    </w:p>
    <w:p w14:paraId="080DF28C" w14:textId="77777777" w:rsidR="00053AAA" w:rsidRDefault="00053AAA" w:rsidP="00053AAA">
      <w:r>
        <w:tab/>
        <w:t>W</w:t>
      </w:r>
      <w:r w:rsidRPr="004C5560">
        <w:t xml:space="preserve">e caution that the ascertainment scheme and </w:t>
      </w:r>
      <w:r>
        <w:t>the method of combining across SNPs</w:t>
      </w:r>
      <w:r w:rsidRPr="004C5560">
        <w:t xml:space="preserve"> </w:t>
      </w:r>
      <w:r>
        <w:t xml:space="preserve">can interact to affect </w:t>
      </w:r>
      <w:r w:rsidRPr="001C257D">
        <w:rPr>
          <w:i/>
        </w:rPr>
        <w:t>F</w:t>
      </w:r>
      <w:r w:rsidRPr="001C257D">
        <w:rPr>
          <w:vertAlign w:val="subscript"/>
        </w:rPr>
        <w:t>ST</w:t>
      </w:r>
      <w:r>
        <w:t xml:space="preserve"> estimates. For example</w:t>
      </w:r>
      <w:r w:rsidRPr="004C5560">
        <w:t xml:space="preserve">, using </w:t>
      </w:r>
      <w:r>
        <w:t>an average of ratios</w:t>
      </w:r>
      <w:r w:rsidRPr="004C5560">
        <w:t xml:space="preserve"> on </w:t>
      </w:r>
      <w:r>
        <w:t xml:space="preserve">all variants polymorphic in </w:t>
      </w:r>
      <w:r w:rsidRPr="004C5560">
        <w:t xml:space="preserve">sequence data </w:t>
      </w:r>
      <w:r>
        <w:t xml:space="preserve">lowers the estimate of </w:t>
      </w:r>
      <w:r w:rsidRPr="001C257D">
        <w:rPr>
          <w:i/>
        </w:rPr>
        <w:t>F</w:t>
      </w:r>
      <w:r w:rsidRPr="001C257D">
        <w:rPr>
          <w:vertAlign w:val="subscript"/>
        </w:rPr>
        <w:t>ST</w:t>
      </w:r>
      <w:r>
        <w:t xml:space="preserve"> to 0.020 (see </w:t>
      </w:r>
      <w:r w:rsidR="003A2591">
        <w:t>Table S6</w:t>
      </w:r>
      <w:r>
        <w:t>)</w:t>
      </w:r>
      <w:r w:rsidRPr="004C5560">
        <w:t xml:space="preserve">. This </w:t>
      </w:r>
      <w:r>
        <w:t>dramatic reduction</w:t>
      </w:r>
      <w:r w:rsidRPr="004C5560">
        <w:t xml:space="preserve"> can be explained by the sensitivity of </w:t>
      </w:r>
      <w:r>
        <w:t xml:space="preserve">an average of ratios to variants with low </w:t>
      </w:r>
      <w:r w:rsidRPr="001C257D">
        <w:rPr>
          <w:i/>
        </w:rPr>
        <w:t>F</w:t>
      </w:r>
      <w:r w:rsidRPr="001C257D">
        <w:rPr>
          <w:vertAlign w:val="subscript"/>
        </w:rPr>
        <w:t>ST</w:t>
      </w:r>
      <w:r>
        <w:t xml:space="preserve">, and the tendency of a permissive ascertainment scheme </w:t>
      </w:r>
      <w:r w:rsidRPr="004C5560">
        <w:t xml:space="preserve">include </w:t>
      </w:r>
      <w:r>
        <w:t xml:space="preserve">many </w:t>
      </w:r>
      <w:r w:rsidRPr="004C5560">
        <w:t>such</w:t>
      </w:r>
      <w:r>
        <w:t xml:space="preserve"> SNPs. Under this ascertainment scheme we observe a strong dependence of </w:t>
      </w:r>
      <w:r w:rsidRPr="004B5839">
        <w:rPr>
          <w:i/>
        </w:rPr>
        <w:t>F</w:t>
      </w:r>
      <w:r w:rsidRPr="004B5839">
        <w:rPr>
          <w:vertAlign w:val="subscript"/>
        </w:rPr>
        <w:t>ST</w:t>
      </w:r>
      <w:r>
        <w:t xml:space="preserve"> estimate on the size </w:t>
      </w:r>
      <w:r w:rsidR="00A17A13">
        <w:t xml:space="preserve">of samples studied (see </w:t>
      </w:r>
      <w:r w:rsidR="00E27BBE">
        <w:t>Figure S3</w:t>
      </w:r>
      <w:r>
        <w:t>).</w:t>
      </w:r>
    </w:p>
    <w:p w14:paraId="1A1E94BE" w14:textId="77777777" w:rsidR="00AA6A8A" w:rsidRDefault="00AA6A8A" w:rsidP="00053AAA"/>
    <w:p w14:paraId="223CF320" w14:textId="77777777" w:rsidR="00AA6A8A" w:rsidRDefault="00AA6A8A" w:rsidP="00053AAA">
      <w:r>
        <w:rPr>
          <w:noProof/>
        </w:rPr>
        <w:drawing>
          <wp:inline distT="0" distB="0" distL="0" distR="0" wp14:anchorId="2E5304A8" wp14:editId="41E65A6D">
            <wp:extent cx="5486400" cy="3244215"/>
            <wp:effectExtent l="0" t="0" r="0" b="0"/>
            <wp:docPr id="24" name="Picture 24" descr="Macintosh HD:Users:gauravbhatia:Dropbox:Projects:Fst:Revision4:Figures:Supp Figures:Ascertainment - MAF - coalescent - NEW 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gauravbhatia:Dropbox:Projects:Fst:Revision4:Figures:Supp Figures:Ascertainment - MAF - coalescent - NEW S3.pd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244215"/>
                    </a:xfrm>
                    <a:prstGeom prst="rect">
                      <a:avLst/>
                    </a:prstGeom>
                    <a:noFill/>
                    <a:ln>
                      <a:noFill/>
                    </a:ln>
                  </pic:spPr>
                </pic:pic>
              </a:graphicData>
            </a:graphic>
          </wp:inline>
        </w:drawing>
      </w:r>
    </w:p>
    <w:p w14:paraId="1747CBA6" w14:textId="77777777" w:rsidR="00AA6A8A" w:rsidRDefault="00E27BBE" w:rsidP="00053AAA">
      <w:r>
        <w:t>Figure S4</w:t>
      </w:r>
      <w:r w:rsidR="00AA6A8A">
        <w:t xml:space="preserve">. </w:t>
      </w:r>
      <w:proofErr w:type="gramStart"/>
      <w:r w:rsidR="00AA6A8A">
        <w:t xml:space="preserve">Allele frequency dependence of </w:t>
      </w:r>
      <w:r w:rsidR="00AA6A8A" w:rsidRPr="001C257D">
        <w:rPr>
          <w:i/>
        </w:rPr>
        <w:t>F</w:t>
      </w:r>
      <w:r w:rsidR="00AA6A8A" w:rsidRPr="001C257D">
        <w:rPr>
          <w:vertAlign w:val="subscript"/>
        </w:rPr>
        <w:t>ST</w:t>
      </w:r>
      <w:r w:rsidR="00AA6A8A">
        <w:t xml:space="preserve"> under different ascertainment schemes.</w:t>
      </w:r>
      <w:proofErr w:type="gramEnd"/>
      <w:r w:rsidR="00AA6A8A">
        <w:t xml:space="preserve"> The top panel shows </w:t>
      </w:r>
      <w:r w:rsidR="00AA6A8A" w:rsidRPr="001C257D">
        <w:rPr>
          <w:i/>
        </w:rPr>
        <w:t>F</w:t>
      </w:r>
      <w:r w:rsidR="00AA6A8A" w:rsidRPr="001C257D">
        <w:rPr>
          <w:vertAlign w:val="subscript"/>
        </w:rPr>
        <w:t>ST</w:t>
      </w:r>
      <w:r w:rsidR="00AA6A8A">
        <w:t xml:space="preserve"> as a function of allele frequency in simulated populations when ascertaining in either the population subject to a recent expansion or the population subject to a recent bottleneck. We see that rare variants in the expansion population tend to have lower </w:t>
      </w:r>
      <w:r w:rsidR="00AA6A8A" w:rsidRPr="001C257D">
        <w:rPr>
          <w:i/>
        </w:rPr>
        <w:t>F</w:t>
      </w:r>
      <w:r w:rsidR="00AA6A8A" w:rsidRPr="001C257D">
        <w:rPr>
          <w:vertAlign w:val="subscript"/>
        </w:rPr>
        <w:t>ST</w:t>
      </w:r>
      <w:r w:rsidR="00AA6A8A">
        <w:t xml:space="preserve"> than common variants, as they are overwhelmingly recent. The opposite is true when ascertaining in the bottleneck population, as rare variants tend to be highly differentiated ancestral variants that have higher </w:t>
      </w:r>
      <w:r w:rsidR="00AA6A8A" w:rsidRPr="001C257D">
        <w:rPr>
          <w:i/>
        </w:rPr>
        <w:t>F</w:t>
      </w:r>
      <w:r w:rsidR="00AA6A8A" w:rsidRPr="001C257D">
        <w:rPr>
          <w:vertAlign w:val="subscript"/>
        </w:rPr>
        <w:t>ST</w:t>
      </w:r>
      <w:r w:rsidR="00AA6A8A">
        <w:t>. Ascertainment in the out-group population removes dependence on minor allele frequency.</w:t>
      </w:r>
    </w:p>
    <w:p w14:paraId="385C5B8C" w14:textId="77777777" w:rsidR="00F862C7" w:rsidRDefault="00F862C7"/>
    <w:p w14:paraId="4A30E532" w14:textId="77777777" w:rsidR="00676ADB" w:rsidRPr="0033263A" w:rsidRDefault="00676ADB" w:rsidP="00676ADB">
      <w:pPr>
        <w:pStyle w:val="Heading1"/>
      </w:pPr>
      <w:bookmarkStart w:id="63" w:name="_Toc211282955"/>
      <w:bookmarkStart w:id="64" w:name="_Toc214442414"/>
      <w:bookmarkStart w:id="65" w:name="_Toc214967470"/>
      <w:bookmarkStart w:id="66" w:name="_Toc214970897"/>
      <w:bookmarkStart w:id="67" w:name="_Toc217045513"/>
      <w:bookmarkStart w:id="68" w:name="_Toc219534425"/>
      <w:bookmarkStart w:id="69" w:name="_Toc219534507"/>
      <w:bookmarkStart w:id="70" w:name="_Toc232440787"/>
      <w:bookmarkStart w:id="71" w:name="_Toc232704456"/>
      <w:bookmarkStart w:id="72" w:name="_Toc232777581"/>
      <w:r w:rsidRPr="0033263A">
        <w:t>Moment-based Estimator of Weir and Hill 2002 (WH)</w:t>
      </w:r>
      <w:bookmarkEnd w:id="63"/>
      <w:bookmarkEnd w:id="64"/>
      <w:bookmarkEnd w:id="65"/>
      <w:bookmarkEnd w:id="66"/>
      <w:bookmarkEnd w:id="67"/>
      <w:bookmarkEnd w:id="68"/>
      <w:bookmarkEnd w:id="69"/>
      <w:bookmarkEnd w:id="70"/>
      <w:bookmarkEnd w:id="71"/>
      <w:bookmarkEnd w:id="72"/>
    </w:p>
    <w:p w14:paraId="50D5991D" w14:textId="77777777" w:rsidR="00676ADB" w:rsidRPr="00E41079" w:rsidRDefault="00676ADB" w:rsidP="00676ADB">
      <w:pPr>
        <w:rPr>
          <w:b/>
        </w:rPr>
      </w:pPr>
    </w:p>
    <w:p w14:paraId="2D5FC13B" w14:textId="77777777" w:rsidR="00676ADB" w:rsidRPr="00E41079" w:rsidRDefault="00676ADB" w:rsidP="00676ADB">
      <w:r w:rsidRPr="00E41079">
        <w:t xml:space="preserve">The WH estimator is given in equation 9 of (Weir and Hill 2002), and corresponds to the conceptual definition given in the same paper. Essentially, this estimator corresponds to a sample size weighted average of population specific estimates. </w:t>
      </w:r>
      <w:r w:rsidR="000318CB">
        <w:t>T</w:t>
      </w:r>
      <w:r w:rsidRPr="00E41079">
        <w:t>his can lead to variation with relative sample sizes. We s</w:t>
      </w:r>
      <w:r>
        <w:t>how this by reproducing Figure S1</w:t>
      </w:r>
      <w:r w:rsidRPr="00E41079">
        <w:t xml:space="preserve"> with an additional set of data-points added representing WH estimates. This figure shows that the WH estimator can be subject to extremely wide variation with sample size if populations have been subject to varied demographic history since divergence. </w:t>
      </w:r>
      <w:r>
        <w:t xml:space="preserve">We note that with large sample size differences estimates may even become negative (See Table S1). </w:t>
      </w:r>
      <w:r w:rsidRPr="00E41079">
        <w:t>As human populations have been subject to variable demographic histories, we do not recommend the WH estimator for analyzing structure in human populations.</w:t>
      </w:r>
    </w:p>
    <w:p w14:paraId="4D84CA27" w14:textId="77777777" w:rsidR="00676ADB" w:rsidRPr="00E41079" w:rsidRDefault="00676ADB" w:rsidP="00676ADB"/>
    <w:p w14:paraId="7A4C0C36" w14:textId="77777777" w:rsidR="00676ADB" w:rsidRPr="00E41079" w:rsidRDefault="00676ADB" w:rsidP="00676ADB">
      <w:r>
        <w:rPr>
          <w:noProof/>
        </w:rPr>
        <w:drawing>
          <wp:inline distT="0" distB="0" distL="0" distR="0" wp14:anchorId="3D27E6AF" wp14:editId="3EC98E4F">
            <wp:extent cx="5486400" cy="3149600"/>
            <wp:effectExtent l="0" t="0" r="0"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149600"/>
                    </a:xfrm>
                    <a:prstGeom prst="rect">
                      <a:avLst/>
                    </a:prstGeom>
                    <a:noFill/>
                    <a:ln>
                      <a:noFill/>
                    </a:ln>
                  </pic:spPr>
                </pic:pic>
              </a:graphicData>
            </a:graphic>
          </wp:inline>
        </w:drawing>
      </w:r>
    </w:p>
    <w:p w14:paraId="527D6FD9" w14:textId="77777777" w:rsidR="00676ADB" w:rsidRPr="00E41079" w:rsidRDefault="00676ADB" w:rsidP="00676ADB">
      <w:r>
        <w:t>Figure S8</w:t>
      </w:r>
      <w:r w:rsidRPr="00E41079">
        <w:t>.</w:t>
      </w:r>
      <w:r>
        <w:t xml:space="preserve"> </w:t>
      </w:r>
      <w:r w:rsidRPr="00E41079">
        <w:t xml:space="preserve">The purple line represents the WH estimator of </w:t>
      </w:r>
      <w:r w:rsidRPr="00E41079">
        <w:rPr>
          <w:i/>
        </w:rPr>
        <w:t>F</w:t>
      </w:r>
      <w:r w:rsidRPr="00E41079">
        <w:rPr>
          <w:vertAlign w:val="subscript"/>
        </w:rPr>
        <w:t>ST</w:t>
      </w:r>
      <w:r w:rsidRPr="00E41079">
        <w:t>. It is clear from this that (1) for equal sample sizes, the WH, WC and Hudson estimators produce identical estimates and (2) under situations with variable demography, the WH estimator can produce very wide variation with the ratio of sample sizes. As human populations have been subject to variable demographic histories, we do not recommend the WH estimator for analyzing structure in human populations.</w:t>
      </w:r>
    </w:p>
    <w:p w14:paraId="3138B7F7" w14:textId="77777777" w:rsidR="00676ADB" w:rsidRPr="00E41079" w:rsidRDefault="00676ADB" w:rsidP="00676ADB">
      <w:pPr>
        <w:rPr>
          <w:i/>
        </w:rPr>
      </w:pPr>
    </w:p>
    <w:p w14:paraId="67F65A4A" w14:textId="77777777" w:rsidR="00676ADB" w:rsidRPr="0033263A" w:rsidRDefault="00676ADB" w:rsidP="00676ADB">
      <w:pPr>
        <w:pStyle w:val="Heading1"/>
      </w:pPr>
      <w:bookmarkStart w:id="73" w:name="_Toc211282956"/>
      <w:bookmarkStart w:id="74" w:name="_Toc214442415"/>
      <w:bookmarkStart w:id="75" w:name="_Toc214967471"/>
      <w:bookmarkStart w:id="76" w:name="_Toc214970898"/>
      <w:bookmarkStart w:id="77" w:name="_Toc217045514"/>
      <w:bookmarkStart w:id="78" w:name="_Toc219534426"/>
      <w:bookmarkStart w:id="79" w:name="_Toc219534508"/>
      <w:bookmarkStart w:id="80" w:name="_Toc232440788"/>
      <w:bookmarkStart w:id="81" w:name="_Toc232704457"/>
      <w:bookmarkStart w:id="82" w:name="_Toc232777582"/>
      <w:r w:rsidRPr="0033263A">
        <w:t>Maximum-likelihood Estimator of Weir and Hill 2002 (WH-ML)</w:t>
      </w:r>
      <w:bookmarkEnd w:id="73"/>
      <w:bookmarkEnd w:id="74"/>
      <w:bookmarkEnd w:id="75"/>
      <w:bookmarkEnd w:id="76"/>
      <w:bookmarkEnd w:id="77"/>
      <w:bookmarkEnd w:id="78"/>
      <w:bookmarkEnd w:id="79"/>
      <w:bookmarkEnd w:id="80"/>
      <w:bookmarkEnd w:id="81"/>
      <w:bookmarkEnd w:id="82"/>
    </w:p>
    <w:p w14:paraId="70F2C7BC" w14:textId="77777777" w:rsidR="00676ADB" w:rsidRPr="00E41079" w:rsidRDefault="00676ADB" w:rsidP="00676ADB"/>
    <w:p w14:paraId="2CE564FE" w14:textId="77777777" w:rsidR="00676ADB" w:rsidRPr="00E41079" w:rsidRDefault="00676ADB" w:rsidP="00676ADB">
      <w:r w:rsidRPr="00E41079">
        <w:t xml:space="preserve">The WH-ML method of estimating </w:t>
      </w:r>
      <w:r w:rsidRPr="00E41079">
        <w:rPr>
          <w:i/>
        </w:rPr>
        <w:t>F</w:t>
      </w:r>
      <w:r w:rsidRPr="00E41079">
        <w:rPr>
          <w:vertAlign w:val="subscript"/>
        </w:rPr>
        <w:t>ST</w:t>
      </w:r>
      <w:r w:rsidRPr="00E41079">
        <w:t xml:space="preserve"> is based on equations 12 and 13 of (Weir and Hill 2002). However, Weir and Hill note that these equations only apply if sample sizes are “</w:t>
      </w:r>
      <w:r w:rsidRPr="00E41079">
        <w:rPr>
          <w:rFonts w:cs="Times"/>
          <w:color w:val="000000"/>
        </w:rPr>
        <w:t>either equal or so large that they are approximately equal”. No equation is given for arbitrary sample sizes.  We begin by analyzing equation 13.</w:t>
      </w:r>
    </w:p>
    <w:p w14:paraId="77603B1D" w14:textId="77777777" w:rsidR="00676ADB" w:rsidRPr="00E41079" w:rsidRDefault="00676ADB" w:rsidP="00676ADB"/>
    <w:p w14:paraId="41C8B561" w14:textId="77777777" w:rsidR="00676ADB" w:rsidRPr="00E41079" w:rsidRDefault="00676ADB" w:rsidP="00676ADB">
      <w:r w:rsidRPr="00E41079">
        <w:t>Adapted for the case of two populations and biallelic SNPs, this equation is:</w:t>
      </w:r>
    </w:p>
    <w:p w14:paraId="4BE32F2B" w14:textId="77777777" w:rsidR="00676ADB" w:rsidRPr="00E41079" w:rsidRDefault="00676ADB" w:rsidP="00676ADB"/>
    <w:p w14:paraId="659551CC" w14:textId="77777777" w:rsidR="00676ADB" w:rsidRPr="00E41079" w:rsidRDefault="00676ADB" w:rsidP="00676ADB">
      <w:pPr>
        <w:jc w:val="center"/>
      </w:pPr>
      <w:r w:rsidRPr="00E41079">
        <w:rPr>
          <w:position w:val="-30"/>
        </w:rPr>
        <w:object w:dxaOrig="4620" w:dyaOrig="700" w14:anchorId="55653228">
          <v:shape id="_x0000_i1029" type="#_x0000_t75" style="width:267pt;height:40pt" o:ole="">
            <v:imagedata r:id="rId68" o:title=""/>
          </v:shape>
          <o:OLEObject Type="Embed" ProgID="Equation.3" ShapeID="_x0000_i1029" DrawAspect="Content" ObjectID="_1309872867" r:id="rId69"/>
        </w:object>
      </w:r>
    </w:p>
    <w:p w14:paraId="2C6FDC66" w14:textId="77777777" w:rsidR="00676ADB" w:rsidRPr="00E41079" w:rsidRDefault="00676ADB" w:rsidP="00676ADB">
      <w:proofErr w:type="gramStart"/>
      <w:r w:rsidRPr="00E41079">
        <w:t>where</w:t>
      </w:r>
      <w:proofErr w:type="gramEnd"/>
      <w:r w:rsidRPr="00E41079">
        <w:t xml:space="preserve"> </w:t>
      </w:r>
      <w:r w:rsidRPr="00E41079">
        <w:rPr>
          <w:position w:val="-12"/>
        </w:rPr>
        <w:object w:dxaOrig="260" w:dyaOrig="340" w14:anchorId="264210FC">
          <v:shape id="_x0000_i1030" type="#_x0000_t75" style="width:13pt;height:17pt" o:ole="">
            <v:imagedata r:id="rId70" o:title=""/>
          </v:shape>
          <o:OLEObject Type="Embed" ProgID="Equation.3" ShapeID="_x0000_i1030" DrawAspect="Content" ObjectID="_1309872868" r:id="rId71"/>
        </w:object>
      </w:r>
      <w:r w:rsidRPr="00E41079">
        <w:t xml:space="preserve">is the sample allele frequency in population </w:t>
      </w:r>
      <w:proofErr w:type="spellStart"/>
      <w:r w:rsidRPr="00E41079">
        <w:rPr>
          <w:i/>
        </w:rPr>
        <w:t>i</w:t>
      </w:r>
      <w:proofErr w:type="spellEnd"/>
      <w:r w:rsidRPr="00E41079">
        <w:rPr>
          <w:i/>
        </w:rPr>
        <w:t>,</w:t>
      </w:r>
      <w:r w:rsidRPr="00E41079">
        <w:t xml:space="preserve"> and </w:t>
      </w:r>
      <w:r w:rsidRPr="00E41079">
        <w:rPr>
          <w:position w:val="-14"/>
        </w:rPr>
        <w:object w:dxaOrig="420" w:dyaOrig="360" w14:anchorId="4F924EF7">
          <v:shape id="_x0000_i1031" type="#_x0000_t75" style="width:21pt;height:18pt" o:ole="">
            <v:imagedata r:id="rId72" o:title=""/>
          </v:shape>
          <o:OLEObject Type="Embed" ProgID="Equation.3" ShapeID="_x0000_i1031" DrawAspect="Content" ObjectID="_1309872869" r:id="rId73"/>
        </w:object>
      </w:r>
      <w:r w:rsidRPr="00E41079">
        <w:t>is given by</w:t>
      </w:r>
    </w:p>
    <w:p w14:paraId="5A66EE00" w14:textId="77777777" w:rsidR="00676ADB" w:rsidRPr="00E41079" w:rsidRDefault="00676ADB" w:rsidP="00676ADB">
      <w:pPr>
        <w:jc w:val="center"/>
      </w:pPr>
      <w:r w:rsidRPr="00E41079">
        <w:rPr>
          <w:position w:val="-30"/>
        </w:rPr>
        <w:object w:dxaOrig="1500" w:dyaOrig="680" w14:anchorId="3AEC3525">
          <v:shape id="_x0000_i1032" type="#_x0000_t75" style="width:96pt;height:43pt" o:ole="">
            <v:imagedata r:id="rId74" o:title=""/>
          </v:shape>
          <o:OLEObject Type="Embed" ProgID="Equation.3" ShapeID="_x0000_i1032" DrawAspect="Content" ObjectID="_1309872870" r:id="rId75"/>
        </w:object>
      </w:r>
    </w:p>
    <w:p w14:paraId="39C551A3" w14:textId="77777777" w:rsidR="00676ADB" w:rsidRPr="00E41079" w:rsidRDefault="00676ADB" w:rsidP="00676ADB">
      <w:r w:rsidRPr="00E41079">
        <w:t xml:space="preserve">Letting </w:t>
      </w:r>
      <w:r w:rsidRPr="00E41079">
        <w:rPr>
          <w:position w:val="-30"/>
        </w:rPr>
        <w:object w:dxaOrig="780" w:dyaOrig="680" w14:anchorId="12BF9700">
          <v:shape id="_x0000_i1033" type="#_x0000_t75" style="width:39pt;height:34pt" o:ole="">
            <v:imagedata r:id="rId76" o:title=""/>
          </v:shape>
          <o:OLEObject Type="Embed" ProgID="Equation.3" ShapeID="_x0000_i1033" DrawAspect="Content" ObjectID="_1309872871" r:id="rId77"/>
        </w:object>
      </w:r>
      <w:r w:rsidRPr="00E41079">
        <w:t>, we can simplify the estimator to</w:t>
      </w:r>
    </w:p>
    <w:p w14:paraId="61D9B9AC" w14:textId="77777777" w:rsidR="00676ADB" w:rsidRPr="00E41079" w:rsidRDefault="00676ADB" w:rsidP="00676ADB">
      <w:pPr>
        <w:jc w:val="center"/>
      </w:pPr>
      <w:r w:rsidRPr="00E41079">
        <w:rPr>
          <w:position w:val="-30"/>
        </w:rPr>
        <w:object w:dxaOrig="2280" w:dyaOrig="700" w14:anchorId="5B108436">
          <v:shape id="_x0000_i1034" type="#_x0000_t75" style="width:132pt;height:40pt" o:ole="">
            <v:imagedata r:id="rId78" o:title=""/>
          </v:shape>
          <o:OLEObject Type="Embed" ProgID="Equation.3" ShapeID="_x0000_i1034" DrawAspect="Content" ObjectID="_1309872872" r:id="rId79"/>
        </w:object>
      </w:r>
    </w:p>
    <w:p w14:paraId="78B4E50E" w14:textId="77777777" w:rsidR="00676ADB" w:rsidRPr="00E41079" w:rsidRDefault="00676ADB" w:rsidP="00676ADB">
      <w:r w:rsidRPr="00E41079">
        <w:t xml:space="preserve">This quantity clearly depends upon the ratio of sample sizes. In fact, the difference between the minimum, when </w:t>
      </w:r>
      <w:r w:rsidRPr="00E41079">
        <w:rPr>
          <w:position w:val="-4"/>
        </w:rPr>
        <w:object w:dxaOrig="620" w:dyaOrig="240" w14:anchorId="23ACE1B6">
          <v:shape id="_x0000_i1035" type="#_x0000_t75" style="width:31pt;height:12pt" o:ole="">
            <v:imagedata r:id="rId80" o:title=""/>
          </v:shape>
          <o:OLEObject Type="Embed" ProgID="Equation.3" ShapeID="_x0000_i1035" DrawAspect="Content" ObjectID="_1309872873" r:id="rId81"/>
        </w:object>
      </w:r>
      <w:r w:rsidRPr="00E41079">
        <w:t xml:space="preserve">, and maxima, as </w:t>
      </w:r>
      <w:r w:rsidRPr="00E41079">
        <w:rPr>
          <w:position w:val="-4"/>
        </w:rPr>
        <w:object w:dxaOrig="800" w:dyaOrig="240" w14:anchorId="3A5BD1A5">
          <v:shape id="_x0000_i1036" type="#_x0000_t75" style="width:40pt;height:12pt" o:ole="">
            <v:imagedata r:id="rId82" o:title=""/>
          </v:shape>
          <o:OLEObject Type="Embed" ProgID="Equation.3" ShapeID="_x0000_i1036" DrawAspect="Content" ObjectID="_1309872874" r:id="rId83"/>
        </w:object>
      </w:r>
      <w:r w:rsidRPr="00E41079">
        <w:t xml:space="preserve">or </w:t>
      </w:r>
      <w:r w:rsidRPr="00E41079">
        <w:rPr>
          <w:position w:val="-6"/>
        </w:rPr>
        <w:object w:dxaOrig="760" w:dyaOrig="260" w14:anchorId="6F866834">
          <v:shape id="_x0000_i1037" type="#_x0000_t75" style="width:38pt;height:13pt" o:ole="">
            <v:imagedata r:id="rId84" o:title=""/>
          </v:shape>
          <o:OLEObject Type="Embed" ProgID="Equation.3" ShapeID="_x0000_i1037" DrawAspect="Content" ObjectID="_1309872875" r:id="rId85"/>
        </w:object>
      </w:r>
      <w:r w:rsidRPr="00E41079">
        <w:t xml:space="preserve">, is a factor of two. This property also applies to equation 12. Therefore, we do not recommend the application of estimators given in equation 12 or 13 to real data sets in the general case of unequal sample sizes. </w:t>
      </w:r>
    </w:p>
    <w:p w14:paraId="4EC447AA" w14:textId="77777777" w:rsidR="00676ADB" w:rsidRPr="00E41079" w:rsidRDefault="00676ADB" w:rsidP="00676ADB"/>
    <w:p w14:paraId="5AFE2F14" w14:textId="77777777" w:rsidR="00676ADB" w:rsidRPr="00E41079" w:rsidRDefault="00676ADB" w:rsidP="00676ADB">
      <w:r w:rsidRPr="00E41079">
        <w:t>If sample sizes are equal, then this simplifies to</w:t>
      </w:r>
    </w:p>
    <w:p w14:paraId="646108CD" w14:textId="77777777" w:rsidR="00676ADB" w:rsidRPr="00E41079" w:rsidRDefault="00676ADB" w:rsidP="00676ADB"/>
    <w:p w14:paraId="799B87F2" w14:textId="77777777" w:rsidR="00676ADB" w:rsidRPr="00E41079" w:rsidRDefault="00676ADB" w:rsidP="00676ADB">
      <w:pPr>
        <w:jc w:val="center"/>
      </w:pPr>
      <w:r w:rsidRPr="00E41079">
        <w:rPr>
          <w:position w:val="-30"/>
        </w:rPr>
        <w:object w:dxaOrig="1480" w:dyaOrig="700" w14:anchorId="125874C0">
          <v:shape id="_x0000_i1038" type="#_x0000_t75" style="width:86pt;height:40pt" o:ole="">
            <v:imagedata r:id="rId86" o:title=""/>
          </v:shape>
          <o:OLEObject Type="Embed" ProgID="Equation.3" ShapeID="_x0000_i1038" DrawAspect="Content" ObjectID="_1309872876" r:id="rId87"/>
        </w:object>
      </w:r>
    </w:p>
    <w:p w14:paraId="5EBB4932" w14:textId="77777777" w:rsidR="00676ADB" w:rsidRPr="00E41079" w:rsidRDefault="00676ADB" w:rsidP="00676ADB">
      <w:proofErr w:type="gramStart"/>
      <w:r w:rsidRPr="00E41079">
        <w:t>with</w:t>
      </w:r>
      <w:proofErr w:type="gramEnd"/>
    </w:p>
    <w:p w14:paraId="51F3EDC9" w14:textId="77777777" w:rsidR="00676ADB" w:rsidRPr="00E41079" w:rsidRDefault="00676ADB" w:rsidP="00676ADB">
      <w:pPr>
        <w:jc w:val="center"/>
      </w:pPr>
      <w:r w:rsidRPr="00E41079">
        <w:rPr>
          <w:position w:val="-24"/>
        </w:rPr>
        <w:object w:dxaOrig="1140" w:dyaOrig="620" w14:anchorId="6683A5EA">
          <v:shape id="_x0000_i1039" type="#_x0000_t75" style="width:73pt;height:39pt" o:ole="">
            <v:imagedata r:id="rId88" o:title=""/>
          </v:shape>
          <o:OLEObject Type="Embed" ProgID="Equation.3" ShapeID="_x0000_i1039" DrawAspect="Content" ObjectID="_1309872877" r:id="rId89"/>
        </w:object>
      </w:r>
    </w:p>
    <w:p w14:paraId="15F62412" w14:textId="77777777" w:rsidR="00676ADB" w:rsidRPr="00E41079" w:rsidRDefault="00676ADB" w:rsidP="00676ADB">
      <w:r w:rsidRPr="00E41079">
        <w:t xml:space="preserve">This is identical to </w:t>
      </w:r>
      <w:r w:rsidRPr="00E41079">
        <w:rPr>
          <w:position w:val="-12"/>
        </w:rPr>
        <w:object w:dxaOrig="460" w:dyaOrig="400" w14:anchorId="6380FCBD">
          <v:shape id="_x0000_i1040" type="#_x0000_t75" style="width:23pt;height:20pt" o:ole="">
            <v:imagedata r:id="rId90" o:title=""/>
          </v:shape>
          <o:OLEObject Type="Embed" ProgID="Equation.3" ShapeID="_x0000_i1040" DrawAspect="Content" ObjectID="_1309872878" r:id="rId91"/>
        </w:object>
      </w:r>
      <w:r w:rsidRPr="00E41079">
        <w:t xml:space="preserve">from the main text. However, as Weir and Hill suggest that estimates be “simply averaged over loci”, we believe that the WH-ML estimator is comparable, in the case of equal sample sizes, to Nei’s </w:t>
      </w:r>
      <w:r w:rsidRPr="00E41079">
        <w:rPr>
          <w:i/>
        </w:rPr>
        <w:t>F</w:t>
      </w:r>
      <w:r w:rsidRPr="00E41079">
        <w:rPr>
          <w:vertAlign w:val="subscript"/>
        </w:rPr>
        <w:t>ST</w:t>
      </w:r>
      <w:r w:rsidRPr="00E41079">
        <w:t xml:space="preserve"> combined over SNPs using an average of ratios. Use of an average of ratios will be highly sensitive to the inclusion of rare variants with low </w:t>
      </w:r>
      <w:r w:rsidRPr="00E41079">
        <w:rPr>
          <w:i/>
        </w:rPr>
        <w:t>F</w:t>
      </w:r>
      <w:r w:rsidRPr="00E41079">
        <w:rPr>
          <w:vertAlign w:val="subscript"/>
        </w:rPr>
        <w:t>ST</w:t>
      </w:r>
      <w:r w:rsidRPr="00E41079">
        <w:t xml:space="preserve">, and Nei’s estimator will tend to overestimate </w:t>
      </w:r>
      <w:r w:rsidRPr="00E41079">
        <w:rPr>
          <w:i/>
        </w:rPr>
        <w:t>F</w:t>
      </w:r>
      <w:r w:rsidRPr="00E41079">
        <w:rPr>
          <w:vertAlign w:val="subscript"/>
        </w:rPr>
        <w:t>ST</w:t>
      </w:r>
      <w:r w:rsidRPr="00E41079">
        <w:t xml:space="preserve"> at single SNPs. As a result, we do not recommend the WH-ML approach for estimating </w:t>
      </w:r>
      <w:r w:rsidRPr="00E41079">
        <w:rPr>
          <w:i/>
        </w:rPr>
        <w:t>F</w:t>
      </w:r>
      <w:r w:rsidRPr="00E41079">
        <w:rPr>
          <w:vertAlign w:val="subscript"/>
        </w:rPr>
        <w:t>ST</w:t>
      </w:r>
      <w:r w:rsidRPr="00E41079">
        <w:t>.</w:t>
      </w:r>
    </w:p>
    <w:p w14:paraId="1ED2772B" w14:textId="77777777" w:rsidR="00676ADB" w:rsidRPr="00E41079" w:rsidRDefault="00676ADB" w:rsidP="00676ADB">
      <w:pPr>
        <w:rPr>
          <w:b/>
        </w:rPr>
      </w:pPr>
    </w:p>
    <w:p w14:paraId="0B32820B" w14:textId="77777777" w:rsidR="0081143A" w:rsidRDefault="0081143A" w:rsidP="00676ADB"/>
    <w:p w14:paraId="2BB3962C" w14:textId="77777777" w:rsidR="0081143A" w:rsidRPr="0033263A" w:rsidRDefault="00527E39" w:rsidP="0081143A">
      <w:pPr>
        <w:pStyle w:val="Heading1"/>
      </w:pPr>
      <w:bookmarkStart w:id="83" w:name="_Toc232440790"/>
      <w:bookmarkStart w:id="84" w:name="_Toc232704459"/>
      <w:bookmarkStart w:id="85" w:name="_Toc232777583"/>
      <w:r>
        <w:t xml:space="preserve">Beta-Binomial </w:t>
      </w:r>
      <w:r w:rsidR="00785566">
        <w:t>Maximum-Likelihood Estimator</w:t>
      </w:r>
      <w:r>
        <w:t>s</w:t>
      </w:r>
      <w:r w:rsidR="0081143A">
        <w:t xml:space="preserve"> </w:t>
      </w:r>
      <w:r w:rsidR="0081143A" w:rsidRPr="0033263A">
        <w:t>(</w:t>
      </w:r>
      <w:r w:rsidR="0081143A">
        <w:t>Balding</w:t>
      </w:r>
      <w:r w:rsidR="0081143A" w:rsidRPr="0033263A">
        <w:t>)</w:t>
      </w:r>
      <w:bookmarkEnd w:id="83"/>
      <w:bookmarkEnd w:id="84"/>
      <w:bookmarkEnd w:id="85"/>
    </w:p>
    <w:p w14:paraId="2394D5FA" w14:textId="77777777" w:rsidR="00676ADB" w:rsidRDefault="00676ADB"/>
    <w:p w14:paraId="1FE18FF2" w14:textId="77777777" w:rsidR="008361A2" w:rsidRDefault="008361A2">
      <w:r>
        <w:t xml:space="preserve">In general, likelihood methods have </w:t>
      </w:r>
      <w:r w:rsidR="00527E39">
        <w:t xml:space="preserve">the </w:t>
      </w:r>
      <w:r>
        <w:t>advantages that they can be more precise than moment-based methods</w:t>
      </w:r>
      <w:r w:rsidR="00527E39">
        <w:t xml:space="preserve">, </w:t>
      </w:r>
      <w:r>
        <w:t xml:space="preserve">can have asymmetric </w:t>
      </w:r>
      <w:r w:rsidR="00777ED9">
        <w:t xml:space="preserve">confidence </w:t>
      </w:r>
      <w:r>
        <w:t>intervals</w:t>
      </w:r>
      <w:r w:rsidR="00777ED9">
        <w:t xml:space="preserve"> around the mean</w:t>
      </w:r>
      <w:r>
        <w:t xml:space="preserve">, and can be used to construct a test for outlier loci. </w:t>
      </w:r>
      <w:r w:rsidR="00527E39">
        <w:t>W</w:t>
      </w:r>
      <w:r w:rsidR="00785566">
        <w:t>e evaluated two max-likelihood methods based on the beta-binomial</w:t>
      </w:r>
      <w:r>
        <w:t xml:space="preserve"> distribution </w:t>
      </w:r>
      <w:r w:rsidR="00862942">
        <w:fldChar w:fldCharType="begin"/>
      </w:r>
      <w:r w:rsidR="00D73545">
        <w:instrText xml:space="preserve"> ADDIN PAPERS2_CITATIONS &lt;citation&gt;&lt;uuid&gt;EE41C837-E204-40CF-9A39-6D6DF8B1F246&lt;/uuid&gt;&lt;priority&gt;15&lt;/priority&gt;&lt;publications&gt;&lt;publication&gt;&lt;uuid&gt;EF588B12-E206-42F0-B923-6B5F7E62BEA9&lt;/uuid&gt;&lt;volume&gt;96&lt;/volume&gt;&lt;doi&gt;10.1007/BF01441146&lt;/doi&gt;&lt;startpage&gt;3&lt;/startpage&gt;&lt;publication_date&gt;99199500001200000000200000&lt;/publication_date&gt;&lt;url&gt;http://link.springer.com/article/10.1007/BF01441146&lt;/url&gt;&lt;type&gt;400&lt;/type&gt;&lt;title&gt;A method for quantifying differentiation between populations at multi-allelic loci and its implications for investigating identity and paternity&lt;/title&gt;&lt;publisher&gt;Springer&lt;/publisher&gt;&lt;number&gt;1-2&lt;/number&gt;&lt;subtype&gt;400&lt;/subtype&gt;&lt;endpage&gt;12&lt;/endpage&gt;&lt;bundle&gt;&lt;publication&gt;&lt;publisher&gt;Kluwer Academic Publishers&lt;/publisher&gt;&lt;url&gt;http://link.springer.com&lt;/url&gt;&lt;title&gt;Genetica&lt;/title&gt;&lt;type&gt;-100&lt;/type&gt;&lt;subtype&gt;-100&lt;/subtype&gt;&lt;uuid&gt;903C54DD-3BA7-49F9-B9AD-A0F446BBD1FB&lt;/uuid&gt;&lt;/publication&gt;&lt;/bundle&gt;&lt;authors&gt;&lt;author&gt;&lt;firstName&gt;David&lt;/firstName&gt;&lt;middleNames&gt;J&lt;/middleNames&gt;&lt;lastName&gt;Balding&lt;/lastName&gt;&lt;/author&gt;&lt;author&gt;&lt;firstName&gt;Richard&lt;/firstName&gt;&lt;middleNames&gt;A&lt;/middleNames&gt;&lt;lastName&gt;Nichols&lt;/lastName&gt;&lt;/author&gt;&lt;/authors&gt;&lt;/publication&gt;&lt;/publications&gt;&lt;cites&gt;&lt;/cites&gt;&lt;/citation&gt;</w:instrText>
      </w:r>
      <w:r w:rsidR="00862942">
        <w:fldChar w:fldCharType="separate"/>
      </w:r>
      <w:r w:rsidR="00D73545">
        <w:rPr>
          <w:rFonts w:cs="Cambria"/>
        </w:rPr>
        <w:t>(Balding and Nichols 1995)</w:t>
      </w:r>
      <w:r w:rsidR="00862942">
        <w:fldChar w:fldCharType="end"/>
      </w:r>
      <w:r w:rsidR="00785566">
        <w:t>.</w:t>
      </w:r>
      <w:r>
        <w:t xml:space="preserve"> The beta-binomial likelihood specifies that the distribution of population allele frequencies in current populations conditional on the ancestral allele frequency is beta:</w:t>
      </w:r>
    </w:p>
    <w:p w14:paraId="2B5BEC44" w14:textId="77777777" w:rsidR="008361A2" w:rsidRDefault="008361A2" w:rsidP="008361A2">
      <w:pPr>
        <w:jc w:val="center"/>
      </w:pPr>
      <w:r w:rsidRPr="008361A2">
        <w:rPr>
          <w:position w:val="-30"/>
        </w:rPr>
        <w:object w:dxaOrig="3560" w:dyaOrig="680" w14:anchorId="666CCCBA">
          <v:shape id="_x0000_i1041" type="#_x0000_t75" style="width:178pt;height:34pt" o:ole="">
            <v:imagedata r:id="rId92" o:title=""/>
          </v:shape>
          <o:OLEObject Type="Embed" ProgID="Equation.3" ShapeID="_x0000_i1041" DrawAspect="Content" ObjectID="_1309872879" r:id="rId93"/>
        </w:object>
      </w:r>
    </w:p>
    <w:p w14:paraId="0083ACC5" w14:textId="77777777" w:rsidR="008361A2" w:rsidRDefault="008361A2">
      <w:proofErr w:type="gramStart"/>
      <w:r>
        <w:t>where</w:t>
      </w:r>
      <w:proofErr w:type="gramEnd"/>
      <w:r>
        <w:t xml:space="preserve"> </w:t>
      </w:r>
      <w:r>
        <w:rPr>
          <w:i/>
        </w:rPr>
        <w:t>p</w:t>
      </w:r>
      <w:r>
        <w:t xml:space="preserve"> is the allele frequency in the ancestral population and </w:t>
      </w:r>
      <w:r w:rsidRPr="008361A2">
        <w:rPr>
          <w:position w:val="-10"/>
        </w:rPr>
        <w:object w:dxaOrig="580" w:dyaOrig="320" w14:anchorId="76F6F540">
          <v:shape id="_x0000_i1042" type="#_x0000_t75" style="width:29pt;height:16pt" o:ole="">
            <v:imagedata r:id="rId94" o:title=""/>
          </v:shape>
          <o:OLEObject Type="Embed" ProgID="Equation.3" ShapeID="_x0000_i1042" DrawAspect="Content" ObjectID="_1309872880" r:id="rId95"/>
        </w:object>
      </w:r>
      <w:r>
        <w:t xml:space="preserve">are allele frequencies in current populations. Additionally, derived allele counts in each </w:t>
      </w:r>
      <w:r w:rsidR="00D62899">
        <w:t xml:space="preserve">sample </w:t>
      </w:r>
      <w:r>
        <w:t xml:space="preserve">are binomially distributed. A challenge when using this distribution is the unobserved ancestral allele frequency </w:t>
      </w:r>
      <w:r>
        <w:rPr>
          <w:i/>
        </w:rPr>
        <w:t>p.</w:t>
      </w:r>
      <w:r>
        <w:t xml:space="preserve"> We </w:t>
      </w:r>
      <w:r w:rsidR="00143682">
        <w:t xml:space="preserve">evaluated two methods to </w:t>
      </w:r>
      <w:r w:rsidR="00527E39">
        <w:t xml:space="preserve">address </w:t>
      </w:r>
      <w:r w:rsidR="00143682">
        <w:t>this via point estimates</w:t>
      </w:r>
      <w:r w:rsidR="00777ED9">
        <w:t xml:space="preserve"> (D. Balding, personal communication)</w:t>
      </w:r>
      <w:r w:rsidR="00143682">
        <w:t>:</w:t>
      </w:r>
    </w:p>
    <w:p w14:paraId="5687C0A8" w14:textId="77777777" w:rsidR="00143682" w:rsidRDefault="00143682" w:rsidP="00143682">
      <w:pPr>
        <w:pStyle w:val="ListParagraph"/>
        <w:numPr>
          <w:ilvl w:val="0"/>
          <w:numId w:val="10"/>
        </w:numPr>
      </w:pPr>
      <w:r>
        <w:t>We assume that the ancestral allele frequency is known. This is rarely the case in practice, but gives us insight into how well these types of methods can do if the ancestral allele frequency were known.</w:t>
      </w:r>
      <w:r w:rsidR="00306728">
        <w:t xml:space="preserve"> In this case, we can write the likelihood given the observed data as</w:t>
      </w:r>
    </w:p>
    <w:p w14:paraId="30F6C4A0" w14:textId="77777777" w:rsidR="00777ED9" w:rsidRDefault="00B946B7">
      <w:pPr>
        <w:pStyle w:val="ListParagraph"/>
        <w:jc w:val="center"/>
        <w:rPr>
          <w:position w:val="-30"/>
        </w:rPr>
      </w:pPr>
      <w:r w:rsidRPr="00C41C1A">
        <w:rPr>
          <w:position w:val="-78"/>
        </w:rPr>
        <w:object w:dxaOrig="6300" w:dyaOrig="1680" w14:anchorId="7B2B97D9">
          <v:shape id="_x0000_i1043" type="#_x0000_t75" style="width:315pt;height:83pt" o:ole="">
            <v:imagedata r:id="rId96" o:title=""/>
          </v:shape>
          <o:OLEObject Type="Embed" ProgID="Equation.3" ShapeID="_x0000_i1043" DrawAspect="Content" ObjectID="_1309872881" r:id="rId97"/>
        </w:object>
      </w:r>
    </w:p>
    <w:p w14:paraId="05E1FA08" w14:textId="77777777" w:rsidR="00777ED9" w:rsidRDefault="00C41C1A">
      <w:pPr>
        <w:pStyle w:val="ListParagraph"/>
        <w:rPr>
          <w:position w:val="-30"/>
        </w:rPr>
      </w:pPr>
      <w:r>
        <w:rPr>
          <w:position w:val="-30"/>
        </w:rPr>
        <w:t xml:space="preserve"> </w:t>
      </w:r>
      <w:r>
        <w:t xml:space="preserve">Here, </w:t>
      </w:r>
      <w:r w:rsidRPr="00AF2F96">
        <w:rPr>
          <w:position w:val="-10"/>
        </w:rPr>
        <w:object w:dxaOrig="540" w:dyaOrig="360" w14:anchorId="526D6CEC">
          <v:shape id="_x0000_i1044" type="#_x0000_t75" style="width:27pt;height:18pt" o:ole="">
            <v:imagedata r:id="rId98" o:title=""/>
          </v:shape>
          <o:OLEObject Type="Embed" ProgID="Equation.3" ShapeID="_x0000_i1044" DrawAspect="Content" ObjectID="_1309872882" r:id="rId99"/>
        </w:object>
      </w:r>
      <w:r>
        <w:t xml:space="preserve">are the derived allele count and total number of genotyped alleles at SNP </w:t>
      </w:r>
      <w:r>
        <w:rPr>
          <w:i/>
        </w:rPr>
        <w:t xml:space="preserve">s </w:t>
      </w:r>
      <w:r>
        <w:t xml:space="preserve">in population </w:t>
      </w:r>
      <w:proofErr w:type="spellStart"/>
      <w:r>
        <w:rPr>
          <w:i/>
        </w:rPr>
        <w:t>i</w:t>
      </w:r>
      <w:proofErr w:type="spellEnd"/>
      <w:r>
        <w:rPr>
          <w:i/>
        </w:rPr>
        <w:t>,</w:t>
      </w:r>
      <w:r>
        <w:t xml:space="preserve"> and </w:t>
      </w:r>
      <w:proofErr w:type="spellStart"/>
      <w:r>
        <w:rPr>
          <w:i/>
        </w:rPr>
        <w:t>p</w:t>
      </w:r>
      <w:r>
        <w:rPr>
          <w:i/>
          <w:vertAlign w:val="subscript"/>
        </w:rPr>
        <w:t>s</w:t>
      </w:r>
      <w:proofErr w:type="spellEnd"/>
      <w:r>
        <w:rPr>
          <w:i/>
        </w:rPr>
        <w:t xml:space="preserve"> </w:t>
      </w:r>
      <w:r>
        <w:t>is the ancestral allele frequency that is assumed known.</w:t>
      </w:r>
    </w:p>
    <w:p w14:paraId="4941B875" w14:textId="77777777" w:rsidR="00143682" w:rsidRDefault="00143682" w:rsidP="00143682">
      <w:pPr>
        <w:pStyle w:val="ListParagraph"/>
        <w:numPr>
          <w:ilvl w:val="0"/>
          <w:numId w:val="10"/>
        </w:numPr>
      </w:pPr>
      <w:r>
        <w:t>We use one of the current population allele frequencies as the ancestral allele frequency. That is, we assume</w:t>
      </w:r>
    </w:p>
    <w:p w14:paraId="794E3924" w14:textId="77777777" w:rsidR="00143682" w:rsidRDefault="00143682" w:rsidP="00143682">
      <w:pPr>
        <w:pStyle w:val="ListParagraph"/>
        <w:jc w:val="center"/>
      </w:pPr>
      <w:r w:rsidRPr="008361A2">
        <w:rPr>
          <w:position w:val="-30"/>
        </w:rPr>
        <w:object w:dxaOrig="3700" w:dyaOrig="680" w14:anchorId="4AF874C6">
          <v:shape id="_x0000_i1045" type="#_x0000_t75" style="width:185pt;height:34pt" o:ole="">
            <v:imagedata r:id="rId100" o:title=""/>
          </v:shape>
          <o:OLEObject Type="Embed" ProgID="Equation.3" ShapeID="_x0000_i1045" DrawAspect="Content" ObjectID="_1309872883" r:id="rId101"/>
        </w:object>
      </w:r>
    </w:p>
    <w:p w14:paraId="48F315B6" w14:textId="77777777" w:rsidR="00777ED9" w:rsidRDefault="00143682">
      <w:pPr>
        <w:pStyle w:val="ListParagraph"/>
      </w:pPr>
      <w:proofErr w:type="gramStart"/>
      <w:r>
        <w:t>and</w:t>
      </w:r>
      <w:proofErr w:type="gramEnd"/>
      <w:r>
        <w:t xml:space="preserve"> estimate </w:t>
      </w:r>
      <w:r w:rsidRPr="001C257D">
        <w:rPr>
          <w:i/>
        </w:rPr>
        <w:t>F</w:t>
      </w:r>
      <w:r w:rsidRPr="001C257D">
        <w:rPr>
          <w:vertAlign w:val="subscript"/>
        </w:rPr>
        <w:t>ST</w:t>
      </w:r>
      <w:r>
        <w:t xml:space="preserve"> </w:t>
      </w:r>
      <w:r w:rsidR="00C41C1A">
        <w:t>In this case, we can write the likelihood given the observed data as</w:t>
      </w:r>
    </w:p>
    <w:p w14:paraId="3094B5DE" w14:textId="77777777" w:rsidR="00C41C1A" w:rsidRDefault="00B946B7" w:rsidP="00C41C1A">
      <w:pPr>
        <w:pStyle w:val="ListParagraph"/>
        <w:rPr>
          <w:position w:val="-30"/>
        </w:rPr>
      </w:pPr>
      <w:r w:rsidRPr="00B946B7">
        <w:rPr>
          <w:position w:val="-132"/>
        </w:rPr>
        <w:object w:dxaOrig="6600" w:dyaOrig="2420" w14:anchorId="38A49E01">
          <v:shape id="_x0000_i1046" type="#_x0000_t75" style="width:330pt;height:120pt" o:ole="">
            <v:imagedata r:id="rId102" o:title=""/>
          </v:shape>
          <o:OLEObject Type="Embed" ProgID="Equation.3" ShapeID="_x0000_i1046" DrawAspect="Content" ObjectID="_1309872884" r:id="rId103"/>
        </w:object>
      </w:r>
    </w:p>
    <w:p w14:paraId="5411DBD1" w14:textId="77777777" w:rsidR="00C41C1A" w:rsidRPr="00C41C1A" w:rsidRDefault="00C41C1A" w:rsidP="00C41C1A">
      <w:pPr>
        <w:pStyle w:val="ListParagraph"/>
        <w:rPr>
          <w:position w:val="-30"/>
        </w:rPr>
      </w:pPr>
      <w:r>
        <w:rPr>
          <w:position w:val="-30"/>
        </w:rPr>
        <w:t xml:space="preserve"> </w:t>
      </w:r>
      <w:r>
        <w:t xml:space="preserve">Again, </w:t>
      </w:r>
      <w:r w:rsidRPr="00AF2F96">
        <w:rPr>
          <w:position w:val="-10"/>
        </w:rPr>
        <w:object w:dxaOrig="540" w:dyaOrig="360" w14:anchorId="1E4E708B">
          <v:shape id="_x0000_i1047" type="#_x0000_t75" style="width:27pt;height:18pt" o:ole="">
            <v:imagedata r:id="rId104" o:title=""/>
          </v:shape>
          <o:OLEObject Type="Embed" ProgID="Equation.3" ShapeID="_x0000_i1047" DrawAspect="Content" ObjectID="_1309872885" r:id="rId105"/>
        </w:object>
      </w:r>
      <w:r>
        <w:t xml:space="preserve">are the derived allele count and total number of genotyped alleles at SNP </w:t>
      </w:r>
      <w:r>
        <w:rPr>
          <w:i/>
        </w:rPr>
        <w:t xml:space="preserve">s </w:t>
      </w:r>
      <w:r>
        <w:t xml:space="preserve">in population </w:t>
      </w:r>
      <w:proofErr w:type="spellStart"/>
      <w:r>
        <w:rPr>
          <w:i/>
        </w:rPr>
        <w:t>i</w:t>
      </w:r>
      <w:proofErr w:type="spellEnd"/>
      <w:r>
        <w:rPr>
          <w:i/>
        </w:rPr>
        <w:t>,</w:t>
      </w:r>
      <w:r>
        <w:t xml:space="preserve"> but the pseudo-ancestral allele frequency is estimated in the other population. (</w:t>
      </w:r>
      <w:proofErr w:type="gramStart"/>
      <w:r>
        <w:t>note</w:t>
      </w:r>
      <w:proofErr w:type="gramEnd"/>
      <w:r>
        <w:t xml:space="preserve"> that this method produces different estimates if </w:t>
      </w:r>
      <w:r w:rsidRPr="00D62899">
        <w:rPr>
          <w:position w:val="-10"/>
        </w:rPr>
        <w:object w:dxaOrig="260" w:dyaOrig="320" w14:anchorId="424058B7">
          <v:shape id="_x0000_i1048" type="#_x0000_t75" style="width:13pt;height:16pt" o:ole="">
            <v:imagedata r:id="rId106" o:title=""/>
          </v:shape>
          <o:OLEObject Type="Embed" ProgID="Equation.3" ShapeID="_x0000_i1048" DrawAspect="Content" ObjectID="_1309872886" r:id="rId107"/>
        </w:object>
      </w:r>
      <w:r>
        <w:t xml:space="preserve">or </w:t>
      </w:r>
      <w:r w:rsidRPr="00D62899">
        <w:rPr>
          <w:position w:val="-10"/>
        </w:rPr>
        <w:object w:dxaOrig="280" w:dyaOrig="320" w14:anchorId="3998449D">
          <v:shape id="_x0000_i1049" type="#_x0000_t75" style="width:14pt;height:16pt" o:ole="">
            <v:imagedata r:id="rId108" o:title=""/>
          </v:shape>
          <o:OLEObject Type="Embed" ProgID="Equation.3" ShapeID="_x0000_i1049" DrawAspect="Content" ObjectID="_1309872887" r:id="rId109"/>
        </w:object>
      </w:r>
      <w:r>
        <w:t xml:space="preserve">is used as ancestral, so both choices are used and the result is averaged).  </w:t>
      </w:r>
    </w:p>
    <w:p w14:paraId="4C2AB66B" w14:textId="77777777" w:rsidR="00D62899" w:rsidRPr="00143682" w:rsidRDefault="00D62899" w:rsidP="00D62899">
      <w:pPr>
        <w:pStyle w:val="ListParagraph"/>
      </w:pPr>
    </w:p>
    <w:p w14:paraId="1DA50A61" w14:textId="77777777" w:rsidR="008361A2" w:rsidRDefault="00B946B7">
      <w:r>
        <w:t>Both of these likelihood functions can be maximized using</w:t>
      </w:r>
      <w:r w:rsidR="00D62899">
        <w:t xml:space="preserve"> standard numerical techniques</w:t>
      </w:r>
      <w:r>
        <w:t xml:space="preserve"> (we use a grid search)</w:t>
      </w:r>
      <w:r w:rsidR="00D62899">
        <w:t xml:space="preserve">. </w:t>
      </w:r>
      <w:r w:rsidR="008361A2">
        <w:t xml:space="preserve"> While others have attempted to estimate </w:t>
      </w:r>
      <w:r w:rsidR="008361A2" w:rsidRPr="001C257D">
        <w:rPr>
          <w:i/>
        </w:rPr>
        <w:t>F</w:t>
      </w:r>
      <w:r w:rsidR="008361A2" w:rsidRPr="001C257D">
        <w:rPr>
          <w:vertAlign w:val="subscript"/>
        </w:rPr>
        <w:t>ST</w:t>
      </w:r>
      <w:r w:rsidR="008361A2">
        <w:t xml:space="preserve"> using beta-binomial by using MCMC </w:t>
      </w:r>
      <w:r w:rsidR="00862942">
        <w:fldChar w:fldCharType="begin"/>
      </w:r>
      <w:r w:rsidR="00D73545">
        <w:instrText xml:space="preserve"> ADDIN PAPERS2_CITATIONS &lt;citation&gt;&lt;uuid&gt;5D671F94-4500-4CC7-B8C8-9535242B88AD&lt;/uuid&gt;&lt;priority&gt;16&lt;/priority&gt;&lt;publications&gt;&lt;publication&gt;&lt;uuid&gt;541A6A3C-72DD-4213-B15F-0D500A889351&lt;/uuid&gt;&lt;volume&gt;130&lt;/volume&gt;&lt;doi&gt;10.1111/j.1601-5223.1999.00245.x&lt;/doi&gt;&lt;startpage&gt;245&lt;/startpage&gt;&lt;publication_date&gt;99199900001200000000200000&lt;/publication_date&gt;&lt;url&gt;http://dx.doi.org/10.1111/j.1601-5223.1999.00245.x&lt;/url&gt;&lt;citekey&gt;RefWorks:151&lt;/citekey&gt;&lt;type&gt;400&lt;/type&gt;&lt;title&gt;Analysis of Genetic Diversity in Geographically Structured Populations: A Bayesian Perspective&lt;/title&gt;&lt;publisher&gt;Munksgaard International Publishers&lt;/publisher&gt;&lt;number&gt;3&lt;/number&gt;&lt;subtype&gt;400&lt;/subtype&gt;&lt;endpage&gt;255&lt;/endpage&gt;&lt;bundle&gt;&lt;publication&gt;&lt;title&gt;Hereditas&lt;/title&gt;&lt;type&gt;-100&lt;/type&gt;&lt;subtype&gt;-100&lt;/subtype&gt;&lt;uuid&gt;7F748748-B4D4-4D13-8C53-D84707B345AE&lt;/uuid&gt;&lt;/publication&gt;&lt;/bundle&gt;&lt;authors&gt;&lt;author&gt;&lt;firstName&gt;Kent&lt;/firstName&gt;&lt;middleNames&gt;E&lt;/middleNames&gt;&lt;lastName&gt;Holsinger&lt;/lastName&gt;&lt;/author&gt;&lt;/authors&gt;&lt;/publication&gt;&lt;publication&gt;&lt;uuid&gt;283983E7-A18D-4E52-B638-F95E6D09C819&lt;/uuid&gt;&lt;volume&gt;63&lt;/volume&gt;&lt;doi&gt;10.1038/nrg1226&lt;/doi&gt;&lt;startpage&gt;221&lt;/startpage&gt;&lt;publication_date&gt;99200305001200000000220000&lt;/publication_date&gt;&lt;url&gt;http://eutils.ncbi.nlm.nih.gov/entrez/eutils/elink.fcgi?dbfrom=pubmed&amp;amp;id=12689793&amp;amp;retmode=ref&amp;amp;cmd=prlinks&lt;/url&gt;&lt;type&gt;400&lt;/type&gt;&lt;title&gt;Likelihood-based inference for genetic correlation coefficients.&lt;/title&gt;&lt;location&gt;200,6,51.5164901,-0.1720890&lt;/location&gt;&lt;institution&gt;Department of Epidemiology and Public Health, Imperial College, St Mary's Campus, Norfolk Place, London W2 1PG, UK. d.balding@imperial.ac.uk&lt;/institution&gt;&lt;number&gt;3&lt;/number&gt;&lt;subtype&gt;400&lt;/subtype&gt;&lt;endpage&gt;230&lt;/endpage&gt;&lt;bundle&gt;&lt;publication&gt;&lt;title&gt;Theoretical population biology&lt;/title&gt;&lt;type&gt;-100&lt;/type&gt;&lt;subtype&gt;-100&lt;/subtype&gt;&lt;uuid&gt;0AC873A2-C507-4CC3-A91B-E4B1B382BB1F&lt;/uuid&gt;&lt;/publication&gt;&lt;/bundle&gt;&lt;authors&gt;&lt;author&gt;&lt;firstName&gt;David&lt;/firstName&gt;&lt;middleNames&gt;J&lt;/middleNames&gt;&lt;lastName&gt;Balding&lt;/lastName&gt;&lt;/author&gt;&lt;/authors&gt;&lt;/publication&gt;&lt;/publications&gt;&lt;cites&gt;&lt;/cites&gt;&lt;/citation&gt;</w:instrText>
      </w:r>
      <w:r w:rsidR="00862942">
        <w:fldChar w:fldCharType="separate"/>
      </w:r>
      <w:r w:rsidR="00D73545">
        <w:rPr>
          <w:rFonts w:cs="Cambria"/>
        </w:rPr>
        <w:t>(Holsinger 1999; Balding 2003)</w:t>
      </w:r>
      <w:r w:rsidR="00862942">
        <w:fldChar w:fldCharType="end"/>
      </w:r>
      <w:r w:rsidR="008361A2">
        <w:t xml:space="preserve">, </w:t>
      </w:r>
      <w:r w:rsidR="00D62899">
        <w:t>we note that these are</w:t>
      </w:r>
      <w:r w:rsidR="008361A2">
        <w:t xml:space="preserve"> max-likelihood estimators that do not suffer from the same performance issues as MCMC approaches. </w:t>
      </w:r>
    </w:p>
    <w:p w14:paraId="5F8BE71B" w14:textId="77777777" w:rsidR="00D62899" w:rsidRDefault="00D62899">
      <w:r>
        <w:tab/>
        <w:t xml:space="preserve">We evaluated these methods using </w:t>
      </w:r>
      <w:r w:rsidR="00C555DF">
        <w:t>simple simulations, coalescent</w:t>
      </w:r>
      <w:r w:rsidR="00B946B7">
        <w:t xml:space="preserve"> </w:t>
      </w:r>
      <w:r w:rsidR="00C555DF">
        <w:t>simulations, and 1000 Genomes data.</w:t>
      </w:r>
    </w:p>
    <w:p w14:paraId="152DD5AC" w14:textId="77777777" w:rsidR="00C555DF" w:rsidRDefault="00C555DF"/>
    <w:p w14:paraId="1A6AD950" w14:textId="77777777" w:rsidR="00C555DF" w:rsidRPr="00C555DF" w:rsidRDefault="00C555DF">
      <w:pPr>
        <w:rPr>
          <w:b/>
        </w:rPr>
      </w:pPr>
      <w:r>
        <w:rPr>
          <w:b/>
        </w:rPr>
        <w:t>Simple Simulations</w:t>
      </w:r>
    </w:p>
    <w:p w14:paraId="101FA3E3" w14:textId="77777777" w:rsidR="00D62899" w:rsidRDefault="00D62899" w:rsidP="00C555DF">
      <w:r>
        <w:t>In these simulations, the ancestral allele frequency was chosen uniformly from the interval [0,1], current population allele frequencies were sampled from the beta distribution described above, and sample allele frequencies are subsequently from a binomial distribution.</w:t>
      </w:r>
      <w:r w:rsidR="00563709">
        <w:t xml:space="preserve"> </w:t>
      </w:r>
      <w:r w:rsidR="00C555DF">
        <w:t xml:space="preserve">In this case, the data was generated according the model expected by the beta-binomial, with a uniform prior. Results are in the table below </w:t>
      </w:r>
    </w:p>
    <w:p w14:paraId="28DEFC6E" w14:textId="77777777" w:rsidR="00C555DF" w:rsidRDefault="00C555DF" w:rsidP="00C555DF"/>
    <w:p w14:paraId="0D86CDF3" w14:textId="77777777" w:rsidR="00C555DF" w:rsidRDefault="00C555DF" w:rsidP="00C555DF"/>
    <w:p w14:paraId="0797896B" w14:textId="77777777" w:rsidR="00C555DF" w:rsidRDefault="00C555DF" w:rsidP="00C555DF"/>
    <w:p w14:paraId="5B7F92CE" w14:textId="77777777" w:rsidR="00C555DF" w:rsidRDefault="00C555DF" w:rsidP="00C555DF"/>
    <w:p w14:paraId="482FC6DF" w14:textId="77777777" w:rsidR="00C555DF" w:rsidRDefault="00C555DF" w:rsidP="00C555DF"/>
    <w:p w14:paraId="6BED3146" w14:textId="77777777" w:rsidR="00C555DF" w:rsidRDefault="00C555DF" w:rsidP="00C555DF"/>
    <w:tbl>
      <w:tblPr>
        <w:tblpPr w:leftFromText="180" w:rightFromText="180" w:vertAnchor="text" w:horzAnchor="page" w:tblpXSpec="center" w:tblpY="-1477"/>
        <w:tblW w:w="6940" w:type="dxa"/>
        <w:tblLook w:val="04A0" w:firstRow="1" w:lastRow="0" w:firstColumn="1" w:lastColumn="0" w:noHBand="0" w:noVBand="1"/>
      </w:tblPr>
      <w:tblGrid>
        <w:gridCol w:w="1300"/>
        <w:gridCol w:w="1880"/>
        <w:gridCol w:w="1880"/>
        <w:gridCol w:w="1880"/>
      </w:tblGrid>
      <w:tr w:rsidR="00C555DF" w:rsidRPr="00CF21C1" w14:paraId="7660F3FD" w14:textId="77777777" w:rsidTr="00764D0A">
        <w:trPr>
          <w:trHeight w:val="34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4996"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i/>
                <w:iCs/>
                <w:color w:val="000000"/>
              </w:rPr>
              <w:t>F</w:t>
            </w:r>
            <w:r w:rsidRPr="00CF21C1">
              <w:rPr>
                <w:rFonts w:ascii="Calibri" w:eastAsia="Times New Roman" w:hAnsi="Calibri"/>
                <w:color w:val="000000"/>
                <w:vertAlign w:val="subscript"/>
              </w:rPr>
              <w:t>ST</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87BBC68"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Method 1</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1DF7D579"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Method 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47C547D1"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Hudson Estimator</w:t>
            </w:r>
          </w:p>
        </w:tc>
      </w:tr>
      <w:tr w:rsidR="00C555DF" w:rsidRPr="00CF21C1" w14:paraId="35CCC956" w14:textId="77777777" w:rsidTr="00764D0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7D33AA"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0.05</w:t>
            </w:r>
          </w:p>
        </w:tc>
        <w:tc>
          <w:tcPr>
            <w:tcW w:w="1880" w:type="dxa"/>
            <w:tcBorders>
              <w:top w:val="nil"/>
              <w:left w:val="nil"/>
              <w:bottom w:val="single" w:sz="4" w:space="0" w:color="auto"/>
              <w:right w:val="single" w:sz="4" w:space="0" w:color="auto"/>
            </w:tcBorders>
            <w:shd w:val="clear" w:color="auto" w:fill="auto"/>
            <w:noWrap/>
            <w:vAlign w:val="bottom"/>
            <w:hideMark/>
          </w:tcPr>
          <w:p w14:paraId="5E33B2E2"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0.050 (0.008)</w:t>
            </w:r>
          </w:p>
        </w:tc>
        <w:tc>
          <w:tcPr>
            <w:tcW w:w="1880" w:type="dxa"/>
            <w:tcBorders>
              <w:top w:val="nil"/>
              <w:left w:val="nil"/>
              <w:bottom w:val="single" w:sz="4" w:space="0" w:color="auto"/>
              <w:right w:val="single" w:sz="4" w:space="0" w:color="auto"/>
            </w:tcBorders>
            <w:shd w:val="clear" w:color="auto" w:fill="auto"/>
            <w:noWrap/>
            <w:vAlign w:val="bottom"/>
            <w:hideMark/>
          </w:tcPr>
          <w:p w14:paraId="006275CD"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0.049 (0.010)</w:t>
            </w:r>
          </w:p>
        </w:tc>
        <w:tc>
          <w:tcPr>
            <w:tcW w:w="1880" w:type="dxa"/>
            <w:tcBorders>
              <w:top w:val="nil"/>
              <w:left w:val="nil"/>
              <w:bottom w:val="single" w:sz="4" w:space="0" w:color="auto"/>
              <w:right w:val="single" w:sz="4" w:space="0" w:color="auto"/>
            </w:tcBorders>
            <w:shd w:val="clear" w:color="auto" w:fill="auto"/>
            <w:noWrap/>
            <w:vAlign w:val="bottom"/>
            <w:hideMark/>
          </w:tcPr>
          <w:p w14:paraId="5C4DF56A"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0.050 (0.014)</w:t>
            </w:r>
          </w:p>
        </w:tc>
      </w:tr>
      <w:tr w:rsidR="00C555DF" w:rsidRPr="00CF21C1" w14:paraId="0AFDF448" w14:textId="77777777" w:rsidTr="00764D0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54CAB4"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w:t>
            </w:r>
          </w:p>
        </w:tc>
        <w:tc>
          <w:tcPr>
            <w:tcW w:w="1880" w:type="dxa"/>
            <w:tcBorders>
              <w:top w:val="nil"/>
              <w:left w:val="nil"/>
              <w:bottom w:val="single" w:sz="4" w:space="0" w:color="auto"/>
              <w:right w:val="single" w:sz="4" w:space="0" w:color="auto"/>
            </w:tcBorders>
            <w:shd w:val="clear" w:color="auto" w:fill="auto"/>
            <w:noWrap/>
            <w:vAlign w:val="bottom"/>
            <w:hideMark/>
          </w:tcPr>
          <w:p w14:paraId="2BF1026E"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0.10 (0.013)</w:t>
            </w:r>
          </w:p>
        </w:tc>
        <w:tc>
          <w:tcPr>
            <w:tcW w:w="1880" w:type="dxa"/>
            <w:tcBorders>
              <w:top w:val="nil"/>
              <w:left w:val="nil"/>
              <w:bottom w:val="single" w:sz="4" w:space="0" w:color="auto"/>
              <w:right w:val="single" w:sz="4" w:space="0" w:color="auto"/>
            </w:tcBorders>
            <w:shd w:val="clear" w:color="auto" w:fill="auto"/>
            <w:noWrap/>
            <w:vAlign w:val="bottom"/>
            <w:hideMark/>
          </w:tcPr>
          <w:p w14:paraId="57F701CA"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0.085 (0.015)</w:t>
            </w:r>
          </w:p>
        </w:tc>
        <w:tc>
          <w:tcPr>
            <w:tcW w:w="1880" w:type="dxa"/>
            <w:tcBorders>
              <w:top w:val="nil"/>
              <w:left w:val="nil"/>
              <w:bottom w:val="single" w:sz="4" w:space="0" w:color="auto"/>
              <w:right w:val="single" w:sz="4" w:space="0" w:color="auto"/>
            </w:tcBorders>
            <w:shd w:val="clear" w:color="auto" w:fill="auto"/>
            <w:noWrap/>
            <w:vAlign w:val="bottom"/>
            <w:hideMark/>
          </w:tcPr>
          <w:p w14:paraId="3A0C7554"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0.098 (0.021)</w:t>
            </w:r>
          </w:p>
        </w:tc>
      </w:tr>
      <w:tr w:rsidR="00C555DF" w:rsidRPr="00CF21C1" w14:paraId="36216B9A" w14:textId="77777777" w:rsidTr="00764D0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911CB0"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0.15</w:t>
            </w:r>
          </w:p>
        </w:tc>
        <w:tc>
          <w:tcPr>
            <w:tcW w:w="1880" w:type="dxa"/>
            <w:tcBorders>
              <w:top w:val="nil"/>
              <w:left w:val="nil"/>
              <w:bottom w:val="single" w:sz="4" w:space="0" w:color="auto"/>
              <w:right w:val="single" w:sz="4" w:space="0" w:color="auto"/>
            </w:tcBorders>
            <w:shd w:val="clear" w:color="auto" w:fill="auto"/>
            <w:noWrap/>
            <w:vAlign w:val="bottom"/>
            <w:hideMark/>
          </w:tcPr>
          <w:p w14:paraId="19065E10"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0.151 (0.017)</w:t>
            </w:r>
          </w:p>
        </w:tc>
        <w:tc>
          <w:tcPr>
            <w:tcW w:w="1880" w:type="dxa"/>
            <w:tcBorders>
              <w:top w:val="nil"/>
              <w:left w:val="nil"/>
              <w:bottom w:val="single" w:sz="4" w:space="0" w:color="auto"/>
              <w:right w:val="single" w:sz="4" w:space="0" w:color="auto"/>
            </w:tcBorders>
            <w:shd w:val="clear" w:color="auto" w:fill="auto"/>
            <w:noWrap/>
            <w:vAlign w:val="bottom"/>
            <w:hideMark/>
          </w:tcPr>
          <w:p w14:paraId="2453424A"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0.120 (0.020)</w:t>
            </w:r>
          </w:p>
        </w:tc>
        <w:tc>
          <w:tcPr>
            <w:tcW w:w="1880" w:type="dxa"/>
            <w:tcBorders>
              <w:top w:val="nil"/>
              <w:left w:val="nil"/>
              <w:bottom w:val="single" w:sz="4" w:space="0" w:color="auto"/>
              <w:right w:val="single" w:sz="4" w:space="0" w:color="auto"/>
            </w:tcBorders>
            <w:shd w:val="clear" w:color="auto" w:fill="auto"/>
            <w:noWrap/>
            <w:vAlign w:val="bottom"/>
            <w:hideMark/>
          </w:tcPr>
          <w:p w14:paraId="2922C662" w14:textId="77777777" w:rsidR="00C555DF" w:rsidRPr="00CF21C1" w:rsidRDefault="00C555DF" w:rsidP="00764D0A">
            <w:pPr>
              <w:jc w:val="center"/>
              <w:rPr>
                <w:rFonts w:ascii="Calibri" w:eastAsia="Times New Roman" w:hAnsi="Calibri"/>
                <w:color w:val="000000"/>
              </w:rPr>
            </w:pPr>
            <w:r w:rsidRPr="00CF21C1">
              <w:rPr>
                <w:rFonts w:ascii="Calibri" w:eastAsia="Times New Roman" w:hAnsi="Calibri"/>
                <w:color w:val="000000"/>
              </w:rPr>
              <w:t>0.149 (0.028)</w:t>
            </w:r>
          </w:p>
        </w:tc>
      </w:tr>
    </w:tbl>
    <w:p w14:paraId="3B29D028" w14:textId="77777777" w:rsidR="00C555DF" w:rsidRDefault="00C555DF" w:rsidP="00C555DF"/>
    <w:p w14:paraId="4E2366DF" w14:textId="77777777" w:rsidR="00C555DF" w:rsidRDefault="00C555DF" w:rsidP="00C555DF">
      <w:r>
        <w:t xml:space="preserve">We compared each of the beta-binomial max-likelihood estimation methods to the Hudson estimator, which we recommend in the main text. All of the methods perform well for </w:t>
      </w:r>
      <w:r w:rsidRPr="001C257D">
        <w:rPr>
          <w:i/>
        </w:rPr>
        <w:t>F</w:t>
      </w:r>
      <w:r w:rsidRPr="001C257D">
        <w:rPr>
          <w:vertAlign w:val="subscript"/>
        </w:rPr>
        <w:t>ST</w:t>
      </w:r>
      <w:r>
        <w:t xml:space="preserve"> = 0.05, with the beta-binomial methods having a slightly smaller standard error than the moment-based Hudson estimator. As </w:t>
      </w:r>
      <w:r w:rsidRPr="001C257D">
        <w:rPr>
          <w:i/>
        </w:rPr>
        <w:t>F</w:t>
      </w:r>
      <w:r w:rsidRPr="001C257D">
        <w:rPr>
          <w:vertAlign w:val="subscript"/>
        </w:rPr>
        <w:t>ST</w:t>
      </w:r>
      <w:r>
        <w:t xml:space="preserve"> increases, Method 1 and the Hudson estimator continue to perform well with the Hudson estimator having a larger standard error. Method 2, however, reports lower estimates as </w:t>
      </w:r>
      <w:r w:rsidRPr="001C257D">
        <w:rPr>
          <w:i/>
        </w:rPr>
        <w:t>F</w:t>
      </w:r>
      <w:r w:rsidRPr="001C257D">
        <w:rPr>
          <w:vertAlign w:val="subscript"/>
        </w:rPr>
        <w:t>ST</w:t>
      </w:r>
      <w:r>
        <w:t xml:space="preserve"> gets large.</w:t>
      </w:r>
    </w:p>
    <w:p w14:paraId="3F2E58C5" w14:textId="77777777" w:rsidR="00C555DF" w:rsidRDefault="00C555DF" w:rsidP="00C555DF"/>
    <w:p w14:paraId="70105CA6" w14:textId="77777777" w:rsidR="00C555DF" w:rsidRDefault="00C555DF" w:rsidP="00C555DF">
      <w:r>
        <w:rPr>
          <w:b/>
        </w:rPr>
        <w:t>Coalescent S</w:t>
      </w:r>
      <w:r w:rsidRPr="00C555DF">
        <w:rPr>
          <w:b/>
        </w:rPr>
        <w:t>imulations</w:t>
      </w:r>
      <w:r>
        <w:t xml:space="preserve">. </w:t>
      </w:r>
    </w:p>
    <w:p w14:paraId="3EBF3967" w14:textId="77777777" w:rsidR="00C555DF" w:rsidRDefault="00C555DF" w:rsidP="00C555DF"/>
    <w:p w14:paraId="4909E9E0" w14:textId="77777777" w:rsidR="00C555DF" w:rsidRDefault="00C555DF" w:rsidP="00C555DF">
      <w:r>
        <w:t xml:space="preserve">The coalescent simulations were generated using GENOME </w:t>
      </w:r>
      <w:r w:rsidR="00862942">
        <w:fldChar w:fldCharType="begin"/>
      </w:r>
      <w:r w:rsidR="00D73545">
        <w:instrText xml:space="preserve"> ADDIN PAPERS2_CITATIONS &lt;citation&gt;&lt;uuid&gt;AFF9E73C-059E-45CD-B228-45AA892FB549&lt;/uuid&gt;&lt;priority&gt;17&lt;/priority&gt;&lt;publications&gt;&lt;publication&gt;&lt;uuid&gt;DFF58000-BC7B-4E0D-B09C-EDEE5A2E3EBE&lt;/uuid&gt;&lt;volume&gt;23&lt;/volume&gt;&lt;doi&gt;10.1093/bioinformatics/btm138&lt;/doi&gt;&lt;startpage&gt;1565&lt;/startpage&gt;&lt;publication_date&gt;99200706151200000000222000&lt;/publication_date&gt;&lt;url&gt;http://eutils.ncbi.nlm.nih.gov/entrez/eutils/elink.fcgi?dbfrom=pubmed&amp;amp;id=17459963&amp;amp;retmode=ref&amp;amp;cmd=prlinks&lt;/url&gt;&lt;citekey&gt;RefWorks:94&lt;/citekey&gt;&lt;type&gt;400&lt;/type&gt;&lt;title&gt;GENOME: a rapid coalescent-based whole genome simulator.&lt;/title&gt;&lt;location&gt;200,9,42.2761841,-83.7410733&lt;/location&gt;&lt;institution&gt;Center for Statistical Genetics, Department of Biostatistics, University of Michigan, Ann Arbor, MI 48109, USA. lianglim@umich.edu&lt;/institution&gt;&lt;number&gt;12&lt;/number&gt;&lt;subtype&gt;400&lt;/subtype&gt;&lt;endpage&gt;1567&lt;/endpage&gt;&lt;bundle&gt;&lt;publication&gt;&lt;title&gt;Bioinformatics&lt;/title&gt;&lt;type&gt;-100&lt;/type&gt;&lt;subtype&gt;-100&lt;/subtype&gt;&lt;uuid&gt;8041A9EA-59ED-4767-A952-92ADB9110437&lt;/uuid&gt;&lt;/publication&gt;&lt;/bundle&gt;&lt;authors&gt;&lt;author&gt;&lt;firstName&gt;Liming&lt;/firstName&gt;&lt;lastName&gt;Liang&lt;/lastName&gt;&lt;/author&gt;&lt;author&gt;&lt;firstName&gt;Sebastian&lt;/firstName&gt;&lt;lastName&gt;Zöllner&lt;/lastName&gt;&lt;/author&gt;&lt;author&gt;&lt;firstName&gt;Goncalo&lt;/firstName&gt;&lt;middleNames&gt;R&lt;/middleNames&gt;&lt;lastName&gt;Abecasis&lt;/lastName&gt;&lt;/author&gt;&lt;/authors&gt;&lt;/publication&gt;&lt;/publications&gt;&lt;cites&gt;&lt;/cites&gt;&lt;/citation&gt;</w:instrText>
      </w:r>
      <w:r w:rsidR="00862942">
        <w:fldChar w:fldCharType="separate"/>
      </w:r>
      <w:r w:rsidR="00D73545">
        <w:rPr>
          <w:rFonts w:cs="Cambria"/>
        </w:rPr>
        <w:t>(Liang et al. 2007)</w:t>
      </w:r>
      <w:r w:rsidR="00862942">
        <w:fldChar w:fldCharType="end"/>
      </w:r>
      <w:r>
        <w:t xml:space="preserve"> according to the demographic model specified below (See “Details of Coalescent Simulations” section for details).  We evaluated the estimators using ascertainment in the outgroup population as well as in-sample ascertainment (including all SNPs polymorphic in either sample). Results are below.</w:t>
      </w:r>
    </w:p>
    <w:p w14:paraId="1C5E1ED4" w14:textId="77777777" w:rsidR="00C555DF" w:rsidRDefault="00C555DF" w:rsidP="00C555DF"/>
    <w:p w14:paraId="61D1666F" w14:textId="77777777" w:rsidR="00C555DF" w:rsidRDefault="00C555DF" w:rsidP="00C555DF"/>
    <w:tbl>
      <w:tblPr>
        <w:tblW w:w="8500" w:type="dxa"/>
        <w:jc w:val="center"/>
        <w:tblInd w:w="93" w:type="dxa"/>
        <w:tblLook w:val="04A0" w:firstRow="1" w:lastRow="0" w:firstColumn="1" w:lastColumn="0" w:noHBand="0" w:noVBand="1"/>
      </w:tblPr>
      <w:tblGrid>
        <w:gridCol w:w="1648"/>
        <w:gridCol w:w="1300"/>
        <w:gridCol w:w="1880"/>
        <w:gridCol w:w="1880"/>
        <w:gridCol w:w="1880"/>
      </w:tblGrid>
      <w:tr w:rsidR="00C555DF" w:rsidRPr="00201C10" w14:paraId="4C1C12CB" w14:textId="77777777" w:rsidTr="00764D0A">
        <w:trPr>
          <w:trHeight w:val="34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38BBD"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Ascertainment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5249C36"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i/>
                <w:iCs/>
                <w:color w:val="000000"/>
              </w:rPr>
              <w:t>F</w:t>
            </w:r>
            <w:r w:rsidRPr="00201C10">
              <w:rPr>
                <w:rFonts w:ascii="Calibri" w:eastAsia="Times New Roman" w:hAnsi="Calibri"/>
                <w:color w:val="000000"/>
                <w:vertAlign w:val="subscript"/>
              </w:rPr>
              <w:t>ST</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889B98D"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Method 1</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6A052AD"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Method 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F90ABCF"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Hudson Estimator</w:t>
            </w:r>
          </w:p>
        </w:tc>
      </w:tr>
      <w:tr w:rsidR="00C555DF" w:rsidRPr="00201C10" w14:paraId="0035826B" w14:textId="77777777" w:rsidTr="00764D0A">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C09D37B" w14:textId="77777777" w:rsidR="00C555DF" w:rsidRPr="00201C10" w:rsidRDefault="00C555DF" w:rsidP="00764D0A">
            <w:pPr>
              <w:jc w:val="center"/>
              <w:rPr>
                <w:rFonts w:ascii="Calibri" w:eastAsia="Times New Roman" w:hAnsi="Calibri"/>
                <w:color w:val="000000"/>
              </w:rPr>
            </w:pPr>
            <w:r>
              <w:rPr>
                <w:rFonts w:ascii="Calibri" w:eastAsia="Times New Roman" w:hAnsi="Calibri"/>
                <w:color w:val="000000"/>
              </w:rPr>
              <w:t>In Sample</w:t>
            </w:r>
          </w:p>
        </w:tc>
        <w:tc>
          <w:tcPr>
            <w:tcW w:w="1300" w:type="dxa"/>
            <w:tcBorders>
              <w:top w:val="nil"/>
              <w:left w:val="nil"/>
              <w:bottom w:val="single" w:sz="4" w:space="0" w:color="auto"/>
              <w:right w:val="single" w:sz="4" w:space="0" w:color="auto"/>
            </w:tcBorders>
            <w:shd w:val="clear" w:color="auto" w:fill="auto"/>
            <w:noWrap/>
            <w:vAlign w:val="bottom"/>
            <w:hideMark/>
          </w:tcPr>
          <w:p w14:paraId="5002F870"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0.19</w:t>
            </w:r>
          </w:p>
        </w:tc>
        <w:tc>
          <w:tcPr>
            <w:tcW w:w="1880" w:type="dxa"/>
            <w:tcBorders>
              <w:top w:val="nil"/>
              <w:left w:val="nil"/>
              <w:bottom w:val="single" w:sz="4" w:space="0" w:color="auto"/>
              <w:right w:val="single" w:sz="4" w:space="0" w:color="auto"/>
            </w:tcBorders>
            <w:shd w:val="clear" w:color="auto" w:fill="auto"/>
            <w:noWrap/>
            <w:vAlign w:val="bottom"/>
            <w:hideMark/>
          </w:tcPr>
          <w:p w14:paraId="1D01CA1D"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68B383D0"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0.306 (0.022)</w:t>
            </w:r>
          </w:p>
        </w:tc>
        <w:tc>
          <w:tcPr>
            <w:tcW w:w="1880" w:type="dxa"/>
            <w:tcBorders>
              <w:top w:val="nil"/>
              <w:left w:val="nil"/>
              <w:bottom w:val="single" w:sz="4" w:space="0" w:color="auto"/>
              <w:right w:val="single" w:sz="4" w:space="0" w:color="auto"/>
            </w:tcBorders>
            <w:shd w:val="clear" w:color="auto" w:fill="auto"/>
            <w:noWrap/>
            <w:vAlign w:val="bottom"/>
            <w:hideMark/>
          </w:tcPr>
          <w:p w14:paraId="49D4B521"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0.182 (0.027)</w:t>
            </w:r>
          </w:p>
        </w:tc>
      </w:tr>
      <w:tr w:rsidR="00C555DF" w:rsidRPr="00201C10" w14:paraId="7295DA68" w14:textId="77777777" w:rsidTr="00764D0A">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D8E4AB" w14:textId="77777777" w:rsidR="00C555DF" w:rsidRPr="00201C10" w:rsidRDefault="00C555DF" w:rsidP="00764D0A">
            <w:pPr>
              <w:jc w:val="center"/>
              <w:rPr>
                <w:rFonts w:ascii="Calibri" w:eastAsia="Times New Roman" w:hAnsi="Calibri"/>
                <w:color w:val="000000"/>
              </w:rPr>
            </w:pPr>
            <w:r>
              <w:rPr>
                <w:rFonts w:ascii="Calibri" w:eastAsia="Times New Roman" w:hAnsi="Calibri"/>
                <w:color w:val="000000"/>
              </w:rPr>
              <w:t>Outgroup</w:t>
            </w:r>
          </w:p>
        </w:tc>
        <w:tc>
          <w:tcPr>
            <w:tcW w:w="1300" w:type="dxa"/>
            <w:tcBorders>
              <w:top w:val="nil"/>
              <w:left w:val="nil"/>
              <w:bottom w:val="single" w:sz="4" w:space="0" w:color="auto"/>
              <w:right w:val="single" w:sz="4" w:space="0" w:color="auto"/>
            </w:tcBorders>
            <w:shd w:val="clear" w:color="auto" w:fill="auto"/>
            <w:noWrap/>
            <w:vAlign w:val="bottom"/>
            <w:hideMark/>
          </w:tcPr>
          <w:p w14:paraId="5EC92486"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0.19</w:t>
            </w:r>
          </w:p>
        </w:tc>
        <w:tc>
          <w:tcPr>
            <w:tcW w:w="1880" w:type="dxa"/>
            <w:tcBorders>
              <w:top w:val="nil"/>
              <w:left w:val="nil"/>
              <w:bottom w:val="single" w:sz="4" w:space="0" w:color="auto"/>
              <w:right w:val="single" w:sz="4" w:space="0" w:color="auto"/>
            </w:tcBorders>
            <w:shd w:val="clear" w:color="auto" w:fill="auto"/>
            <w:noWrap/>
            <w:vAlign w:val="bottom"/>
            <w:hideMark/>
          </w:tcPr>
          <w:p w14:paraId="658B1DF1"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25088AA8"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0.244 (0.030)</w:t>
            </w:r>
          </w:p>
        </w:tc>
        <w:tc>
          <w:tcPr>
            <w:tcW w:w="1880" w:type="dxa"/>
            <w:tcBorders>
              <w:top w:val="nil"/>
              <w:left w:val="nil"/>
              <w:bottom w:val="single" w:sz="4" w:space="0" w:color="auto"/>
              <w:right w:val="single" w:sz="4" w:space="0" w:color="auto"/>
            </w:tcBorders>
            <w:shd w:val="clear" w:color="auto" w:fill="auto"/>
            <w:noWrap/>
            <w:vAlign w:val="bottom"/>
            <w:hideMark/>
          </w:tcPr>
          <w:p w14:paraId="53BC1C48"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0.187 (0.027)</w:t>
            </w:r>
          </w:p>
        </w:tc>
      </w:tr>
    </w:tbl>
    <w:p w14:paraId="79E8C954" w14:textId="77777777" w:rsidR="00C555DF" w:rsidRDefault="00C555DF" w:rsidP="00C555DF"/>
    <w:p w14:paraId="72809DF7" w14:textId="77777777" w:rsidR="00C555DF" w:rsidRDefault="00C555DF" w:rsidP="00C555DF">
      <w:r>
        <w:t xml:space="preserve">As the ancestral allele frequency is unknown, Method 1 cannot be used in this comparison. If ascertainment is performed within the sample, including all of the rare variants, Method 2 performs poorly, overestimating </w:t>
      </w:r>
      <w:r w:rsidRPr="001C257D">
        <w:rPr>
          <w:i/>
        </w:rPr>
        <w:t>F</w:t>
      </w:r>
      <w:r w:rsidRPr="001C257D">
        <w:rPr>
          <w:vertAlign w:val="subscript"/>
        </w:rPr>
        <w:t>ST</w:t>
      </w:r>
      <w:r>
        <w:t xml:space="preserve"> by about 50%. The Hudson estimator reports slightly lower estimates when performing in-sample ascertainment because of the effects of rare variants. When outgroup ascertainment is performed, the Method 2 estimates become closer to the value we expect, but are still overestimates. Hudson estimates are closer to the true value.</w:t>
      </w:r>
    </w:p>
    <w:p w14:paraId="4B38EFB6" w14:textId="77777777" w:rsidR="00C555DF" w:rsidRDefault="00C555DF" w:rsidP="00C555DF"/>
    <w:p w14:paraId="6250F102" w14:textId="77777777" w:rsidR="00C555DF" w:rsidRDefault="00C555DF" w:rsidP="00C555DF">
      <w:r w:rsidRPr="00C555DF">
        <w:rPr>
          <w:b/>
        </w:rPr>
        <w:t>1000 Genomes Data</w:t>
      </w:r>
    </w:p>
    <w:p w14:paraId="563AB60A" w14:textId="77777777" w:rsidR="00C555DF" w:rsidRDefault="00C555DF" w:rsidP="00C555DF">
      <w:r>
        <w:t xml:space="preserve"> For all of these simulations 0.1% of the 1000 Genomes SNPs were randomly selected. We attempted two ascertainment schemes. For YRI-ascertainment, we compared CEU to CHB and, separately, CEU to TSI using SNPs ascertained as polymorphic in YRI. We also compared CEU-YRI, CEU-CHB, and CEU-TSI using all SNPs polymorphic in either sample. Results are below</w:t>
      </w:r>
      <w:r w:rsidR="00EB3CCF">
        <w:t>.</w:t>
      </w:r>
    </w:p>
    <w:p w14:paraId="25666F15" w14:textId="77777777" w:rsidR="00C555DF" w:rsidRDefault="00C555DF" w:rsidP="00C555DF"/>
    <w:tbl>
      <w:tblPr>
        <w:tblW w:w="8677" w:type="dxa"/>
        <w:jc w:val="center"/>
        <w:tblInd w:w="93" w:type="dxa"/>
        <w:tblLook w:val="04A0" w:firstRow="1" w:lastRow="0" w:firstColumn="1" w:lastColumn="0" w:noHBand="0" w:noVBand="1"/>
      </w:tblPr>
      <w:tblGrid>
        <w:gridCol w:w="1648"/>
        <w:gridCol w:w="1389"/>
        <w:gridCol w:w="1880"/>
        <w:gridCol w:w="1880"/>
        <w:gridCol w:w="1880"/>
      </w:tblGrid>
      <w:tr w:rsidR="00C555DF" w:rsidRPr="00201C10" w14:paraId="38AFF1C4" w14:textId="77777777" w:rsidTr="00764D0A">
        <w:trPr>
          <w:trHeight w:val="300"/>
          <w:jc w:val="center"/>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03D1D"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Ascertainment</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1AF55C20"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Comparison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1DC0241"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Method 1</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04F4E29"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Method 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D762680"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Hudson Estimator</w:t>
            </w:r>
          </w:p>
        </w:tc>
      </w:tr>
      <w:tr w:rsidR="00C555DF" w:rsidRPr="00201C10" w14:paraId="3D623A1B" w14:textId="77777777" w:rsidTr="00764D0A">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14:paraId="50DAB868"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In Sample</w:t>
            </w:r>
          </w:p>
        </w:tc>
        <w:tc>
          <w:tcPr>
            <w:tcW w:w="1389" w:type="dxa"/>
            <w:tcBorders>
              <w:top w:val="nil"/>
              <w:left w:val="nil"/>
              <w:bottom w:val="single" w:sz="4" w:space="0" w:color="auto"/>
              <w:right w:val="single" w:sz="4" w:space="0" w:color="auto"/>
            </w:tcBorders>
            <w:shd w:val="clear" w:color="auto" w:fill="auto"/>
            <w:noWrap/>
            <w:vAlign w:val="bottom"/>
            <w:hideMark/>
          </w:tcPr>
          <w:p w14:paraId="71E13D34" w14:textId="77777777" w:rsidR="00C555DF" w:rsidRPr="00201C10" w:rsidRDefault="00C555DF" w:rsidP="00764D0A">
            <w:pPr>
              <w:rPr>
                <w:rFonts w:ascii="Calibri" w:eastAsia="Times New Roman" w:hAnsi="Calibri"/>
                <w:color w:val="000000"/>
              </w:rPr>
            </w:pPr>
            <w:r w:rsidRPr="00201C10">
              <w:rPr>
                <w:rFonts w:ascii="Calibri" w:eastAsia="Times New Roman" w:hAnsi="Calibri"/>
                <w:color w:val="000000"/>
              </w:rPr>
              <w:t>CEU-CHB</w:t>
            </w:r>
          </w:p>
        </w:tc>
        <w:tc>
          <w:tcPr>
            <w:tcW w:w="1880" w:type="dxa"/>
            <w:tcBorders>
              <w:top w:val="nil"/>
              <w:left w:val="nil"/>
              <w:bottom w:val="single" w:sz="4" w:space="0" w:color="auto"/>
              <w:right w:val="single" w:sz="4" w:space="0" w:color="auto"/>
            </w:tcBorders>
            <w:shd w:val="clear" w:color="auto" w:fill="auto"/>
            <w:noWrap/>
            <w:vAlign w:val="bottom"/>
            <w:hideMark/>
          </w:tcPr>
          <w:p w14:paraId="68F5E268"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3BFBACFD"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0.117</w:t>
            </w:r>
          </w:p>
        </w:tc>
        <w:tc>
          <w:tcPr>
            <w:tcW w:w="1880" w:type="dxa"/>
            <w:tcBorders>
              <w:top w:val="nil"/>
              <w:left w:val="nil"/>
              <w:bottom w:val="single" w:sz="4" w:space="0" w:color="auto"/>
              <w:right w:val="single" w:sz="4" w:space="0" w:color="auto"/>
            </w:tcBorders>
            <w:shd w:val="clear" w:color="auto" w:fill="auto"/>
            <w:noWrap/>
            <w:vAlign w:val="bottom"/>
            <w:hideMark/>
          </w:tcPr>
          <w:p w14:paraId="41282D64"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0.105</w:t>
            </w:r>
          </w:p>
        </w:tc>
      </w:tr>
      <w:tr w:rsidR="00C555DF" w:rsidRPr="00201C10" w14:paraId="597BE416" w14:textId="77777777" w:rsidTr="00764D0A">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14:paraId="7C5C0368"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In Sample</w:t>
            </w:r>
          </w:p>
        </w:tc>
        <w:tc>
          <w:tcPr>
            <w:tcW w:w="1389" w:type="dxa"/>
            <w:tcBorders>
              <w:top w:val="nil"/>
              <w:left w:val="nil"/>
              <w:bottom w:val="single" w:sz="4" w:space="0" w:color="auto"/>
              <w:right w:val="single" w:sz="4" w:space="0" w:color="auto"/>
            </w:tcBorders>
            <w:shd w:val="clear" w:color="auto" w:fill="auto"/>
            <w:noWrap/>
            <w:vAlign w:val="bottom"/>
            <w:hideMark/>
          </w:tcPr>
          <w:p w14:paraId="70FBB8AB" w14:textId="77777777" w:rsidR="00C555DF" w:rsidRPr="00201C10" w:rsidRDefault="00C555DF" w:rsidP="00764D0A">
            <w:pPr>
              <w:rPr>
                <w:rFonts w:ascii="Calibri" w:eastAsia="Times New Roman" w:hAnsi="Calibri"/>
                <w:color w:val="000000"/>
              </w:rPr>
            </w:pPr>
            <w:r w:rsidRPr="00201C10">
              <w:rPr>
                <w:rFonts w:ascii="Calibri" w:eastAsia="Times New Roman" w:hAnsi="Calibri"/>
                <w:color w:val="000000"/>
              </w:rPr>
              <w:t>CEU-YRI</w:t>
            </w:r>
          </w:p>
        </w:tc>
        <w:tc>
          <w:tcPr>
            <w:tcW w:w="1880" w:type="dxa"/>
            <w:tcBorders>
              <w:top w:val="nil"/>
              <w:left w:val="nil"/>
              <w:bottom w:val="single" w:sz="4" w:space="0" w:color="auto"/>
              <w:right w:val="single" w:sz="4" w:space="0" w:color="auto"/>
            </w:tcBorders>
            <w:shd w:val="clear" w:color="auto" w:fill="auto"/>
            <w:noWrap/>
            <w:vAlign w:val="bottom"/>
            <w:hideMark/>
          </w:tcPr>
          <w:p w14:paraId="03E87D1F"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0914D1A0"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0.192</w:t>
            </w:r>
          </w:p>
        </w:tc>
        <w:tc>
          <w:tcPr>
            <w:tcW w:w="1880" w:type="dxa"/>
            <w:tcBorders>
              <w:top w:val="nil"/>
              <w:left w:val="nil"/>
              <w:bottom w:val="single" w:sz="4" w:space="0" w:color="auto"/>
              <w:right w:val="single" w:sz="4" w:space="0" w:color="auto"/>
            </w:tcBorders>
            <w:shd w:val="clear" w:color="auto" w:fill="auto"/>
            <w:noWrap/>
            <w:vAlign w:val="bottom"/>
            <w:hideMark/>
          </w:tcPr>
          <w:p w14:paraId="7EBAA5E9"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0.139</w:t>
            </w:r>
          </w:p>
        </w:tc>
      </w:tr>
      <w:tr w:rsidR="00C555DF" w:rsidRPr="00201C10" w14:paraId="79D2228C" w14:textId="77777777" w:rsidTr="00764D0A">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14:paraId="00EA175B"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In Sample</w:t>
            </w:r>
          </w:p>
        </w:tc>
        <w:tc>
          <w:tcPr>
            <w:tcW w:w="1389" w:type="dxa"/>
            <w:tcBorders>
              <w:top w:val="nil"/>
              <w:left w:val="nil"/>
              <w:bottom w:val="single" w:sz="4" w:space="0" w:color="auto"/>
              <w:right w:val="single" w:sz="4" w:space="0" w:color="auto"/>
            </w:tcBorders>
            <w:shd w:val="clear" w:color="auto" w:fill="auto"/>
            <w:noWrap/>
            <w:vAlign w:val="bottom"/>
            <w:hideMark/>
          </w:tcPr>
          <w:p w14:paraId="2F8EBF19" w14:textId="77777777" w:rsidR="00C555DF" w:rsidRPr="00201C10" w:rsidRDefault="00C555DF" w:rsidP="00764D0A">
            <w:pPr>
              <w:rPr>
                <w:rFonts w:ascii="Calibri" w:eastAsia="Times New Roman" w:hAnsi="Calibri"/>
                <w:color w:val="000000"/>
              </w:rPr>
            </w:pPr>
            <w:r w:rsidRPr="00201C10">
              <w:rPr>
                <w:rFonts w:ascii="Calibri" w:eastAsia="Times New Roman" w:hAnsi="Calibri"/>
                <w:color w:val="000000"/>
              </w:rPr>
              <w:t>CEU-TSI</w:t>
            </w:r>
          </w:p>
        </w:tc>
        <w:tc>
          <w:tcPr>
            <w:tcW w:w="1880" w:type="dxa"/>
            <w:tcBorders>
              <w:top w:val="nil"/>
              <w:left w:val="nil"/>
              <w:bottom w:val="single" w:sz="4" w:space="0" w:color="auto"/>
              <w:right w:val="single" w:sz="4" w:space="0" w:color="auto"/>
            </w:tcBorders>
            <w:shd w:val="clear" w:color="auto" w:fill="auto"/>
            <w:noWrap/>
            <w:vAlign w:val="bottom"/>
            <w:hideMark/>
          </w:tcPr>
          <w:p w14:paraId="1245EF0A"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1FF00027"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0.0078</w:t>
            </w:r>
          </w:p>
        </w:tc>
        <w:tc>
          <w:tcPr>
            <w:tcW w:w="1880" w:type="dxa"/>
            <w:tcBorders>
              <w:top w:val="nil"/>
              <w:left w:val="nil"/>
              <w:bottom w:val="single" w:sz="4" w:space="0" w:color="auto"/>
              <w:right w:val="single" w:sz="4" w:space="0" w:color="auto"/>
            </w:tcBorders>
            <w:shd w:val="clear" w:color="auto" w:fill="auto"/>
            <w:noWrap/>
            <w:vAlign w:val="bottom"/>
            <w:hideMark/>
          </w:tcPr>
          <w:p w14:paraId="5542AC20"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0.0038</w:t>
            </w:r>
          </w:p>
        </w:tc>
      </w:tr>
      <w:tr w:rsidR="00C555DF" w:rsidRPr="00201C10" w14:paraId="65176C64" w14:textId="77777777" w:rsidTr="00764D0A">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14:paraId="0D8451FE"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YRI</w:t>
            </w:r>
          </w:p>
        </w:tc>
        <w:tc>
          <w:tcPr>
            <w:tcW w:w="1389" w:type="dxa"/>
            <w:tcBorders>
              <w:top w:val="nil"/>
              <w:left w:val="nil"/>
              <w:bottom w:val="single" w:sz="4" w:space="0" w:color="auto"/>
              <w:right w:val="single" w:sz="4" w:space="0" w:color="auto"/>
            </w:tcBorders>
            <w:shd w:val="clear" w:color="auto" w:fill="auto"/>
            <w:noWrap/>
            <w:vAlign w:val="bottom"/>
            <w:hideMark/>
          </w:tcPr>
          <w:p w14:paraId="284A3DF0" w14:textId="77777777" w:rsidR="00C555DF" w:rsidRPr="00201C10" w:rsidRDefault="00C555DF" w:rsidP="00764D0A">
            <w:pPr>
              <w:rPr>
                <w:rFonts w:ascii="Calibri" w:eastAsia="Times New Roman" w:hAnsi="Calibri"/>
                <w:color w:val="000000"/>
              </w:rPr>
            </w:pPr>
            <w:r w:rsidRPr="00201C10">
              <w:rPr>
                <w:rFonts w:ascii="Calibri" w:eastAsia="Times New Roman" w:hAnsi="Calibri"/>
                <w:color w:val="000000"/>
              </w:rPr>
              <w:t>CEU-CHB</w:t>
            </w:r>
          </w:p>
        </w:tc>
        <w:tc>
          <w:tcPr>
            <w:tcW w:w="1880" w:type="dxa"/>
            <w:tcBorders>
              <w:top w:val="nil"/>
              <w:left w:val="nil"/>
              <w:bottom w:val="single" w:sz="4" w:space="0" w:color="auto"/>
              <w:right w:val="single" w:sz="4" w:space="0" w:color="auto"/>
            </w:tcBorders>
            <w:shd w:val="clear" w:color="auto" w:fill="auto"/>
            <w:noWrap/>
            <w:vAlign w:val="bottom"/>
            <w:hideMark/>
          </w:tcPr>
          <w:p w14:paraId="4336F0A9"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2DBB6062"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w:t>
            </w:r>
            <w:r>
              <w:rPr>
                <w:rFonts w:ascii="Calibri" w:eastAsia="Times New Roman" w:hAnsi="Calibri"/>
                <w:color w:val="000000"/>
              </w:rPr>
              <w:t>00</w:t>
            </w:r>
          </w:p>
        </w:tc>
        <w:tc>
          <w:tcPr>
            <w:tcW w:w="1880" w:type="dxa"/>
            <w:tcBorders>
              <w:top w:val="nil"/>
              <w:left w:val="nil"/>
              <w:bottom w:val="single" w:sz="4" w:space="0" w:color="auto"/>
              <w:right w:val="single" w:sz="4" w:space="0" w:color="auto"/>
            </w:tcBorders>
            <w:shd w:val="clear" w:color="auto" w:fill="auto"/>
            <w:noWrap/>
            <w:vAlign w:val="bottom"/>
            <w:hideMark/>
          </w:tcPr>
          <w:p w14:paraId="086D530A"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0.108</w:t>
            </w:r>
          </w:p>
        </w:tc>
      </w:tr>
      <w:tr w:rsidR="00C555DF" w:rsidRPr="00201C10" w14:paraId="74A4BAAA" w14:textId="77777777" w:rsidTr="00764D0A">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14:paraId="4EA6164A"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YRI</w:t>
            </w:r>
          </w:p>
        </w:tc>
        <w:tc>
          <w:tcPr>
            <w:tcW w:w="1389" w:type="dxa"/>
            <w:tcBorders>
              <w:top w:val="nil"/>
              <w:left w:val="nil"/>
              <w:bottom w:val="single" w:sz="4" w:space="0" w:color="auto"/>
              <w:right w:val="single" w:sz="4" w:space="0" w:color="auto"/>
            </w:tcBorders>
            <w:shd w:val="clear" w:color="auto" w:fill="auto"/>
            <w:noWrap/>
            <w:vAlign w:val="bottom"/>
            <w:hideMark/>
          </w:tcPr>
          <w:p w14:paraId="54B1E62E" w14:textId="77777777" w:rsidR="00C555DF" w:rsidRPr="00201C10" w:rsidRDefault="00C555DF" w:rsidP="00764D0A">
            <w:pPr>
              <w:rPr>
                <w:rFonts w:ascii="Calibri" w:eastAsia="Times New Roman" w:hAnsi="Calibri"/>
                <w:color w:val="000000"/>
              </w:rPr>
            </w:pPr>
            <w:r w:rsidRPr="00201C10">
              <w:rPr>
                <w:rFonts w:ascii="Calibri" w:eastAsia="Times New Roman" w:hAnsi="Calibri"/>
                <w:color w:val="000000"/>
              </w:rPr>
              <w:t>CEU-TSI</w:t>
            </w:r>
          </w:p>
        </w:tc>
        <w:tc>
          <w:tcPr>
            <w:tcW w:w="1880" w:type="dxa"/>
            <w:tcBorders>
              <w:top w:val="nil"/>
              <w:left w:val="nil"/>
              <w:bottom w:val="single" w:sz="4" w:space="0" w:color="auto"/>
              <w:right w:val="single" w:sz="4" w:space="0" w:color="auto"/>
            </w:tcBorders>
            <w:shd w:val="clear" w:color="auto" w:fill="auto"/>
            <w:noWrap/>
            <w:vAlign w:val="bottom"/>
            <w:hideMark/>
          </w:tcPr>
          <w:p w14:paraId="47D84F9F" w14:textId="77777777" w:rsidR="00C555DF" w:rsidRPr="00201C10" w:rsidRDefault="00C555DF" w:rsidP="00764D0A">
            <w:pPr>
              <w:jc w:val="center"/>
              <w:rPr>
                <w:rFonts w:ascii="Calibri" w:eastAsia="Times New Roman" w:hAnsi="Calibri"/>
                <w:color w:val="000000"/>
              </w:rPr>
            </w:pPr>
            <w:r w:rsidRPr="00201C10">
              <w:rPr>
                <w:rFonts w:ascii="Calibri" w:eastAsia="Times New Roman" w:hAnsi="Calibri"/>
                <w:color w:val="000000"/>
              </w:rPr>
              <w:t>N/A</w:t>
            </w:r>
          </w:p>
        </w:tc>
        <w:tc>
          <w:tcPr>
            <w:tcW w:w="1880" w:type="dxa"/>
            <w:tcBorders>
              <w:top w:val="nil"/>
              <w:left w:val="nil"/>
              <w:bottom w:val="single" w:sz="4" w:space="0" w:color="auto"/>
              <w:right w:val="single" w:sz="4" w:space="0" w:color="auto"/>
            </w:tcBorders>
            <w:shd w:val="clear" w:color="auto" w:fill="auto"/>
            <w:noWrap/>
            <w:vAlign w:val="bottom"/>
            <w:hideMark/>
          </w:tcPr>
          <w:p w14:paraId="50736997"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0.0067</w:t>
            </w:r>
          </w:p>
        </w:tc>
        <w:tc>
          <w:tcPr>
            <w:tcW w:w="1880" w:type="dxa"/>
            <w:tcBorders>
              <w:top w:val="nil"/>
              <w:left w:val="nil"/>
              <w:bottom w:val="single" w:sz="4" w:space="0" w:color="auto"/>
              <w:right w:val="single" w:sz="4" w:space="0" w:color="auto"/>
            </w:tcBorders>
            <w:shd w:val="clear" w:color="auto" w:fill="auto"/>
            <w:noWrap/>
            <w:vAlign w:val="bottom"/>
            <w:hideMark/>
          </w:tcPr>
          <w:p w14:paraId="76A6B618" w14:textId="77777777" w:rsidR="00C555DF" w:rsidRPr="00201C10" w:rsidRDefault="00C555DF" w:rsidP="00764D0A">
            <w:pPr>
              <w:jc w:val="right"/>
              <w:rPr>
                <w:rFonts w:ascii="Calibri" w:eastAsia="Times New Roman" w:hAnsi="Calibri"/>
                <w:color w:val="000000"/>
              </w:rPr>
            </w:pPr>
            <w:r w:rsidRPr="00201C10">
              <w:rPr>
                <w:rFonts w:ascii="Calibri" w:eastAsia="Times New Roman" w:hAnsi="Calibri"/>
                <w:color w:val="000000"/>
              </w:rPr>
              <w:t>0.0036</w:t>
            </w:r>
          </w:p>
        </w:tc>
      </w:tr>
    </w:tbl>
    <w:p w14:paraId="6E9A0703" w14:textId="77777777" w:rsidR="00D70B3A" w:rsidRDefault="00D70B3A"/>
    <w:p w14:paraId="260BF6A7" w14:textId="77777777" w:rsidR="00C555DF" w:rsidRDefault="00C555DF">
      <w:r>
        <w:t xml:space="preserve">As in the case of coalescent simulations, the ancestral allele frequency is unknown, and Method 1 cannot be used in this comparison. If ascertainment is performed within the sample, including all of the rare variants, Method 2 closely replicates Hudson estimates for CEU-CHB, but an estimate that is 50% higher for CEU-YRI and 100% higher for CEU-TSI. For YRI-ascertainment, the CEU-CHB result is nearly identical to that reported from the Hudson estimator, but the CEU-TSI result remains inflated. The CEU-YRI results were not reported because YRI-ascertainment does not approximate </w:t>
      </w:r>
      <w:proofErr w:type="gramStart"/>
      <w:r>
        <w:t>outgroup</w:t>
      </w:r>
      <w:proofErr w:type="gramEnd"/>
      <w:r>
        <w:t xml:space="preserve"> ascertainment for any comparison involving YRI.</w:t>
      </w:r>
    </w:p>
    <w:p w14:paraId="3402222F" w14:textId="77777777" w:rsidR="00785566" w:rsidRDefault="008361A2" w:rsidP="00C555DF">
      <w:pPr>
        <w:ind w:firstLine="720"/>
      </w:pPr>
      <w:r>
        <w:t xml:space="preserve">Overall, our results show that </w:t>
      </w:r>
      <w:r w:rsidR="00C555DF">
        <w:t>while M</w:t>
      </w:r>
      <w:r w:rsidR="00D62899">
        <w:t xml:space="preserve">ethod 1 performs well for the simplest simulations, it is not applicable for coalescent simulations and real data, where the ancestral allele frequency is unknown. Method 2 does well for simple simulations </w:t>
      </w:r>
      <w:r w:rsidR="00F5289E">
        <w:t xml:space="preserve">in which </w:t>
      </w:r>
      <w:r w:rsidR="00F5289E" w:rsidRPr="001C257D">
        <w:rPr>
          <w:i/>
        </w:rPr>
        <w:t>F</w:t>
      </w:r>
      <w:r w:rsidR="00F5289E" w:rsidRPr="001C257D">
        <w:rPr>
          <w:vertAlign w:val="subscript"/>
        </w:rPr>
        <w:t>ST</w:t>
      </w:r>
      <w:r w:rsidR="00F5289E">
        <w:t xml:space="preserve"> is low. However, for larger values of </w:t>
      </w:r>
      <w:r w:rsidR="00F5289E" w:rsidRPr="001C257D">
        <w:rPr>
          <w:i/>
        </w:rPr>
        <w:t>F</w:t>
      </w:r>
      <w:r w:rsidR="00F5289E" w:rsidRPr="001C257D">
        <w:rPr>
          <w:vertAlign w:val="subscript"/>
        </w:rPr>
        <w:t>ST</w:t>
      </w:r>
      <w:r w:rsidR="00F5289E">
        <w:t xml:space="preserve">, Method 2 produces biased estimates for the simplest simulations, and coalescent simulations. For 1000 Genomes data, where we do not know the underlying value of </w:t>
      </w:r>
      <w:r w:rsidR="00F5289E" w:rsidRPr="001C257D">
        <w:rPr>
          <w:i/>
        </w:rPr>
        <w:t>F</w:t>
      </w:r>
      <w:r w:rsidR="00F5289E" w:rsidRPr="001C257D">
        <w:rPr>
          <w:vertAlign w:val="subscript"/>
        </w:rPr>
        <w:t>ST</w:t>
      </w:r>
      <w:r w:rsidR="00F5289E">
        <w:t xml:space="preserve">, Method 2 produces estimates that are different from estimates from the Hudson estimator. Method 2 is also sensitive to the choice of ascertainment—particularly the inclusion or exclusion of recent rare variants. We conclude that the beta-binomial max-likelihood methodology presents an exciting avenue of future research, including investigation of other possible </w:t>
      </w:r>
      <w:r w:rsidR="000B760F">
        <w:t>ways to deal with ancestral allele frequencies (e.g. integrating over all possible ancestral allele frequencies). Currently, though, we believe that Hudson estimates are more accurate and stable in the face of differing ascertainment schemes</w:t>
      </w:r>
      <w:r w:rsidR="00B946B7">
        <w:t>.</w:t>
      </w:r>
    </w:p>
    <w:p w14:paraId="50E643C8" w14:textId="77777777" w:rsidR="00B946B7" w:rsidRPr="0033263A" w:rsidRDefault="00B946B7" w:rsidP="00B946B7">
      <w:pPr>
        <w:pStyle w:val="Heading1"/>
      </w:pPr>
      <w:bookmarkStart w:id="86" w:name="_Toc232777584"/>
      <w:r>
        <w:t xml:space="preserve">Beta-Binomial MCMC </w:t>
      </w:r>
      <w:r w:rsidRPr="0033263A">
        <w:t>Estimator (Holsinger)</w:t>
      </w:r>
      <w:bookmarkEnd w:id="86"/>
    </w:p>
    <w:p w14:paraId="2CC34046" w14:textId="77777777" w:rsidR="00B946B7" w:rsidRPr="00E41079" w:rsidRDefault="00B946B7" w:rsidP="00B946B7"/>
    <w:p w14:paraId="5985977E" w14:textId="1A8B11F7" w:rsidR="00B946B7" w:rsidRPr="00E41079" w:rsidRDefault="00B946B7" w:rsidP="00B946B7">
      <w:r w:rsidRPr="00E41079">
        <w:t xml:space="preserve">To assess the properties of Holsinger’s Bayesian method of estimating </w:t>
      </w:r>
      <w:r w:rsidRPr="00E41079">
        <w:rPr>
          <w:i/>
        </w:rPr>
        <w:t>F</w:t>
      </w:r>
      <w:r w:rsidRPr="00E41079">
        <w:rPr>
          <w:vertAlign w:val="subscript"/>
        </w:rPr>
        <w:t>ST</w:t>
      </w:r>
      <w:r w:rsidRPr="00E41079">
        <w:t xml:space="preserve"> we re-ran a subset of the </w:t>
      </w:r>
      <w:r>
        <w:t>experiments</w:t>
      </w:r>
      <w:r w:rsidRPr="00E41079">
        <w:t xml:space="preserve"> on simulated coalescent data. In these experiments three populations that diverged 2000 generations ago were generated using the GENOME coalescent simulator: (1) a population that underwent a recent bottleneck—the bottleneck population (2) a population that underwent a recent expansion—the expansion population, and (3) a population that evolved according to a standard Wright-Fisher model—the outgroup population. We simulated 2500 individuals from each population. We analyzed 1000 SNPs in the main analysis, and varied the number of SNPs in the runtime analysis. To estimate </w:t>
      </w:r>
      <w:r w:rsidRPr="00E41079">
        <w:rPr>
          <w:i/>
        </w:rPr>
        <w:t>F</w:t>
      </w:r>
      <w:r w:rsidRPr="00E41079">
        <w:rPr>
          <w:vertAlign w:val="subscript"/>
        </w:rPr>
        <w:t>ST</w:t>
      </w:r>
      <w:r w:rsidRPr="00E41079">
        <w:t xml:space="preserve"> we used Holsinger’s Hickory software (</w:t>
      </w:r>
      <w:r w:rsidR="000B7B1B" w:rsidRPr="000B7B1B">
        <w:t>Hickory 1.1</w:t>
      </w:r>
      <w:bookmarkStart w:id="87" w:name="_GoBack"/>
      <w:bookmarkEnd w:id="87"/>
      <w:r w:rsidR="000B7B1B" w:rsidRPr="000B7B1B">
        <w:t xml:space="preserve"> http://darwin.eeb.uconn.edu/hickory/hickory.html</w:t>
      </w:r>
      <w:r w:rsidRPr="00E41079">
        <w:t xml:space="preserve">), and report theta-II from the full model as </w:t>
      </w:r>
      <w:r w:rsidRPr="00E41079">
        <w:rPr>
          <w:i/>
        </w:rPr>
        <w:t>F</w:t>
      </w:r>
      <w:r w:rsidRPr="00E41079">
        <w:rPr>
          <w:vertAlign w:val="subscript"/>
        </w:rPr>
        <w:t>ST</w:t>
      </w:r>
      <w:r w:rsidRPr="00E41079">
        <w:t xml:space="preserve">. In the documentation of Hickory, theta-II is listed as “directly comparable to estimates of </w:t>
      </w:r>
      <w:r w:rsidRPr="00E41079">
        <w:rPr>
          <w:i/>
        </w:rPr>
        <w:t>F</w:t>
      </w:r>
      <w:r w:rsidRPr="00E41079">
        <w:rPr>
          <w:vertAlign w:val="subscript"/>
        </w:rPr>
        <w:t>ST</w:t>
      </w:r>
      <w:r w:rsidRPr="00E41079">
        <w:t xml:space="preserve"> based on Weir and Cockerham’s approach”.</w:t>
      </w:r>
    </w:p>
    <w:p w14:paraId="7511A359" w14:textId="77777777" w:rsidR="00B946B7" w:rsidRPr="00E41079" w:rsidRDefault="00B946B7" w:rsidP="00B946B7"/>
    <w:p w14:paraId="40B480B9" w14:textId="77777777" w:rsidR="00B946B7" w:rsidRPr="0033263A" w:rsidRDefault="00B946B7" w:rsidP="00B946B7">
      <w:pPr>
        <w:rPr>
          <w:i/>
        </w:rPr>
      </w:pPr>
      <w:r w:rsidRPr="0033263A">
        <w:rPr>
          <w:i/>
        </w:rPr>
        <w:t xml:space="preserve">Variation with Sample Size </w:t>
      </w:r>
    </w:p>
    <w:p w14:paraId="67BB088E" w14:textId="77777777" w:rsidR="00B946B7" w:rsidRPr="00E41079" w:rsidRDefault="00B946B7" w:rsidP="00B946B7">
      <w:r w:rsidRPr="00E41079">
        <w:t xml:space="preserve">We ran Hickory on 100 SNPs that were selected to be polymorphic in the outgroup population and have MAF &gt; 5% in both populations. While we do not believe this particular ascertainment scheme to be desirable, inclusion of variants that were had MAF of 0 in either population caused </w:t>
      </w:r>
      <w:r w:rsidRPr="00E41079">
        <w:rPr>
          <w:i/>
        </w:rPr>
        <w:t>F</w:t>
      </w:r>
      <w:r w:rsidRPr="00E41079">
        <w:rPr>
          <w:vertAlign w:val="subscript"/>
        </w:rPr>
        <w:t>ST</w:t>
      </w:r>
      <w:r w:rsidRPr="00E41079">
        <w:t xml:space="preserve"> estimates to increase substantially (See below). To assess whether </w:t>
      </w:r>
      <w:r w:rsidRPr="00E41079">
        <w:rPr>
          <w:i/>
        </w:rPr>
        <w:t>F</w:t>
      </w:r>
      <w:r w:rsidRPr="00E41079">
        <w:rPr>
          <w:vertAlign w:val="subscript"/>
        </w:rPr>
        <w:t>ST</w:t>
      </w:r>
      <w:r w:rsidRPr="00E41079">
        <w:t xml:space="preserve"> varied with relative sample size, we estimated </w:t>
      </w:r>
      <w:r w:rsidRPr="00E41079">
        <w:rPr>
          <w:i/>
        </w:rPr>
        <w:t>F</w:t>
      </w:r>
      <w:r w:rsidRPr="00E41079">
        <w:rPr>
          <w:vertAlign w:val="subscript"/>
        </w:rPr>
        <w:t>ST</w:t>
      </w:r>
      <w:r w:rsidRPr="00E41079">
        <w:t xml:space="preserve"> in various sample size configurations. We report the estimate and standard errors for each of these approaches. Overall, we do not observe significant variation with absolute or relative sample size.  We consider this to be a desirable property of the Holsinger method.</w:t>
      </w:r>
    </w:p>
    <w:p w14:paraId="0D441724" w14:textId="77777777" w:rsidR="00B946B7" w:rsidRPr="00E41079" w:rsidRDefault="00B946B7" w:rsidP="00B946B7"/>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B946B7" w:rsidRPr="00E41079" w14:paraId="72776EBC" w14:textId="77777777" w:rsidTr="00110D58">
        <w:tc>
          <w:tcPr>
            <w:tcW w:w="2214" w:type="dxa"/>
            <w:shd w:val="clear" w:color="auto" w:fill="auto"/>
          </w:tcPr>
          <w:p w14:paraId="0838749B" w14:textId="77777777" w:rsidR="00B946B7" w:rsidRPr="00956E09" w:rsidRDefault="00B946B7" w:rsidP="00110D58">
            <w:pPr>
              <w:rPr>
                <w:vertAlign w:val="subscript"/>
              </w:rPr>
            </w:pPr>
            <w:r w:rsidRPr="00E41079">
              <w:t>n</w:t>
            </w:r>
            <w:r w:rsidRPr="00956E09">
              <w:rPr>
                <w:vertAlign w:val="subscript"/>
              </w:rPr>
              <w:t>1</w:t>
            </w:r>
          </w:p>
        </w:tc>
        <w:tc>
          <w:tcPr>
            <w:tcW w:w="2214" w:type="dxa"/>
            <w:shd w:val="clear" w:color="auto" w:fill="auto"/>
          </w:tcPr>
          <w:p w14:paraId="78DE1E72" w14:textId="77777777" w:rsidR="00B946B7" w:rsidRPr="00956E09" w:rsidRDefault="00B946B7" w:rsidP="00110D58">
            <w:pPr>
              <w:rPr>
                <w:vertAlign w:val="subscript"/>
              </w:rPr>
            </w:pPr>
            <w:r w:rsidRPr="00E41079">
              <w:t>n</w:t>
            </w:r>
            <w:r w:rsidRPr="00956E09">
              <w:rPr>
                <w:vertAlign w:val="subscript"/>
              </w:rPr>
              <w:t>2</w:t>
            </w:r>
          </w:p>
        </w:tc>
        <w:tc>
          <w:tcPr>
            <w:tcW w:w="2214" w:type="dxa"/>
            <w:shd w:val="clear" w:color="auto" w:fill="auto"/>
          </w:tcPr>
          <w:p w14:paraId="7C42E7D5" w14:textId="77777777" w:rsidR="00B946B7" w:rsidRPr="00E41079" w:rsidRDefault="00B946B7" w:rsidP="00110D58">
            <w:r w:rsidRPr="00956E09">
              <w:rPr>
                <w:i/>
              </w:rPr>
              <w:t>F</w:t>
            </w:r>
            <w:r w:rsidRPr="00956E09">
              <w:rPr>
                <w:vertAlign w:val="subscript"/>
              </w:rPr>
              <w:t>ST</w:t>
            </w:r>
            <w:r w:rsidRPr="00E41079">
              <w:t xml:space="preserve"> Estimate</w:t>
            </w:r>
          </w:p>
        </w:tc>
        <w:tc>
          <w:tcPr>
            <w:tcW w:w="2214" w:type="dxa"/>
            <w:shd w:val="clear" w:color="auto" w:fill="auto"/>
          </w:tcPr>
          <w:p w14:paraId="2DC4D04A" w14:textId="77777777" w:rsidR="00B946B7" w:rsidRPr="00E41079" w:rsidRDefault="00B946B7" w:rsidP="00110D58">
            <w:r w:rsidRPr="00E41079">
              <w:t>Std. Error</w:t>
            </w:r>
          </w:p>
        </w:tc>
      </w:tr>
      <w:tr w:rsidR="00B946B7" w:rsidRPr="00E41079" w14:paraId="24444D07" w14:textId="77777777" w:rsidTr="00110D58">
        <w:tc>
          <w:tcPr>
            <w:tcW w:w="2214" w:type="dxa"/>
            <w:shd w:val="clear" w:color="auto" w:fill="auto"/>
          </w:tcPr>
          <w:p w14:paraId="6AE029EA" w14:textId="77777777" w:rsidR="00B946B7" w:rsidRPr="00E41079" w:rsidRDefault="00B946B7" w:rsidP="00110D58">
            <w:r w:rsidRPr="00E41079">
              <w:t>50</w:t>
            </w:r>
          </w:p>
        </w:tc>
        <w:tc>
          <w:tcPr>
            <w:tcW w:w="2214" w:type="dxa"/>
            <w:shd w:val="clear" w:color="auto" w:fill="auto"/>
          </w:tcPr>
          <w:p w14:paraId="34B4ED85" w14:textId="77777777" w:rsidR="00B946B7" w:rsidRPr="00E41079" w:rsidRDefault="00B946B7" w:rsidP="00110D58">
            <w:r w:rsidRPr="00E41079">
              <w:t>5000</w:t>
            </w:r>
          </w:p>
        </w:tc>
        <w:tc>
          <w:tcPr>
            <w:tcW w:w="2214" w:type="dxa"/>
            <w:shd w:val="clear" w:color="auto" w:fill="auto"/>
          </w:tcPr>
          <w:p w14:paraId="1C08D65E" w14:textId="77777777" w:rsidR="00B946B7" w:rsidRPr="00E41079" w:rsidRDefault="00B946B7" w:rsidP="00110D58">
            <w:r w:rsidRPr="00E41079">
              <w:t>0.140</w:t>
            </w:r>
          </w:p>
        </w:tc>
        <w:tc>
          <w:tcPr>
            <w:tcW w:w="2214" w:type="dxa"/>
            <w:shd w:val="clear" w:color="auto" w:fill="auto"/>
          </w:tcPr>
          <w:p w14:paraId="1A149FD4" w14:textId="77777777" w:rsidR="00B946B7" w:rsidRPr="00E41079" w:rsidRDefault="00B946B7" w:rsidP="00110D58">
            <w:r w:rsidRPr="00E41079">
              <w:t>0.0186</w:t>
            </w:r>
          </w:p>
        </w:tc>
      </w:tr>
      <w:tr w:rsidR="00B946B7" w:rsidRPr="00E41079" w14:paraId="159B22A7" w14:textId="77777777" w:rsidTr="00110D58">
        <w:tc>
          <w:tcPr>
            <w:tcW w:w="2214" w:type="dxa"/>
            <w:shd w:val="clear" w:color="auto" w:fill="auto"/>
          </w:tcPr>
          <w:p w14:paraId="6B4BC42E" w14:textId="77777777" w:rsidR="00B946B7" w:rsidRPr="00E41079" w:rsidRDefault="00B946B7" w:rsidP="00110D58">
            <w:r w:rsidRPr="00E41079">
              <w:t>5000</w:t>
            </w:r>
          </w:p>
        </w:tc>
        <w:tc>
          <w:tcPr>
            <w:tcW w:w="2214" w:type="dxa"/>
            <w:shd w:val="clear" w:color="auto" w:fill="auto"/>
          </w:tcPr>
          <w:p w14:paraId="54B21338" w14:textId="77777777" w:rsidR="00B946B7" w:rsidRPr="00E41079" w:rsidRDefault="00B946B7" w:rsidP="00110D58">
            <w:r w:rsidRPr="00E41079">
              <w:t>50</w:t>
            </w:r>
          </w:p>
        </w:tc>
        <w:tc>
          <w:tcPr>
            <w:tcW w:w="2214" w:type="dxa"/>
            <w:shd w:val="clear" w:color="auto" w:fill="auto"/>
          </w:tcPr>
          <w:p w14:paraId="4E982495" w14:textId="77777777" w:rsidR="00B946B7" w:rsidRPr="00E41079" w:rsidRDefault="00B946B7" w:rsidP="00110D58">
            <w:r w:rsidRPr="00E41079">
              <w:t>0.147</w:t>
            </w:r>
          </w:p>
        </w:tc>
        <w:tc>
          <w:tcPr>
            <w:tcW w:w="2214" w:type="dxa"/>
            <w:shd w:val="clear" w:color="auto" w:fill="auto"/>
          </w:tcPr>
          <w:p w14:paraId="3DC04EC8" w14:textId="77777777" w:rsidR="00B946B7" w:rsidRPr="00E41079" w:rsidRDefault="00B946B7" w:rsidP="00110D58">
            <w:r w:rsidRPr="00E41079">
              <w:t>0.0194</w:t>
            </w:r>
          </w:p>
        </w:tc>
      </w:tr>
      <w:tr w:rsidR="00B946B7" w:rsidRPr="00E41079" w14:paraId="74309DA3" w14:textId="77777777" w:rsidTr="00110D58">
        <w:tc>
          <w:tcPr>
            <w:tcW w:w="2214" w:type="dxa"/>
            <w:shd w:val="clear" w:color="auto" w:fill="auto"/>
          </w:tcPr>
          <w:p w14:paraId="7B8D2BE5" w14:textId="77777777" w:rsidR="00B946B7" w:rsidRPr="00E41079" w:rsidRDefault="00B946B7" w:rsidP="00110D58">
            <w:r w:rsidRPr="00E41079">
              <w:t>5000</w:t>
            </w:r>
          </w:p>
        </w:tc>
        <w:tc>
          <w:tcPr>
            <w:tcW w:w="2214" w:type="dxa"/>
            <w:shd w:val="clear" w:color="auto" w:fill="auto"/>
          </w:tcPr>
          <w:p w14:paraId="71D9D81D" w14:textId="77777777" w:rsidR="00B946B7" w:rsidRPr="00E41079" w:rsidRDefault="00B946B7" w:rsidP="00110D58">
            <w:r w:rsidRPr="00E41079">
              <w:t>5000</w:t>
            </w:r>
          </w:p>
        </w:tc>
        <w:tc>
          <w:tcPr>
            <w:tcW w:w="2214" w:type="dxa"/>
            <w:shd w:val="clear" w:color="auto" w:fill="auto"/>
          </w:tcPr>
          <w:p w14:paraId="4D44CE57" w14:textId="77777777" w:rsidR="00B946B7" w:rsidRPr="00E41079" w:rsidRDefault="00B946B7" w:rsidP="00110D58">
            <w:r>
              <w:t>0.1430</w:t>
            </w:r>
            <w:r w:rsidRPr="00E41079" w:rsidDel="009D00B2">
              <w:t xml:space="preserve"> </w:t>
            </w:r>
          </w:p>
        </w:tc>
        <w:tc>
          <w:tcPr>
            <w:tcW w:w="2214" w:type="dxa"/>
            <w:shd w:val="clear" w:color="auto" w:fill="auto"/>
          </w:tcPr>
          <w:p w14:paraId="63ACB88B" w14:textId="77777777" w:rsidR="00B946B7" w:rsidRPr="00E41079" w:rsidRDefault="00B946B7" w:rsidP="00110D58">
            <w:r w:rsidRPr="00E41079">
              <w:t>0.0</w:t>
            </w:r>
            <w:r>
              <w:t>057</w:t>
            </w:r>
          </w:p>
        </w:tc>
      </w:tr>
    </w:tbl>
    <w:p w14:paraId="081C5AB3" w14:textId="77777777" w:rsidR="00B946B7" w:rsidRPr="00E41079" w:rsidRDefault="00B946B7" w:rsidP="00B946B7"/>
    <w:p w14:paraId="42D02878" w14:textId="77777777" w:rsidR="00B946B7" w:rsidRPr="0033263A" w:rsidRDefault="00B946B7" w:rsidP="00B946B7">
      <w:pPr>
        <w:rPr>
          <w:i/>
        </w:rPr>
      </w:pPr>
      <w:r w:rsidRPr="0033263A">
        <w:rPr>
          <w:i/>
        </w:rPr>
        <w:t>Sensitivity to Rare Variants</w:t>
      </w:r>
    </w:p>
    <w:p w14:paraId="46AD5A36" w14:textId="77777777" w:rsidR="00B946B7" w:rsidRPr="00E41079" w:rsidRDefault="00B946B7" w:rsidP="00B946B7">
      <w:r w:rsidRPr="00E41079">
        <w:t xml:space="preserve">If SNPs are ascertained in an outgroup population, we expect an </w:t>
      </w:r>
      <w:r w:rsidRPr="00E41079">
        <w:rPr>
          <w:i/>
        </w:rPr>
        <w:t>F</w:t>
      </w:r>
      <w:r w:rsidRPr="00E41079">
        <w:rPr>
          <w:vertAlign w:val="subscript"/>
        </w:rPr>
        <w:t>ST</w:t>
      </w:r>
      <w:r w:rsidRPr="00E41079">
        <w:t xml:space="preserve"> of 0.190 according to population genetic theory. This is approximately what we observe from the Hudson estimator when using a ratio of average approach to combine estimates across SNPs. However, Holsinger’s Bayesian method does not produce values that are similar to this. When run on 1000 SNPs selected to be polymorphic in </w:t>
      </w:r>
      <w:proofErr w:type="gramStart"/>
      <w:r w:rsidRPr="00E41079">
        <w:t>an outgroup</w:t>
      </w:r>
      <w:proofErr w:type="gramEnd"/>
      <w:r w:rsidRPr="00E41079">
        <w:t xml:space="preserve">, we obtained a value of 0.287 (95% confidence interval: 0.264-0.311). The difference between this estimate and the expected value of 0.190 is statistically significant.  If we restrict to the set of SNPs which are at 5% MAF or higher in both populations (in addition to being polymorphic in the outgroup), we obtain an </w:t>
      </w:r>
      <w:r w:rsidRPr="00E41079">
        <w:rPr>
          <w:i/>
        </w:rPr>
        <w:t>F</w:t>
      </w:r>
      <w:r w:rsidRPr="00E41079">
        <w:rPr>
          <w:vertAlign w:val="subscript"/>
        </w:rPr>
        <w:t>ST</w:t>
      </w:r>
      <w:r w:rsidRPr="00E41079">
        <w:t xml:space="preserve"> estimate of .0.1</w:t>
      </w:r>
      <w:r>
        <w:t>43</w:t>
      </w:r>
      <w:r w:rsidRPr="00E41079">
        <w:t xml:space="preserve"> (95% confidence interval: 0.1</w:t>
      </w:r>
      <w:r>
        <w:t>32</w:t>
      </w:r>
      <w:r w:rsidRPr="00E41079">
        <w:t>-0.1</w:t>
      </w:r>
      <w:r>
        <w:t>55</w:t>
      </w:r>
      <w:r w:rsidRPr="00E41079">
        <w:t>)</w:t>
      </w:r>
      <w:r>
        <w:t>.</w:t>
      </w:r>
      <w:r w:rsidRPr="00E41079">
        <w:t xml:space="preserve"> </w:t>
      </w:r>
      <w:r>
        <w:t>While</w:t>
      </w:r>
      <w:r w:rsidRPr="00E41079">
        <w:t xml:space="preserve"> more concordant with our expectations under population genetic theory</w:t>
      </w:r>
      <w:r>
        <w:t xml:space="preserve">, </w:t>
      </w:r>
      <w:r w:rsidRPr="00E41079">
        <w:t xml:space="preserve">such an ascertainment produces a </w:t>
      </w:r>
      <w:r>
        <w:t xml:space="preserve">downward </w:t>
      </w:r>
      <w:r w:rsidRPr="00E41079">
        <w:t>bias as it removes some of the most differentiated SNPs. We caution that sequence data contains numerous variants that are private or rare in one or both populations studied. Thus, we do not recommend the Holsinger method for appli</w:t>
      </w:r>
      <w:r>
        <w:t>cation to sequencing data sets.</w:t>
      </w:r>
    </w:p>
    <w:p w14:paraId="036AA290" w14:textId="77777777" w:rsidR="00B946B7" w:rsidRPr="00E41079" w:rsidRDefault="00B946B7" w:rsidP="00B946B7"/>
    <w:p w14:paraId="2CEB12BB" w14:textId="77777777" w:rsidR="00B946B7" w:rsidRPr="0033263A" w:rsidRDefault="00B946B7" w:rsidP="00B946B7">
      <w:pPr>
        <w:rPr>
          <w:i/>
        </w:rPr>
      </w:pPr>
      <w:r w:rsidRPr="0033263A">
        <w:rPr>
          <w:i/>
        </w:rPr>
        <w:t>Runtime Analysis</w:t>
      </w:r>
    </w:p>
    <w:p w14:paraId="513A4E0C" w14:textId="77777777" w:rsidR="00B946B7" w:rsidRPr="00E41079" w:rsidRDefault="00B946B7" w:rsidP="00B946B7">
      <w:r w:rsidRPr="00E41079">
        <w:t>We ran Hickory on 10, 100, and 1000 SNPs that were selected to be polymorphic in the outgroup population and at least one of the bottleneck and expansion populations. For each of these runs we report runtime on a set of 50, 200, 500, or 5000 individuals.</w:t>
      </w:r>
    </w:p>
    <w:p w14:paraId="44D11274" w14:textId="77777777" w:rsidR="00B946B7" w:rsidRPr="00E41079" w:rsidRDefault="00B946B7" w:rsidP="00B946B7"/>
    <w:tbl>
      <w:tblPr>
        <w:tblW w:w="6500" w:type="dxa"/>
        <w:jc w:val="center"/>
        <w:tblLook w:val="04A0" w:firstRow="1" w:lastRow="0" w:firstColumn="1" w:lastColumn="0" w:noHBand="0" w:noVBand="1"/>
      </w:tblPr>
      <w:tblGrid>
        <w:gridCol w:w="1300"/>
        <w:gridCol w:w="1300"/>
        <w:gridCol w:w="1300"/>
        <w:gridCol w:w="1300"/>
        <w:gridCol w:w="1300"/>
      </w:tblGrid>
      <w:tr w:rsidR="00B946B7" w:rsidRPr="00235D1D" w14:paraId="08DC0CD2" w14:textId="77777777" w:rsidTr="00110D58">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DBBCB" w14:textId="77777777" w:rsidR="00B946B7" w:rsidRPr="00235D1D" w:rsidRDefault="00B946B7" w:rsidP="00110D58">
            <w:pPr>
              <w:rPr>
                <w:rFonts w:ascii="Calibri" w:eastAsia="Times New Roman" w:hAnsi="Calibri"/>
                <w:color w:val="000000"/>
              </w:rPr>
            </w:pPr>
            <w:r w:rsidRPr="00235D1D">
              <w:rPr>
                <w:rFonts w:ascii="Calibri" w:eastAsia="Times New Roman" w:hAnsi="Calibri"/>
                <w:color w:val="000000"/>
              </w:rPr>
              <w:t> </w:t>
            </w:r>
          </w:p>
        </w:tc>
        <w:tc>
          <w:tcPr>
            <w:tcW w:w="52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DA1172" w14:textId="77777777" w:rsidR="00B946B7" w:rsidRPr="00235D1D" w:rsidRDefault="00B946B7" w:rsidP="00110D58">
            <w:pPr>
              <w:jc w:val="center"/>
              <w:rPr>
                <w:rFonts w:ascii="Calibri" w:eastAsia="Times New Roman" w:hAnsi="Calibri"/>
                <w:color w:val="000000"/>
              </w:rPr>
            </w:pPr>
            <w:r w:rsidRPr="00235D1D">
              <w:rPr>
                <w:rFonts w:ascii="Calibri" w:eastAsia="Times New Roman" w:hAnsi="Calibri"/>
                <w:color w:val="000000"/>
              </w:rPr>
              <w:t># of Samples</w:t>
            </w:r>
          </w:p>
        </w:tc>
      </w:tr>
      <w:tr w:rsidR="00B946B7" w:rsidRPr="00235D1D" w14:paraId="52A54AFA" w14:textId="77777777" w:rsidTr="00110D5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E495EC" w14:textId="77777777" w:rsidR="00B946B7" w:rsidRPr="00235D1D" w:rsidRDefault="00B946B7" w:rsidP="00110D58">
            <w:pPr>
              <w:jc w:val="center"/>
              <w:rPr>
                <w:rFonts w:ascii="Calibri" w:eastAsia="Times New Roman" w:hAnsi="Calibri"/>
                <w:color w:val="000000"/>
              </w:rPr>
            </w:pPr>
            <w:r w:rsidRPr="00235D1D">
              <w:rPr>
                <w:rFonts w:ascii="Calibri" w:eastAsia="Times New Roman" w:hAnsi="Calibri"/>
                <w:color w:val="000000"/>
              </w:rPr>
              <w:t># SNPs</w:t>
            </w:r>
          </w:p>
        </w:tc>
        <w:tc>
          <w:tcPr>
            <w:tcW w:w="1300" w:type="dxa"/>
            <w:tcBorders>
              <w:top w:val="nil"/>
              <w:left w:val="nil"/>
              <w:bottom w:val="single" w:sz="4" w:space="0" w:color="auto"/>
              <w:right w:val="single" w:sz="4" w:space="0" w:color="auto"/>
            </w:tcBorders>
            <w:shd w:val="clear" w:color="auto" w:fill="auto"/>
            <w:noWrap/>
            <w:vAlign w:val="bottom"/>
            <w:hideMark/>
          </w:tcPr>
          <w:p w14:paraId="6858836E"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26B7072D"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569B189F"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500</w:t>
            </w:r>
          </w:p>
        </w:tc>
        <w:tc>
          <w:tcPr>
            <w:tcW w:w="1300" w:type="dxa"/>
            <w:tcBorders>
              <w:top w:val="nil"/>
              <w:left w:val="nil"/>
              <w:bottom w:val="single" w:sz="4" w:space="0" w:color="auto"/>
              <w:right w:val="single" w:sz="4" w:space="0" w:color="auto"/>
            </w:tcBorders>
            <w:shd w:val="clear" w:color="auto" w:fill="auto"/>
            <w:noWrap/>
            <w:vAlign w:val="bottom"/>
            <w:hideMark/>
          </w:tcPr>
          <w:p w14:paraId="170C6C59"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5000</w:t>
            </w:r>
          </w:p>
        </w:tc>
      </w:tr>
      <w:tr w:rsidR="00B946B7" w:rsidRPr="00235D1D" w14:paraId="6BD1D431" w14:textId="77777777" w:rsidTr="00110D5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3A3EF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78DB9DC"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63</w:t>
            </w:r>
          </w:p>
        </w:tc>
        <w:tc>
          <w:tcPr>
            <w:tcW w:w="1300" w:type="dxa"/>
            <w:tcBorders>
              <w:top w:val="nil"/>
              <w:left w:val="nil"/>
              <w:bottom w:val="single" w:sz="4" w:space="0" w:color="auto"/>
              <w:right w:val="single" w:sz="4" w:space="0" w:color="auto"/>
            </w:tcBorders>
            <w:shd w:val="clear" w:color="auto" w:fill="auto"/>
            <w:noWrap/>
            <w:vAlign w:val="bottom"/>
            <w:hideMark/>
          </w:tcPr>
          <w:p w14:paraId="331FEEA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72</w:t>
            </w:r>
          </w:p>
        </w:tc>
        <w:tc>
          <w:tcPr>
            <w:tcW w:w="1300" w:type="dxa"/>
            <w:tcBorders>
              <w:top w:val="nil"/>
              <w:left w:val="nil"/>
              <w:bottom w:val="single" w:sz="4" w:space="0" w:color="auto"/>
              <w:right w:val="single" w:sz="4" w:space="0" w:color="auto"/>
            </w:tcBorders>
            <w:shd w:val="clear" w:color="auto" w:fill="auto"/>
            <w:noWrap/>
            <w:vAlign w:val="bottom"/>
            <w:hideMark/>
          </w:tcPr>
          <w:p w14:paraId="6B12A227"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76</w:t>
            </w:r>
          </w:p>
        </w:tc>
        <w:tc>
          <w:tcPr>
            <w:tcW w:w="1300" w:type="dxa"/>
            <w:tcBorders>
              <w:top w:val="nil"/>
              <w:left w:val="nil"/>
              <w:bottom w:val="single" w:sz="4" w:space="0" w:color="auto"/>
              <w:right w:val="single" w:sz="4" w:space="0" w:color="auto"/>
            </w:tcBorders>
            <w:shd w:val="clear" w:color="auto" w:fill="auto"/>
            <w:noWrap/>
            <w:vAlign w:val="bottom"/>
            <w:hideMark/>
          </w:tcPr>
          <w:p w14:paraId="44E3A230"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84</w:t>
            </w:r>
          </w:p>
        </w:tc>
      </w:tr>
      <w:tr w:rsidR="00B946B7" w:rsidRPr="00235D1D" w14:paraId="6191F7E7" w14:textId="77777777" w:rsidTr="00110D5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C643F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029ADB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714</w:t>
            </w:r>
          </w:p>
        </w:tc>
        <w:tc>
          <w:tcPr>
            <w:tcW w:w="1300" w:type="dxa"/>
            <w:tcBorders>
              <w:top w:val="nil"/>
              <w:left w:val="nil"/>
              <w:bottom w:val="single" w:sz="4" w:space="0" w:color="auto"/>
              <w:right w:val="single" w:sz="4" w:space="0" w:color="auto"/>
            </w:tcBorders>
            <w:shd w:val="clear" w:color="auto" w:fill="auto"/>
            <w:noWrap/>
            <w:vAlign w:val="bottom"/>
            <w:hideMark/>
          </w:tcPr>
          <w:p w14:paraId="49F97F92"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734</w:t>
            </w:r>
          </w:p>
        </w:tc>
        <w:tc>
          <w:tcPr>
            <w:tcW w:w="1300" w:type="dxa"/>
            <w:tcBorders>
              <w:top w:val="nil"/>
              <w:left w:val="nil"/>
              <w:bottom w:val="single" w:sz="4" w:space="0" w:color="auto"/>
              <w:right w:val="single" w:sz="4" w:space="0" w:color="auto"/>
            </w:tcBorders>
            <w:shd w:val="clear" w:color="auto" w:fill="auto"/>
            <w:noWrap/>
            <w:vAlign w:val="bottom"/>
            <w:hideMark/>
          </w:tcPr>
          <w:p w14:paraId="039FF230"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833</w:t>
            </w:r>
          </w:p>
        </w:tc>
        <w:tc>
          <w:tcPr>
            <w:tcW w:w="1300" w:type="dxa"/>
            <w:tcBorders>
              <w:top w:val="nil"/>
              <w:left w:val="nil"/>
              <w:bottom w:val="single" w:sz="4" w:space="0" w:color="auto"/>
              <w:right w:val="single" w:sz="4" w:space="0" w:color="auto"/>
            </w:tcBorders>
            <w:shd w:val="clear" w:color="auto" w:fill="auto"/>
            <w:noWrap/>
            <w:vAlign w:val="bottom"/>
            <w:hideMark/>
          </w:tcPr>
          <w:p w14:paraId="2A1ACF5D"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898</w:t>
            </w:r>
          </w:p>
        </w:tc>
      </w:tr>
      <w:tr w:rsidR="00B946B7" w:rsidRPr="00235D1D" w14:paraId="455B6A24" w14:textId="77777777" w:rsidTr="00110D5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E03FF2"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3101F76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8400</w:t>
            </w:r>
          </w:p>
        </w:tc>
        <w:tc>
          <w:tcPr>
            <w:tcW w:w="1300" w:type="dxa"/>
            <w:tcBorders>
              <w:top w:val="nil"/>
              <w:left w:val="nil"/>
              <w:bottom w:val="single" w:sz="4" w:space="0" w:color="auto"/>
              <w:right w:val="single" w:sz="4" w:space="0" w:color="auto"/>
            </w:tcBorders>
            <w:shd w:val="clear" w:color="auto" w:fill="auto"/>
            <w:noWrap/>
            <w:vAlign w:val="bottom"/>
            <w:hideMark/>
          </w:tcPr>
          <w:p w14:paraId="337C6DF4"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8280</w:t>
            </w:r>
          </w:p>
        </w:tc>
        <w:tc>
          <w:tcPr>
            <w:tcW w:w="1300" w:type="dxa"/>
            <w:tcBorders>
              <w:top w:val="nil"/>
              <w:left w:val="nil"/>
              <w:bottom w:val="single" w:sz="4" w:space="0" w:color="auto"/>
              <w:right w:val="single" w:sz="4" w:space="0" w:color="auto"/>
            </w:tcBorders>
            <w:shd w:val="clear" w:color="auto" w:fill="auto"/>
            <w:noWrap/>
            <w:vAlign w:val="bottom"/>
            <w:hideMark/>
          </w:tcPr>
          <w:p w14:paraId="4792ED13"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8525</w:t>
            </w:r>
          </w:p>
        </w:tc>
        <w:tc>
          <w:tcPr>
            <w:tcW w:w="1300" w:type="dxa"/>
            <w:tcBorders>
              <w:top w:val="nil"/>
              <w:left w:val="nil"/>
              <w:bottom w:val="single" w:sz="4" w:space="0" w:color="auto"/>
              <w:right w:val="single" w:sz="4" w:space="0" w:color="auto"/>
            </w:tcBorders>
            <w:shd w:val="clear" w:color="auto" w:fill="auto"/>
            <w:noWrap/>
            <w:vAlign w:val="bottom"/>
            <w:hideMark/>
          </w:tcPr>
          <w:p w14:paraId="6A9DDE06" w14:textId="77777777" w:rsidR="00B946B7" w:rsidRPr="00235D1D" w:rsidRDefault="00B946B7" w:rsidP="00110D58">
            <w:pPr>
              <w:jc w:val="right"/>
              <w:rPr>
                <w:rFonts w:ascii="Calibri" w:eastAsia="Times New Roman" w:hAnsi="Calibri"/>
                <w:color w:val="000000"/>
              </w:rPr>
            </w:pPr>
            <w:r w:rsidRPr="00235D1D">
              <w:rPr>
                <w:rFonts w:ascii="Calibri" w:eastAsia="Times New Roman" w:hAnsi="Calibri"/>
                <w:color w:val="000000"/>
              </w:rPr>
              <w:t>8475</w:t>
            </w:r>
          </w:p>
        </w:tc>
      </w:tr>
    </w:tbl>
    <w:p w14:paraId="5F03B860" w14:textId="77777777" w:rsidR="00B946B7" w:rsidRDefault="00B946B7" w:rsidP="00B946B7">
      <w:r w:rsidRPr="00E41079">
        <w:t xml:space="preserve">From this we </w:t>
      </w:r>
      <w:r>
        <w:t xml:space="preserve">conclude </w:t>
      </w:r>
      <w:r w:rsidRPr="00E41079">
        <w:t xml:space="preserve">that the runtime is </w:t>
      </w:r>
      <w:r>
        <w:t xml:space="preserve">roughly </w:t>
      </w:r>
      <w:r w:rsidRPr="00E41079">
        <w:t>constant in the number of samples but linear in the number of SNPs. Extrapolating this to a modern data set of approximately 10</w:t>
      </w:r>
      <w:r w:rsidRPr="00E41079">
        <w:rPr>
          <w:vertAlign w:val="superscript"/>
        </w:rPr>
        <w:t>7</w:t>
      </w:r>
      <w:r w:rsidRPr="00E41079">
        <w:t xml:space="preserve"> markers (similar to the number of markers in 1000 Genomes data), we expect a runtime of ~8x10</w:t>
      </w:r>
      <w:r w:rsidRPr="00E41079">
        <w:rPr>
          <w:vertAlign w:val="superscript"/>
        </w:rPr>
        <w:t>7</w:t>
      </w:r>
      <w:r w:rsidRPr="00E41079">
        <w:t xml:space="preserve"> seconds, or approximately 2.5 years of CPU time. , Including Holsinger’s method in Table S1 would take </w:t>
      </w:r>
      <w:r>
        <w:t>approximately 1500</w:t>
      </w:r>
      <w:r w:rsidRPr="00E41079">
        <w:t xml:space="preserve"> CPU years</w:t>
      </w:r>
      <w:r>
        <w:t xml:space="preserve"> (2.5 years * (16 choose 2) pairs of populations * 5 ascertainment schemes)</w:t>
      </w:r>
      <w:r w:rsidRPr="00E41079">
        <w:t xml:space="preserve">. Therefore, the computational requirements of Holsinger’s Bayesian method to estimate </w:t>
      </w:r>
      <w:r w:rsidRPr="00E41079">
        <w:rPr>
          <w:i/>
        </w:rPr>
        <w:t>F</w:t>
      </w:r>
      <w:r w:rsidRPr="00E41079">
        <w:rPr>
          <w:vertAlign w:val="subscript"/>
        </w:rPr>
        <w:t>ST</w:t>
      </w:r>
      <w:r>
        <w:t xml:space="preserve"> </w:t>
      </w:r>
      <w:r w:rsidRPr="00E41079">
        <w:t>severely limit its applicability to modern data sets.</w:t>
      </w:r>
    </w:p>
    <w:p w14:paraId="2CC517CA" w14:textId="77777777" w:rsidR="00B946B7" w:rsidRDefault="00B946B7" w:rsidP="00C555DF">
      <w:pPr>
        <w:ind w:firstLine="720"/>
      </w:pPr>
    </w:p>
    <w:p w14:paraId="202E5CDA" w14:textId="77777777" w:rsidR="0081143A" w:rsidRPr="009C656B" w:rsidRDefault="0081143A" w:rsidP="0081143A">
      <w:pPr>
        <w:pStyle w:val="Heading1"/>
      </w:pPr>
      <w:bookmarkStart w:id="88" w:name="_Toc206055487"/>
      <w:bookmarkStart w:id="89" w:name="_Toc206055578"/>
      <w:bookmarkStart w:id="90" w:name="_Toc206060117"/>
      <w:bookmarkStart w:id="91" w:name="_Toc206060913"/>
      <w:bookmarkStart w:id="92" w:name="_Toc206151603"/>
      <w:bookmarkStart w:id="93" w:name="_Toc210982968"/>
      <w:bookmarkStart w:id="94" w:name="_Toc211282954"/>
      <w:bookmarkStart w:id="95" w:name="_Toc214442413"/>
      <w:bookmarkStart w:id="96" w:name="_Toc214967469"/>
      <w:bookmarkStart w:id="97" w:name="_Toc214970896"/>
      <w:bookmarkStart w:id="98" w:name="_Toc217045512"/>
      <w:bookmarkStart w:id="99" w:name="_Toc219534424"/>
      <w:bookmarkStart w:id="100" w:name="_Toc219534506"/>
      <w:bookmarkStart w:id="101" w:name="_Toc232440791"/>
      <w:bookmarkStart w:id="102" w:name="_Toc232704460"/>
      <w:bookmarkStart w:id="103" w:name="_Toc232777585"/>
      <w:bookmarkStart w:id="104" w:name="_Toc217045503"/>
      <w:bookmarkStart w:id="105" w:name="_Toc219534415"/>
      <w:bookmarkStart w:id="106" w:name="_Toc219534497"/>
      <w:r w:rsidRPr="009C656B">
        <w:t>Sampling Common SNPs from 1000 Genomes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DACE113" w14:textId="77777777" w:rsidR="0081143A" w:rsidRDefault="0081143A" w:rsidP="0081143A"/>
    <w:p w14:paraId="5C43737D" w14:textId="77777777" w:rsidR="0081143A" w:rsidRPr="00BD4A25" w:rsidRDefault="0081143A" w:rsidP="0081143A">
      <w:r>
        <w:t xml:space="preserve">To demonstrate that common SNPs in the 1000 Genomes data have different population genetic properties than HapMap3 SNPs of the same frequency spectrum, we selected a random subset of 1000 Genomes SNPs according to the allele frequency spectrum of the HapMap3 SNPs, binned into 1% minor allele frequency bins. Specifically, we used Bayes rule to derive the probability of selecting a SNP with frequency </w:t>
      </w:r>
      <w:r>
        <w:rPr>
          <w:i/>
        </w:rPr>
        <w:t>f</w:t>
      </w:r>
      <w:r>
        <w:t>:</w:t>
      </w:r>
    </w:p>
    <w:p w14:paraId="22B2573B" w14:textId="77777777" w:rsidR="0081143A" w:rsidRDefault="0081143A" w:rsidP="0081143A">
      <w:pPr>
        <w:jc w:val="center"/>
      </w:pPr>
      <w:r w:rsidRPr="00BD4A25">
        <w:rPr>
          <w:position w:val="-30"/>
        </w:rPr>
        <w:object w:dxaOrig="5620" w:dyaOrig="680" w14:anchorId="218D169A">
          <v:shape id="_x0000_i1050" type="#_x0000_t75" style="width:281pt;height:34pt" o:ole="">
            <v:imagedata r:id="rId110" o:title=""/>
          </v:shape>
          <o:OLEObject Type="Embed" ProgID="Equation.3" ShapeID="_x0000_i1050" DrawAspect="Content" ObjectID="_1309872888" r:id="rId111"/>
        </w:object>
      </w:r>
    </w:p>
    <w:p w14:paraId="2EC93D97" w14:textId="77777777" w:rsidR="0081143A" w:rsidRDefault="0081143A" w:rsidP="0081143A">
      <w:proofErr w:type="gramStart"/>
      <w:r>
        <w:t>where</w:t>
      </w:r>
      <w:proofErr w:type="gramEnd"/>
      <w:r>
        <w:t xml:space="preserve">, </w:t>
      </w:r>
      <w:r w:rsidRPr="00106356">
        <w:rPr>
          <w:position w:val="-10"/>
        </w:rPr>
        <w:object w:dxaOrig="1920" w:dyaOrig="320" w14:anchorId="3CA8C413">
          <v:shape id="_x0000_i1051" type="#_x0000_t75" style="width:96pt;height:16pt" o:ole="">
            <v:imagedata r:id="rId112" o:title=""/>
          </v:shape>
          <o:OLEObject Type="Embed" ProgID="Equation.3" ShapeID="_x0000_i1051" DrawAspect="Content" ObjectID="_1309872889" r:id="rId113"/>
        </w:object>
      </w:r>
      <w:r>
        <w:t xml:space="preserve">probability of frequency </w:t>
      </w:r>
      <w:r>
        <w:rPr>
          <w:i/>
        </w:rPr>
        <w:t>f</w:t>
      </w:r>
      <w:r>
        <w:t xml:space="preserve"> in the HapMap3 SNPs, </w:t>
      </w:r>
    </w:p>
    <w:p w14:paraId="794C8472" w14:textId="77777777" w:rsidR="0081143A" w:rsidRDefault="0081143A" w:rsidP="0081143A">
      <w:pPr>
        <w:jc w:val="center"/>
      </w:pPr>
      <w:r w:rsidRPr="00BD4A25">
        <w:rPr>
          <w:position w:val="-24"/>
        </w:rPr>
        <w:object w:dxaOrig="4160" w:dyaOrig="620" w14:anchorId="3176D43C">
          <v:shape id="_x0000_i1052" type="#_x0000_t75" style="width:208pt;height:31pt" o:ole="">
            <v:imagedata r:id="rId114" o:title=""/>
          </v:shape>
          <o:OLEObject Type="Embed" ProgID="Equation.3" ShapeID="_x0000_i1052" DrawAspect="Content" ObjectID="_1309872890" r:id="rId115"/>
        </w:object>
      </w:r>
    </w:p>
    <w:p w14:paraId="07820B45" w14:textId="77777777" w:rsidR="0081143A" w:rsidRDefault="0081143A" w:rsidP="0081143A">
      <w:proofErr w:type="gramStart"/>
      <w:r>
        <w:t>and</w:t>
      </w:r>
      <w:proofErr w:type="gramEnd"/>
      <w:r w:rsidRPr="00106356">
        <w:rPr>
          <w:position w:val="-10"/>
        </w:rPr>
        <w:object w:dxaOrig="540" w:dyaOrig="320" w14:anchorId="36B8D8A4">
          <v:shape id="_x0000_i1053" type="#_x0000_t75" style="width:27pt;height:16pt" o:ole="">
            <v:imagedata r:id="rId116" o:title=""/>
          </v:shape>
          <o:OLEObject Type="Embed" ProgID="Equation.3" ShapeID="_x0000_i1053" DrawAspect="Content" ObjectID="_1309872891" r:id="rId117"/>
        </w:object>
      </w:r>
      <w:r>
        <w:t xml:space="preserve">is the probability of frequency </w:t>
      </w:r>
      <w:r>
        <w:rPr>
          <w:i/>
        </w:rPr>
        <w:t>f</w:t>
      </w:r>
      <w:r>
        <w:t xml:space="preserve"> in the 1000 Genomes SNPs. Then, given </w:t>
      </w:r>
      <w:r w:rsidRPr="00106356">
        <w:rPr>
          <w:position w:val="-10"/>
        </w:rPr>
        <w:object w:dxaOrig="1940" w:dyaOrig="320" w14:anchorId="6C5BD30F">
          <v:shape id="_x0000_i1054" type="#_x0000_t75" style="width:97pt;height:16pt" o:ole="">
            <v:imagedata r:id="rId118" o:title=""/>
          </v:shape>
          <o:OLEObject Type="Embed" ProgID="Equation.3" ShapeID="_x0000_i1054" DrawAspect="Content" ObjectID="_1309872892" r:id="rId119"/>
        </w:object>
      </w:r>
      <w:r>
        <w:t xml:space="preserve">we analyzed each 1000 Genomes SNP independently and included it with this probability. The allele frequency spectrum for both HapMap and 1000 Genomes data was produced by analyzing data from the YRI population. SNPs that were not polymorphic in YRI were not used as part of the </w:t>
      </w:r>
      <w:r w:rsidRPr="004B5839">
        <w:rPr>
          <w:i/>
        </w:rPr>
        <w:t>F</w:t>
      </w:r>
      <w:r w:rsidRPr="004B5839">
        <w:rPr>
          <w:vertAlign w:val="subscript"/>
        </w:rPr>
        <w:t>ST</w:t>
      </w:r>
      <w:r>
        <w:t xml:space="preserve"> estimate between CEU and CHB. We performed this subsampling 10 separate times to produces 10 sets of SNPs matching the HapMap3 allele frequency spectrum in YRI. These 10 sets of SNPs were used to separately estimate </w:t>
      </w:r>
      <w:r w:rsidRPr="004B5839">
        <w:rPr>
          <w:i/>
        </w:rPr>
        <w:t>F</w:t>
      </w:r>
      <w:r w:rsidRPr="004B5839">
        <w:rPr>
          <w:vertAlign w:val="subscript"/>
        </w:rPr>
        <w:t>ST</w:t>
      </w:r>
      <w:r>
        <w:t xml:space="preserve"> between CEU and CHB.</w:t>
      </w:r>
    </w:p>
    <w:bookmarkEnd w:id="104"/>
    <w:bookmarkEnd w:id="105"/>
    <w:bookmarkEnd w:id="106"/>
    <w:p w14:paraId="22F7014D" w14:textId="77777777" w:rsidR="00A17A13" w:rsidRDefault="00A17A13"/>
    <w:p w14:paraId="78F9B964" w14:textId="77777777" w:rsidR="0081143A" w:rsidRPr="0033263A" w:rsidRDefault="0081143A" w:rsidP="0081143A">
      <w:pPr>
        <w:pStyle w:val="Heading1"/>
      </w:pPr>
      <w:bookmarkStart w:id="107" w:name="_Toc210982961"/>
      <w:bookmarkStart w:id="108" w:name="_Toc211282947"/>
      <w:bookmarkStart w:id="109" w:name="_Toc214442406"/>
      <w:bookmarkStart w:id="110" w:name="_Toc214967462"/>
      <w:bookmarkStart w:id="111" w:name="_Toc214970889"/>
      <w:bookmarkStart w:id="112" w:name="_Toc217045505"/>
      <w:bookmarkStart w:id="113" w:name="_Toc219534417"/>
      <w:bookmarkStart w:id="114" w:name="_Toc219534499"/>
      <w:bookmarkStart w:id="115" w:name="_Toc232440794"/>
      <w:bookmarkStart w:id="116" w:name="_Toc232704461"/>
      <w:bookmarkStart w:id="117" w:name="_Toc232777586"/>
      <w:r w:rsidRPr="0033263A">
        <w:t xml:space="preserve">Weir and Cockerham’s </w:t>
      </w:r>
      <w:r w:rsidRPr="0033263A">
        <w:rPr>
          <w:i/>
        </w:rPr>
        <w:t>F</w:t>
      </w:r>
      <w:r w:rsidRPr="0033263A">
        <w:rPr>
          <w:vertAlign w:val="subscript"/>
        </w:rPr>
        <w:t>ST</w:t>
      </w:r>
      <w:r w:rsidRPr="0033263A">
        <w:t xml:space="preserve"> (WC)</w:t>
      </w:r>
      <w:bookmarkEnd w:id="107"/>
      <w:bookmarkEnd w:id="108"/>
      <w:bookmarkEnd w:id="109"/>
      <w:bookmarkEnd w:id="110"/>
      <w:bookmarkEnd w:id="111"/>
      <w:bookmarkEnd w:id="112"/>
      <w:bookmarkEnd w:id="113"/>
      <w:bookmarkEnd w:id="114"/>
      <w:bookmarkEnd w:id="115"/>
      <w:bookmarkEnd w:id="116"/>
      <w:bookmarkEnd w:id="117"/>
    </w:p>
    <w:p w14:paraId="1F4A2A0A" w14:textId="77777777" w:rsidR="0081143A" w:rsidRPr="00E41079" w:rsidRDefault="0081143A" w:rsidP="0081143A">
      <w:pPr>
        <w:rPr>
          <w:i/>
        </w:rPr>
      </w:pPr>
      <w:r w:rsidRPr="00E41079">
        <w:rPr>
          <w:i/>
        </w:rPr>
        <w:t>Conceptual Definition</w:t>
      </w:r>
    </w:p>
    <w:p w14:paraId="7B3B8D15" w14:textId="77777777" w:rsidR="0081143A" w:rsidRPr="00E41079" w:rsidRDefault="0081143A" w:rsidP="0081143A">
      <w:pPr>
        <w:ind w:firstLine="720"/>
      </w:pPr>
      <w:r w:rsidRPr="00E41079">
        <w:t xml:space="preserve">Weir and Cockerham </w:t>
      </w:r>
      <w:r w:rsidR="00862942" w:rsidRPr="00E41079">
        <w:fldChar w:fldCharType="begin"/>
      </w:r>
      <w:r w:rsidR="00D73545">
        <w:instrText xml:space="preserve"> ADDIN PAPERS2_CITATIONS &lt;citation&gt;&lt;uuid&gt;F5199137-D7A1-4F72-A70D-EE70AD221B17&lt;/uuid&gt;&lt;priority&gt;18&lt;/priority&gt;&lt;publications&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s&gt;&lt;cites&gt;&lt;/cites&gt;&lt;/citation&gt;</w:instrText>
      </w:r>
      <w:r w:rsidR="00862942" w:rsidRPr="00E41079">
        <w:fldChar w:fldCharType="separate"/>
      </w:r>
      <w:r w:rsidR="00D73545">
        <w:rPr>
          <w:rFonts w:cs="Cambria"/>
        </w:rPr>
        <w:t>(Weir and Hill 2002; Weir and Cockerham 1984)</w:t>
      </w:r>
      <w:r w:rsidR="00862942" w:rsidRPr="00E41079">
        <w:fldChar w:fldCharType="end"/>
      </w:r>
      <w:r w:rsidRPr="00E41079">
        <w:t xml:space="preserve"> used a conceptual definition provided by Wright </w:t>
      </w:r>
      <w:r w:rsidR="00862942" w:rsidRPr="00E41079">
        <w:fldChar w:fldCharType="begin"/>
      </w:r>
      <w:r w:rsidR="00D73545">
        <w:instrText xml:space="preserve"> ADDIN PAPERS2_CITATIONS &lt;citation&gt;&lt;uuid&gt;34F05190-7EF4-47D0-8A3A-CC2C2E4DEB97&lt;/uuid&gt;&lt;priority&gt;19&lt;/priority&gt;&lt;publications&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s&gt;&lt;cites&gt;&lt;/cites&gt;&lt;/citation&gt;</w:instrText>
      </w:r>
      <w:r w:rsidR="00862942" w:rsidRPr="00E41079">
        <w:fldChar w:fldCharType="separate"/>
      </w:r>
      <w:r w:rsidR="00D73545">
        <w:rPr>
          <w:rFonts w:cs="Cambria"/>
        </w:rPr>
        <w:t>(Weir and Cockerham 1984; Wright 1949)</w:t>
      </w:r>
      <w:r w:rsidR="00862942" w:rsidRPr="00E41079">
        <w:fldChar w:fldCharType="end"/>
      </w:r>
      <w:r w:rsidRPr="00E41079">
        <w:t xml:space="preserve"> and Cockerham </w:t>
      </w:r>
      <w:r w:rsidR="00862942" w:rsidRPr="00E41079">
        <w:fldChar w:fldCharType="begin"/>
      </w:r>
      <w:r w:rsidR="00D73545">
        <w:instrText xml:space="preserve"> ADDIN PAPERS2_CITATIONS &lt;citation&gt;&lt;uuid&gt;DF1372CE-CE7C-4DE1-BA92-324596A19842&lt;/uuid&gt;&lt;priority&gt;20&lt;/priority&gt;&lt;publications&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s&gt;&lt;cites&gt;&lt;/cites&gt;&lt;/citation&gt;</w:instrText>
      </w:r>
      <w:r w:rsidR="00862942" w:rsidRPr="00E41079">
        <w:fldChar w:fldCharType="separate"/>
      </w:r>
      <w:r w:rsidR="00D73545">
        <w:rPr>
          <w:rFonts w:cs="Cambria"/>
        </w:rPr>
        <w:t>(Nei 1973; Cockerham 1969)</w:t>
      </w:r>
      <w:r w:rsidR="00862942" w:rsidRPr="00E41079">
        <w:fldChar w:fldCharType="end"/>
      </w:r>
      <w:r w:rsidRPr="00E41079">
        <w:t xml:space="preserve"> of </w:t>
      </w:r>
      <w:r w:rsidRPr="00E41079">
        <w:rPr>
          <w:i/>
        </w:rPr>
        <w:t>F</w:t>
      </w:r>
      <w:r w:rsidRPr="00E41079">
        <w:rPr>
          <w:vertAlign w:val="subscript"/>
        </w:rPr>
        <w:t>ST</w:t>
      </w:r>
      <w:r w:rsidRPr="00E41079">
        <w:t xml:space="preserve"> as a ratio of variances. We analyze this conceptual definition for a single biallelic SNP in two populations. Let </w:t>
      </w:r>
      <w:r>
        <w:rPr>
          <w:noProof/>
          <w:position w:val="-14"/>
        </w:rPr>
        <w:drawing>
          <wp:inline distT="0" distB="0" distL="0" distR="0" wp14:anchorId="19BCCB3B" wp14:editId="7ACD55BF">
            <wp:extent cx="660400" cy="254000"/>
            <wp:effectExtent l="0" t="0" r="0" b="0"/>
            <wp:docPr id="12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Pr="00E41079">
        <w:t xml:space="preserve"> be the allelic value of a single haploid </w:t>
      </w:r>
      <w:r w:rsidRPr="00E41079">
        <w:rPr>
          <w:i/>
        </w:rPr>
        <w:t>j</w:t>
      </w:r>
      <w:r w:rsidRPr="00E41079">
        <w:t xml:space="preserve"> chosen at random from population </w:t>
      </w:r>
      <w:proofErr w:type="spellStart"/>
      <w:r w:rsidRPr="00E41079">
        <w:rPr>
          <w:i/>
        </w:rPr>
        <w:t>i</w:t>
      </w:r>
      <w:proofErr w:type="spellEnd"/>
      <w:r w:rsidRPr="00E41079">
        <w:t xml:space="preserve">. Then, according to Cockerham, </w:t>
      </w:r>
    </w:p>
    <w:tbl>
      <w:tblPr>
        <w:tblW w:w="4736" w:type="pct"/>
        <w:tblLook w:val="04A0" w:firstRow="1" w:lastRow="0" w:firstColumn="1" w:lastColumn="0" w:noHBand="0" w:noVBand="1"/>
      </w:tblPr>
      <w:tblGrid>
        <w:gridCol w:w="7776"/>
        <w:gridCol w:w="612"/>
      </w:tblGrid>
      <w:tr w:rsidR="0081143A" w:rsidRPr="00E41079" w14:paraId="275265C7" w14:textId="77777777" w:rsidTr="0081143A">
        <w:tc>
          <w:tcPr>
            <w:tcW w:w="4635" w:type="pct"/>
            <w:shd w:val="clear" w:color="auto" w:fill="auto"/>
            <w:vAlign w:val="center"/>
          </w:tcPr>
          <w:p w14:paraId="36A05B76" w14:textId="77777777" w:rsidR="0081143A" w:rsidRPr="00E41079" w:rsidRDefault="0081143A" w:rsidP="0081143A">
            <w:pPr>
              <w:jc w:val="center"/>
            </w:pPr>
            <w:r>
              <w:rPr>
                <w:noProof/>
                <w:position w:val="-56"/>
              </w:rPr>
              <w:drawing>
                <wp:inline distT="0" distB="0" distL="0" distR="0" wp14:anchorId="325F6CE2" wp14:editId="11E0F48B">
                  <wp:extent cx="1803400" cy="787400"/>
                  <wp:effectExtent l="0" t="0" r="0" b="0"/>
                  <wp:docPr id="12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3400" cy="787400"/>
                          </a:xfrm>
                          <a:prstGeom prst="rect">
                            <a:avLst/>
                          </a:prstGeom>
                          <a:noFill/>
                          <a:ln>
                            <a:noFill/>
                          </a:ln>
                        </pic:spPr>
                      </pic:pic>
                    </a:graphicData>
                  </a:graphic>
                </wp:inline>
              </w:drawing>
            </w:r>
          </w:p>
        </w:tc>
        <w:tc>
          <w:tcPr>
            <w:tcW w:w="365" w:type="pct"/>
            <w:shd w:val="clear" w:color="auto" w:fill="auto"/>
            <w:vAlign w:val="center"/>
          </w:tcPr>
          <w:p w14:paraId="40E18905" w14:textId="77777777" w:rsidR="0081143A" w:rsidRPr="00E41079" w:rsidRDefault="0081143A" w:rsidP="0081143A">
            <w:pPr>
              <w:pStyle w:val="ListParagraph"/>
              <w:ind w:left="360"/>
            </w:pPr>
          </w:p>
        </w:tc>
      </w:tr>
    </w:tbl>
    <w:p w14:paraId="1F17386B"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7E12352F" wp14:editId="1B8F5139">
            <wp:extent cx="266700" cy="215900"/>
            <wp:effectExtent l="0" t="0" r="12700" b="12700"/>
            <wp:docPr id="12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215900"/>
                    </a:xfrm>
                    <a:prstGeom prst="rect">
                      <a:avLst/>
                    </a:prstGeom>
                    <a:noFill/>
                    <a:ln>
                      <a:noFill/>
                    </a:ln>
                  </pic:spPr>
                </pic:pic>
              </a:graphicData>
            </a:graphic>
          </wp:inline>
        </w:drawing>
      </w:r>
      <w:r w:rsidRPr="00E41079">
        <w:t xml:space="preserve">is the population allele frequency of the “1” allele in the ancestral population. Equivalent to a ratio of variances, the conceptual definition of </w:t>
      </w:r>
      <w:r w:rsidRPr="00E41079">
        <w:rPr>
          <w:i/>
        </w:rPr>
        <w:t>F</w:t>
      </w:r>
      <w:r w:rsidRPr="00E41079">
        <w:rPr>
          <w:vertAlign w:val="subscript"/>
        </w:rPr>
        <w:t>ST</w:t>
      </w:r>
      <w:r w:rsidRPr="00E41079">
        <w:t xml:space="preserve"> is the correlation between alleles drawn randomly from the same population.  We can rewrite this in terms of population allele frequencies as</w:t>
      </w:r>
    </w:p>
    <w:tbl>
      <w:tblPr>
        <w:tblW w:w="4736" w:type="pct"/>
        <w:tblLook w:val="04A0" w:firstRow="1" w:lastRow="0" w:firstColumn="1" w:lastColumn="0" w:noHBand="0" w:noVBand="1"/>
      </w:tblPr>
      <w:tblGrid>
        <w:gridCol w:w="7776"/>
        <w:gridCol w:w="612"/>
      </w:tblGrid>
      <w:tr w:rsidR="0081143A" w:rsidRPr="00E41079" w14:paraId="3D5919E9" w14:textId="77777777" w:rsidTr="0081143A">
        <w:tc>
          <w:tcPr>
            <w:tcW w:w="4635" w:type="pct"/>
            <w:shd w:val="clear" w:color="auto" w:fill="auto"/>
            <w:vAlign w:val="center"/>
          </w:tcPr>
          <w:p w14:paraId="58DC3264" w14:textId="77777777" w:rsidR="0081143A" w:rsidRPr="00E41079" w:rsidRDefault="0081143A" w:rsidP="0081143A">
            <w:pPr>
              <w:jc w:val="center"/>
            </w:pPr>
            <w:r>
              <w:rPr>
                <w:noProof/>
                <w:position w:val="-48"/>
              </w:rPr>
              <w:drawing>
                <wp:inline distT="0" distB="0" distL="0" distR="0" wp14:anchorId="642BC901" wp14:editId="7ECB0845">
                  <wp:extent cx="2171700" cy="698500"/>
                  <wp:effectExtent l="0" t="0" r="12700" b="12700"/>
                  <wp:docPr id="12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71700" cy="698500"/>
                          </a:xfrm>
                          <a:prstGeom prst="rect">
                            <a:avLst/>
                          </a:prstGeom>
                          <a:noFill/>
                          <a:ln>
                            <a:noFill/>
                          </a:ln>
                        </pic:spPr>
                      </pic:pic>
                    </a:graphicData>
                  </a:graphic>
                </wp:inline>
              </w:drawing>
            </w:r>
          </w:p>
        </w:tc>
        <w:tc>
          <w:tcPr>
            <w:tcW w:w="365" w:type="pct"/>
            <w:shd w:val="clear" w:color="auto" w:fill="auto"/>
            <w:vAlign w:val="center"/>
          </w:tcPr>
          <w:p w14:paraId="12861826" w14:textId="77777777" w:rsidR="0081143A" w:rsidRPr="00E41079" w:rsidRDefault="0081143A" w:rsidP="0081143A">
            <w:pPr>
              <w:pStyle w:val="ListParagraph"/>
              <w:ind w:left="360"/>
            </w:pPr>
          </w:p>
        </w:tc>
      </w:tr>
    </w:tbl>
    <w:p w14:paraId="1E43CAA6"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4E094842" wp14:editId="5525FC4B">
            <wp:extent cx="165100" cy="215900"/>
            <wp:effectExtent l="0" t="0" r="12700" b="12700"/>
            <wp:docPr id="12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E41079">
        <w:t xml:space="preserve">is the population allele frequency of population </w:t>
      </w:r>
      <w:proofErr w:type="spellStart"/>
      <w:r w:rsidRPr="00E41079">
        <w:rPr>
          <w:i/>
        </w:rPr>
        <w:t>i</w:t>
      </w:r>
      <w:proofErr w:type="spellEnd"/>
      <w:r w:rsidRPr="00E41079">
        <w:rPr>
          <w:i/>
        </w:rPr>
        <w:t>.</w:t>
      </w:r>
      <w:r w:rsidRPr="00E41079">
        <w:t xml:space="preserve"> </w:t>
      </w:r>
    </w:p>
    <w:p w14:paraId="29C21554" w14:textId="77777777" w:rsidR="0081143A" w:rsidRPr="00E41079" w:rsidRDefault="0081143A" w:rsidP="0081143A">
      <w:r w:rsidRPr="00E41079">
        <w:t xml:space="preserve"> We make two comments about this conceptual definition. First, there is a single </w:t>
      </w:r>
      <w:r w:rsidRPr="00E41079">
        <w:rPr>
          <w:i/>
        </w:rPr>
        <w:t>F</w:t>
      </w:r>
      <w:r w:rsidRPr="00E41079">
        <w:rPr>
          <w:vertAlign w:val="subscript"/>
        </w:rPr>
        <w:t>ST</w:t>
      </w:r>
      <w:r w:rsidRPr="00E41079">
        <w:t xml:space="preserve"> parameter as opposed to an </w:t>
      </w:r>
      <w:r w:rsidRPr="00E41079">
        <w:rPr>
          <w:i/>
        </w:rPr>
        <w:t>F</w:t>
      </w:r>
      <w:r w:rsidRPr="00E41079">
        <w:rPr>
          <w:vertAlign w:val="subscript"/>
        </w:rPr>
        <w:t>ST</w:t>
      </w:r>
      <w:r w:rsidRPr="00E41079">
        <w:t xml:space="preserve"> parameter for each population. This parameterization assumes that </w:t>
      </w:r>
      <w:r w:rsidRPr="00E41079">
        <w:rPr>
          <w:i/>
        </w:rPr>
        <w:t>F</w:t>
      </w:r>
      <w:r w:rsidRPr="00E41079">
        <w:rPr>
          <w:vertAlign w:val="subscript"/>
        </w:rPr>
        <w:t>ST</w:t>
      </w:r>
      <w:r w:rsidRPr="00E41079">
        <w:t xml:space="preserve"> is identical across populations, and suggests that current populations are replicates for the same evolutionary process </w:t>
      </w:r>
      <w:r w:rsidR="00862942" w:rsidRPr="00E41079">
        <w:fldChar w:fldCharType="begin"/>
      </w:r>
      <w:r w:rsidR="00D73545">
        <w:instrText xml:space="preserve"> ADDIN PAPERS2_CITATIONS &lt;citation&gt;&lt;uuid&gt;0A6434FA-84D3-45B7-A660-561653F94657&lt;/uuid&gt;&lt;priority&gt;21&lt;/priority&gt;&lt;publications&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9A2A7598-4001-42A2-AC87-A3D5CF44556C&lt;/uuid&gt;&lt;volume&gt;39&lt;/volume&gt;&lt;accepted_date&gt;99200707171200000000222000&lt;/accepted_date&gt;&lt;doi&gt;10.1038/ng2116&lt;/doi&gt;&lt;startpage&gt;1251&lt;/startpage&gt;&lt;publication_date&gt;99200710001200000000220000&lt;/publication_date&gt;&lt;url&gt;http://eutils.ncbi.nlm.nih.gov/entrez/eutils/elink.fcgi?dbfrom=pubmed&amp;amp;id=17828266&amp;amp;retmode=ref&amp;amp;cmd=prlinks&lt;/url&gt;&lt;type&gt;400&lt;/type&gt;&lt;title&gt;Measurement of the human allele frequency spectrum demonstrates greater genetic drift in East Asians than in Europeans.&lt;/title&gt;&lt;location&gt;200,9,42.3355089,-71.1043686&lt;/location&gt;&lt;submission_date&gt;99200704241200000000222000&lt;/submission_date&gt;&lt;number&gt;10&lt;/number&gt;&lt;institution&gt;Department of Genetics, Harvard Medical School, Boston, Massachusetts 02115, USA. akeinan@genetics.med.harvard.edu&lt;/institution&gt;&lt;subtype&gt;400&lt;/subtype&gt;&lt;endpage&gt;1255&lt;/endpage&gt;&lt;bundle&gt;&lt;publication&gt;&lt;publisher&gt;Nature Publishing Group&lt;/publisher&gt;&lt;url&gt;http://www.nature.com&lt;/url&gt;&lt;title&gt;Nature genetics&lt;/title&gt;&lt;type&gt;-100&lt;/type&gt;&lt;subtype&gt;-100&lt;/subtype&gt;&lt;uuid&gt;02980058-4F1F-4866-97F2-89644F2F93F8&lt;/uuid&gt;&lt;/publication&gt;&lt;/bundle&gt;&lt;authors&gt;&lt;author&gt;&lt;firstName&gt;Alon&lt;/firstName&gt;&lt;lastName&gt;Keinan&lt;/lastName&gt;&lt;/author&gt;&lt;author&gt;&lt;firstName&gt;James&lt;/firstName&gt;&lt;middleNames&gt;C&lt;/middleNames&gt;&lt;lastName&gt;Mullikin&lt;/lastName&gt;&lt;/author&gt;&lt;author&gt;&lt;firstName&gt;Nick&lt;/firstName&gt;&lt;lastName&gt;Patterson&lt;/lastName&gt;&lt;/author&gt;&lt;author&gt;&lt;firstName&gt;David&lt;/firstName&gt;&lt;lastName&gt;Reich&lt;/lastName&gt;&lt;/author&gt;&lt;/authors&gt;&lt;/publication&gt;&lt;/publications&gt;&lt;cites&gt;&lt;/cites&gt;&lt;/citation&gt;</w:instrText>
      </w:r>
      <w:r w:rsidR="00862942" w:rsidRPr="00E41079">
        <w:fldChar w:fldCharType="separate"/>
      </w:r>
      <w:r w:rsidR="00D73545">
        <w:rPr>
          <w:rFonts w:cs="Cambria"/>
        </w:rPr>
        <w:t>(Hudson et al. 1992; Weir and Cockerham 1984; Keinan et al. 2007)</w:t>
      </w:r>
      <w:r w:rsidR="00862942" w:rsidRPr="00E41079">
        <w:fldChar w:fldCharType="end"/>
      </w:r>
      <w:r w:rsidRPr="00E41079">
        <w:t xml:space="preserve">. If this assumption does not hold—and it may be unlikely to hold in practice </w:t>
      </w:r>
      <w:r w:rsidR="00862942" w:rsidRPr="00E41079">
        <w:fldChar w:fldCharType="begin"/>
      </w:r>
      <w:r w:rsidR="00D73545">
        <w:instrText xml:space="preserve"> ADDIN PAPERS2_CITATIONS &lt;citation&gt;&lt;uuid&gt;A0390967-AEBB-4885-9D39-9AA995087E12&lt;/uuid&gt;&lt;priority&gt;22&lt;/priority&gt;&lt;publications&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gt;&lt;uuid&gt;643DE6D4-BE5D-4243-AE73-F73F11A626FF&lt;/uuid&gt;&lt;volume&gt;467&lt;/volume&gt;&lt;accepted_date&gt;99201006211200000000222000&lt;/accepted_date&gt;&lt;doi&gt;10.1038/nature09298&lt;/doi&gt;&lt;startpage&gt;52&lt;/startpage&gt;&lt;publication_date&gt;99201009021200000000222000&lt;/publication_date&gt;&lt;url&gt;http://eutils.ncbi.nlm.nih.gov/entrez/eutils/elink.fcgi?dbfrom=pubmed&amp;amp;id=20811451&amp;amp;retmode=ref&amp;amp;cmd=prlinks&lt;/url&gt;&lt;citekey&gt;RefWorks:41&lt;/citekey&gt;&lt;type&gt;400&lt;/type&gt;&lt;title&gt;Integrating common and rare genetic variation in diverse human populations.&lt;/title&gt;&lt;location&gt;200,5,42.3803274,-71.1389101&lt;/location&gt;&lt;submission_date&gt;99200911101200000000222000&lt;/submission_date&gt;&lt;number&gt;7311&lt;/number&gt;&lt;institution&gt;Broad Institute, 7 Cambridge Center, Cambridge, Massachusetts 02138, USA. altshuler@molbio.mgh.harvard.edu&lt;/institution&gt;&lt;subtype&gt;400&lt;/subtype&gt;&lt;endpage&gt;58&lt;/endpage&gt;&lt;bundle&gt;&lt;publication&gt;&lt;url&gt;http://www.nature.com/nature&lt;/url&gt;&lt;title&gt;Nature&lt;/title&gt;&lt;type&gt;-100&lt;/type&gt;&lt;subtype&gt;-100&lt;/subtype&gt;&lt;uuid&gt;6C310864-49BB-4421-ADF9-18C2D60E193A&lt;/uuid&gt;&lt;/publication&gt;&lt;/bundle&gt;&lt;authors&gt;&lt;author&gt;&lt;lastName&gt;International HapMap 3 Consortium&lt;/lastName&gt;&lt;/author&gt;&lt;/authors&gt;&lt;/publication&gt;&lt;/publications&gt;&lt;cites&gt;&lt;/cites&gt;&lt;/citation&gt;</w:instrText>
      </w:r>
      <w:r w:rsidR="00862942" w:rsidRPr="00E41079">
        <w:fldChar w:fldCharType="separate"/>
      </w:r>
      <w:r w:rsidR="00D73545">
        <w:rPr>
          <w:rFonts w:cs="Cambria"/>
        </w:rPr>
        <w:t>(Weir and Cockerham 1984; Nei 1986; International HapMap 3 Consortium 2010)</w:t>
      </w:r>
      <w:r w:rsidR="00862942" w:rsidRPr="00E41079">
        <w:fldChar w:fldCharType="end"/>
      </w:r>
      <w:r w:rsidRPr="00E41079">
        <w:t xml:space="preserve">—the conceptual definition no longer applies.  Weir and Hill </w:t>
      </w:r>
      <w:r w:rsidR="00862942" w:rsidRPr="00E41079">
        <w:fldChar w:fldCharType="begin"/>
      </w:r>
      <w:r w:rsidR="00D73545">
        <w:instrText xml:space="preserve"> ADDIN PAPERS2_CITATIONS &lt;citation&gt;&lt;uuid&gt;2A1DECA8-319D-4A85-AFC1-CF8D45635CDC&lt;/uuid&gt;&lt;priority&gt;23&lt;/priority&gt;&lt;publications&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s&gt;&lt;cites&gt;&lt;/cites&gt;&lt;/citation&gt;</w:instrText>
      </w:r>
      <w:r w:rsidR="00862942" w:rsidRPr="00E41079">
        <w:fldChar w:fldCharType="separate"/>
      </w:r>
      <w:r w:rsidR="00D73545">
        <w:rPr>
          <w:rFonts w:cs="Cambria"/>
        </w:rPr>
        <w:t>(1000 Genomes Project Consortium 2010; Weir and Hill 2002)</w:t>
      </w:r>
      <w:r w:rsidR="00862942" w:rsidRPr="00E41079">
        <w:fldChar w:fldCharType="end"/>
      </w:r>
      <w:r w:rsidRPr="00E41079">
        <w:t xml:space="preserve"> relaxed this assumption, generalizing to: </w:t>
      </w:r>
    </w:p>
    <w:tbl>
      <w:tblPr>
        <w:tblW w:w="4390" w:type="pct"/>
        <w:tblLook w:val="04A0" w:firstRow="1" w:lastRow="0" w:firstColumn="1" w:lastColumn="0" w:noHBand="0" w:noVBand="1"/>
      </w:tblPr>
      <w:tblGrid>
        <w:gridCol w:w="7776"/>
      </w:tblGrid>
      <w:tr w:rsidR="0081143A" w:rsidRPr="00E41079" w14:paraId="739752DF" w14:textId="77777777" w:rsidTr="0081143A">
        <w:tc>
          <w:tcPr>
            <w:tcW w:w="5000" w:type="pct"/>
            <w:shd w:val="clear" w:color="auto" w:fill="auto"/>
            <w:vAlign w:val="center"/>
          </w:tcPr>
          <w:p w14:paraId="15B8F4E3" w14:textId="77777777" w:rsidR="0081143A" w:rsidRPr="00E41079" w:rsidRDefault="0081143A" w:rsidP="0081143A">
            <w:pPr>
              <w:jc w:val="center"/>
            </w:pPr>
            <w:r>
              <w:rPr>
                <w:noProof/>
                <w:position w:val="-32"/>
              </w:rPr>
              <w:drawing>
                <wp:inline distT="0" distB="0" distL="0" distR="0" wp14:anchorId="2D4CADCD" wp14:editId="71B4622B">
                  <wp:extent cx="2197100" cy="482600"/>
                  <wp:effectExtent l="0" t="0" r="12700" b="0"/>
                  <wp:docPr id="12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97100" cy="482600"/>
                          </a:xfrm>
                          <a:prstGeom prst="rect">
                            <a:avLst/>
                          </a:prstGeom>
                          <a:noFill/>
                          <a:ln>
                            <a:noFill/>
                          </a:ln>
                        </pic:spPr>
                      </pic:pic>
                    </a:graphicData>
                  </a:graphic>
                </wp:inline>
              </w:drawing>
            </w:r>
          </w:p>
        </w:tc>
      </w:tr>
    </w:tbl>
    <w:p w14:paraId="0F532DE0" w14:textId="77777777" w:rsidR="0081143A" w:rsidRPr="00E41079" w:rsidRDefault="0081143A" w:rsidP="0081143A">
      <w:r w:rsidRPr="00E41079">
        <w:t>Our second comment applies both to Cockerham’s original conceptual definition and Weir and Hill’s modified version. The relationship described by</w:t>
      </w:r>
      <w:r w:rsidRPr="00E41079">
        <w:rPr>
          <w:position w:val="-14"/>
        </w:rPr>
        <w:object w:dxaOrig="1180" w:dyaOrig="400" w14:anchorId="3026FD83">
          <v:shape id="_x0000_i1055" type="#_x0000_t75" style="width:59pt;height:20pt" o:ole="">
            <v:imagedata r:id="rId126" o:title=""/>
          </v:shape>
          <o:OLEObject Type="Embed" ProgID="Equation.3" ShapeID="_x0000_i1055" DrawAspect="Content" ObjectID="_1309872893" r:id="rId127"/>
        </w:object>
      </w:r>
      <w:r w:rsidRPr="00E41079">
        <w:t xml:space="preserve"> is only true if the SNP was polymorphic in the ancestral population. For the equalities to hold and </w:t>
      </w:r>
      <w:r w:rsidRPr="00E41079">
        <w:rPr>
          <w:i/>
        </w:rPr>
        <w:t>F</w:t>
      </w:r>
      <w:r w:rsidRPr="00E41079">
        <w:rPr>
          <w:vertAlign w:val="subscript"/>
        </w:rPr>
        <w:t>ST</w:t>
      </w:r>
      <w:r w:rsidRPr="00E41079">
        <w:t xml:space="preserve"> to be a correlation, we must ascertain only SNPs that were polymorphic in the ancestral population, excluding most rare variants. While it is possible to apply the WC estimator to SNPs that do not fit this criterion, such an estimate will not correspond to the conceptual definitions that are described. We analyze all estimators of </w:t>
      </w:r>
      <w:r w:rsidRPr="00E41079">
        <w:rPr>
          <w:i/>
        </w:rPr>
        <w:t>F</w:t>
      </w:r>
      <w:r w:rsidRPr="00E41079">
        <w:rPr>
          <w:vertAlign w:val="subscript"/>
        </w:rPr>
        <w:t>ST</w:t>
      </w:r>
      <w:r w:rsidRPr="00E41079">
        <w:t xml:space="preserve"> using the more general conceptual definition of </w:t>
      </w:r>
      <w:r w:rsidR="00862942" w:rsidRPr="00E41079">
        <w:fldChar w:fldCharType="begin"/>
      </w:r>
      <w:r w:rsidR="00D73545">
        <w:instrText xml:space="preserve"> ADDIN PAPERS2_CITATIONS &lt;citation&gt;&lt;uuid&gt;7BAF4B6A-EBAE-434E-AA63-722616766B11&lt;/uuid&gt;&lt;priority&gt;24&lt;/priority&gt;&lt;publications&gt;&lt;publication&gt;&lt;uuid&gt;7A45E0F6-70F9-458B-94AF-8BFC109A8002&lt;/uuid&gt;&lt;volume&gt;24&lt;/volume&gt;&lt;doi&gt;10.1093/bioinformatics/btn531&lt;/doi&gt;&lt;startpage&gt;2790&lt;/startpage&gt;&lt;publication_date&gt;99200812011200000000222000&lt;/publication_date&gt;&lt;url&gt;http://eutils.ncbi.nlm.nih.gov/entrez/eutils/elink.fcgi?dbfrom=pubmed&amp;amp;id=18845580&amp;amp;retmode=ref&amp;amp;cmd=prlinks&lt;/url&gt;&lt;citekey&gt;RefWorks:136&lt;/citekey&gt;&lt;type&gt;400&lt;/type&gt;&lt;title&gt;FABSIM: a software for generating FST distributions with various ascertainment biases.&lt;/title&gt;&lt;location&gt;200,5,41.3842701,2.1855573&lt;/location&gt;&lt;institution&gt;IBE, Institute of Evolutionary Biology (UPF-CSIC), CEXS-UPF-PRBB. Doctor Aiguader, 88. 08003 Barcelona, Catalonia, Spain.&lt;/institution&gt;&lt;number&gt;23&lt;/number&gt;&lt;subtype&gt;400&lt;/subtype&gt;&lt;endpage&gt;2791&lt;/endpage&gt;&lt;bundle&gt;&lt;publication&gt;&lt;title&gt;Bioinformatics&lt;/title&gt;&lt;type&gt;-100&lt;/type&gt;&lt;subtype&gt;-100&lt;/subtype&gt;&lt;uuid&gt;8041A9EA-59ED-4767-A952-92ADB9110437&lt;/uuid&gt;&lt;/publication&gt;&lt;/bundle&gt;&lt;authors&gt;&lt;author&gt;&lt;firstName&gt;Anna&lt;/firstName&gt;&lt;lastName&gt;Ramírez-Soriano&lt;/lastName&gt;&lt;/author&gt;&lt;author&gt;&lt;firstName&gt;Francesc&lt;/firstName&gt;&lt;lastName&gt;Calafell&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gt;&lt;uuid&gt;6DF05EA1-0971-472C-959D-869EC7DB45B0&lt;/uuid&gt;&lt;volume&gt;27&lt;/volume&gt;&lt;doi&gt;10.1093/molbev/msq148&lt;/doi&gt;&lt;startpage&gt;2534&lt;/startpage&gt;&lt;publication_date&gt;99201011001200000000220000&lt;/publication_date&gt;&lt;url&gt;http://eutils.ncbi.nlm.nih.gov/entrez/eutils/elink.fcgi?dbfrom=pubmed&amp;amp;id=20558595&amp;amp;retmode=ref&amp;amp;cmd=prlinks&lt;/url&gt;&lt;citekey&gt;RefWorks:114&lt;/citekey&gt;&lt;type&gt;400&lt;/type&gt;&lt;title&gt;Ascertainment biases in SNP chips affect measures of population divergence.&lt;/title&gt;&lt;location&gt;200,9,55.6805540,12.5723182&lt;/location&gt;&lt;institution&gt;Department of Biostatistics, Copenhagen University, Copenhagen, Denmark. albrecht@binf.ku.dk&lt;/institution&gt;&lt;number&gt;11&lt;/number&gt;&lt;subtype&gt;400&lt;/subtype&gt;&lt;endpage&gt;2547&lt;/endpage&gt;&lt;bundle&gt;&lt;publication&gt;&lt;title&gt;Molecular biology and evolution&lt;/title&gt;&lt;type&gt;-100&lt;/type&gt;&lt;subtype&gt;-100&lt;/subtype&gt;&lt;uuid&gt;64ECEA76-7BF3-49FD-B66C-F33BFB8987B6&lt;/uuid&gt;&lt;/publication&gt;&lt;/bundle&gt;&lt;authors&gt;&lt;author&gt;&lt;firstName&gt;Anders&lt;/firstName&gt;&lt;lastName&gt;Albrechtsen&lt;/lastName&gt;&lt;/author&gt;&lt;author&gt;&lt;firstName&gt;Finn&lt;/firstName&gt;&lt;middleNames&gt;Cilius&lt;/middleNames&gt;&lt;lastName&gt;Nielsen&lt;/lastName&gt;&lt;/author&gt;&lt;author&gt;&lt;firstName&gt;Rasmus&lt;/firstName&gt;&lt;lastName&gt;Nielsen&lt;/lastName&gt;&lt;/author&gt;&lt;/authors&gt;&lt;/publication&gt;&lt;/publications&gt;&lt;cites&gt;&lt;/cites&gt;&lt;/citation&gt;</w:instrText>
      </w:r>
      <w:r w:rsidR="00862942" w:rsidRPr="00E41079">
        <w:fldChar w:fldCharType="separate"/>
      </w:r>
      <w:r w:rsidR="00D73545">
        <w:rPr>
          <w:rFonts w:cs="Cambria"/>
        </w:rPr>
        <w:t>(Ramírez-Soriano and Calafell 2008; Weir and Hill 2002; Albrechtsen et al. 2010)</w:t>
      </w:r>
      <w:r w:rsidR="00862942" w:rsidRPr="00E41079">
        <w:fldChar w:fldCharType="end"/>
      </w:r>
      <w:r w:rsidRPr="00E41079">
        <w:t>.</w:t>
      </w:r>
    </w:p>
    <w:p w14:paraId="05139D68" w14:textId="77777777" w:rsidR="0081143A" w:rsidRPr="00E41079" w:rsidRDefault="0081143A" w:rsidP="0081143A"/>
    <w:p w14:paraId="5C8A46A4" w14:textId="77777777" w:rsidR="0081143A" w:rsidRPr="00E41079" w:rsidRDefault="0081143A" w:rsidP="0081143A">
      <w:pPr>
        <w:rPr>
          <w:i/>
        </w:rPr>
      </w:pPr>
      <w:r w:rsidRPr="00E41079">
        <w:rPr>
          <w:i/>
        </w:rPr>
        <w:t>Estimator</w:t>
      </w:r>
    </w:p>
    <w:p w14:paraId="3FC4F3B2" w14:textId="77777777" w:rsidR="0081143A" w:rsidRPr="00E41079" w:rsidRDefault="0081143A" w:rsidP="0081143A">
      <w:r w:rsidRPr="00E41079">
        <w:t xml:space="preserve">We show that the WC estimator, in a setting of population specific </w:t>
      </w:r>
      <w:r w:rsidRPr="00E41079">
        <w:rPr>
          <w:i/>
        </w:rPr>
        <w:t>F</w:t>
      </w:r>
      <w:r w:rsidRPr="00E41079">
        <w:rPr>
          <w:vertAlign w:val="subscript"/>
        </w:rPr>
        <w:t>ST</w:t>
      </w:r>
      <w:r w:rsidRPr="00E41079">
        <w:t xml:space="preserve">, will result in estimates that vary with the ratio of sample sizes. While Weir and Hill proposed a modified estimator to account for population specific </w:t>
      </w:r>
      <w:r w:rsidRPr="00E41079">
        <w:rPr>
          <w:i/>
        </w:rPr>
        <w:t>F</w:t>
      </w:r>
      <w:r w:rsidRPr="00E41079">
        <w:rPr>
          <w:vertAlign w:val="subscript"/>
        </w:rPr>
        <w:t>ST</w:t>
      </w:r>
      <w:r w:rsidRPr="00E41079">
        <w:t xml:space="preserve">, their estimator also has the property that “the quantities being estimated depend on the sample sizes”. Because it is highly cited and also has this property, we focus on the WC estimator. We are particularly interested in its behavior in the limit of large sample size—the quantity being estimated. </w:t>
      </w:r>
    </w:p>
    <w:p w14:paraId="01C5BFA5" w14:textId="77777777" w:rsidR="0081143A" w:rsidRPr="00E41079" w:rsidRDefault="0081143A" w:rsidP="0081143A">
      <w:r w:rsidRPr="00E41079">
        <w:t>Consider a biallelic SNP in a sample of individuals from 2 populations. The WC estimator is:</w:t>
      </w:r>
    </w:p>
    <w:tbl>
      <w:tblPr>
        <w:tblW w:w="4736" w:type="pct"/>
        <w:tblLook w:val="04A0" w:firstRow="1" w:lastRow="0" w:firstColumn="1" w:lastColumn="0" w:noHBand="0" w:noVBand="1"/>
      </w:tblPr>
      <w:tblGrid>
        <w:gridCol w:w="7776"/>
        <w:gridCol w:w="612"/>
      </w:tblGrid>
      <w:tr w:rsidR="0081143A" w:rsidRPr="00E41079" w14:paraId="72C4289C" w14:textId="77777777" w:rsidTr="0081143A">
        <w:tc>
          <w:tcPr>
            <w:tcW w:w="4635" w:type="pct"/>
            <w:shd w:val="clear" w:color="auto" w:fill="auto"/>
            <w:vAlign w:val="center"/>
          </w:tcPr>
          <w:p w14:paraId="1A55D777" w14:textId="77777777" w:rsidR="0081143A" w:rsidRPr="00E41079" w:rsidRDefault="0081143A" w:rsidP="0081143A">
            <w:pPr>
              <w:jc w:val="center"/>
            </w:pPr>
            <w:r>
              <w:rPr>
                <w:noProof/>
                <w:position w:val="-58"/>
              </w:rPr>
              <w:drawing>
                <wp:inline distT="0" distB="0" distL="0" distR="0" wp14:anchorId="62D86806" wp14:editId="231B9B6D">
                  <wp:extent cx="4787900" cy="812800"/>
                  <wp:effectExtent l="0" t="0" r="1270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87900" cy="812800"/>
                          </a:xfrm>
                          <a:prstGeom prst="rect">
                            <a:avLst/>
                          </a:prstGeom>
                          <a:noFill/>
                          <a:ln>
                            <a:noFill/>
                          </a:ln>
                        </pic:spPr>
                      </pic:pic>
                    </a:graphicData>
                  </a:graphic>
                </wp:inline>
              </w:drawing>
            </w:r>
          </w:p>
        </w:tc>
        <w:tc>
          <w:tcPr>
            <w:tcW w:w="365" w:type="pct"/>
            <w:shd w:val="clear" w:color="auto" w:fill="auto"/>
            <w:vAlign w:val="center"/>
          </w:tcPr>
          <w:p w14:paraId="6A379E63" w14:textId="77777777" w:rsidR="0081143A" w:rsidRPr="00E41079" w:rsidRDefault="0081143A" w:rsidP="0081143A">
            <w:pPr>
              <w:pStyle w:val="ListParagraph"/>
              <w:numPr>
                <w:ilvl w:val="0"/>
                <w:numId w:val="7"/>
              </w:numPr>
              <w:jc w:val="center"/>
            </w:pPr>
          </w:p>
        </w:tc>
      </w:tr>
    </w:tbl>
    <w:p w14:paraId="6A56D10B"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752677FD" wp14:editId="5FD62B7B">
            <wp:extent cx="152400" cy="215900"/>
            <wp:effectExtent l="0" t="0" r="0" b="1270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r w:rsidRPr="00E41079">
        <w:t xml:space="preserve">is the sample size and </w:t>
      </w:r>
      <w:r>
        <w:rPr>
          <w:noProof/>
          <w:position w:val="-12"/>
        </w:rPr>
        <w:drawing>
          <wp:inline distT="0" distB="0" distL="0" distR="0" wp14:anchorId="364EF037" wp14:editId="0D62425A">
            <wp:extent cx="165100" cy="215900"/>
            <wp:effectExtent l="0" t="0" r="12700" b="1270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E41079">
        <w:t xml:space="preserve">is the sample allele frequency in population </w:t>
      </w:r>
      <w:proofErr w:type="spellStart"/>
      <w:r w:rsidRPr="00E41079">
        <w:rPr>
          <w:i/>
        </w:rPr>
        <w:t>i</w:t>
      </w:r>
      <w:proofErr w:type="spellEnd"/>
      <w:r w:rsidRPr="00E41079">
        <w:rPr>
          <w:i/>
        </w:rPr>
        <w:t xml:space="preserve"> </w:t>
      </w:r>
      <w:r w:rsidRPr="00E41079">
        <w:t xml:space="preserve">for </w:t>
      </w:r>
      <w:r>
        <w:rPr>
          <w:noProof/>
          <w:position w:val="-10"/>
        </w:rPr>
        <w:drawing>
          <wp:inline distT="0" distB="0" distL="0" distR="0" wp14:anchorId="0D983E68" wp14:editId="249EC8BD">
            <wp:extent cx="571500" cy="203200"/>
            <wp:effectExtent l="0" t="0" r="12700" b="0"/>
            <wp:docPr id="13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E41079">
        <w:rPr>
          <w:i/>
        </w:rPr>
        <w:t>.</w:t>
      </w:r>
      <w:r w:rsidRPr="00E41079">
        <w:t xml:space="preserve"> Then, in the limit of large sample sizes (</w:t>
      </w:r>
      <w:r>
        <w:rPr>
          <w:noProof/>
          <w:position w:val="-12"/>
        </w:rPr>
        <w:drawing>
          <wp:inline distT="0" distB="0" distL="0" distR="0" wp14:anchorId="7A87D3E6" wp14:editId="47D90535">
            <wp:extent cx="596900" cy="215900"/>
            <wp:effectExtent l="0" t="0" r="12700" b="1270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900" cy="215900"/>
                    </a:xfrm>
                    <a:prstGeom prst="rect">
                      <a:avLst/>
                    </a:prstGeom>
                    <a:noFill/>
                    <a:ln>
                      <a:noFill/>
                    </a:ln>
                  </pic:spPr>
                </pic:pic>
              </a:graphicData>
            </a:graphic>
          </wp:inline>
        </w:drawing>
      </w:r>
      <w:r w:rsidRPr="00E41079">
        <w:t>), we can assume that sample allele frequencies become close to population allele frequencies (</w:t>
      </w:r>
      <w:r>
        <w:rPr>
          <w:rFonts w:eastAsia="Times New Roman"/>
          <w:b/>
          <w:noProof/>
          <w:position w:val="-12"/>
          <w:shd w:val="clear" w:color="auto" w:fill="FFFFFF"/>
        </w:rPr>
        <w:drawing>
          <wp:inline distT="0" distB="0" distL="0" distR="0" wp14:anchorId="6BA99665" wp14:editId="63FBA038">
            <wp:extent cx="495300" cy="215900"/>
            <wp:effectExtent l="0" t="0" r="12700" b="12700"/>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5300" cy="215900"/>
                    </a:xfrm>
                    <a:prstGeom prst="rect">
                      <a:avLst/>
                    </a:prstGeom>
                    <a:noFill/>
                    <a:ln>
                      <a:noFill/>
                    </a:ln>
                  </pic:spPr>
                </pic:pic>
              </a:graphicData>
            </a:graphic>
          </wp:inline>
        </w:drawing>
      </w:r>
      <w:r w:rsidRPr="00E41079">
        <w:t xml:space="preserve">). We analyze the estimator as the sample sizes increase, but their ratio goes to a constant </w:t>
      </w:r>
      <w:r w:rsidRPr="00E41079">
        <w:rPr>
          <w:i/>
        </w:rPr>
        <w:t xml:space="preserve">M </w:t>
      </w:r>
      <w:r w:rsidRPr="00E41079">
        <w:t xml:space="preserve">(see </w:t>
      </w:r>
      <w:r>
        <w:t>below</w:t>
      </w:r>
      <w:r w:rsidRPr="00E41079">
        <w:t xml:space="preserve"> for a derivation). That is, the quantity being estimated is:</w:t>
      </w:r>
    </w:p>
    <w:tbl>
      <w:tblPr>
        <w:tblW w:w="4736" w:type="pct"/>
        <w:tblLook w:val="04A0" w:firstRow="1" w:lastRow="0" w:firstColumn="1" w:lastColumn="0" w:noHBand="0" w:noVBand="1"/>
      </w:tblPr>
      <w:tblGrid>
        <w:gridCol w:w="7776"/>
        <w:gridCol w:w="612"/>
      </w:tblGrid>
      <w:tr w:rsidR="0081143A" w:rsidRPr="00E41079" w14:paraId="15E99164" w14:textId="77777777" w:rsidTr="0081143A">
        <w:tc>
          <w:tcPr>
            <w:tcW w:w="4635" w:type="pct"/>
            <w:shd w:val="clear" w:color="auto" w:fill="auto"/>
            <w:vAlign w:val="center"/>
          </w:tcPr>
          <w:p w14:paraId="1F9E9440" w14:textId="77777777" w:rsidR="0081143A" w:rsidRPr="00E41079" w:rsidRDefault="0081143A" w:rsidP="0081143A">
            <w:pPr>
              <w:jc w:val="center"/>
            </w:pPr>
            <w:r>
              <w:rPr>
                <w:noProof/>
                <w:position w:val="-58"/>
              </w:rPr>
              <w:drawing>
                <wp:inline distT="0" distB="0" distL="0" distR="0" wp14:anchorId="473E642D" wp14:editId="3F95F866">
                  <wp:extent cx="3543300" cy="622300"/>
                  <wp:effectExtent l="0" t="0" r="12700" b="12700"/>
                  <wp:docPr id="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43300" cy="622300"/>
                          </a:xfrm>
                          <a:prstGeom prst="rect">
                            <a:avLst/>
                          </a:prstGeom>
                          <a:noFill/>
                          <a:ln>
                            <a:noFill/>
                          </a:ln>
                        </pic:spPr>
                      </pic:pic>
                    </a:graphicData>
                  </a:graphic>
                </wp:inline>
              </w:drawing>
            </w:r>
          </w:p>
        </w:tc>
        <w:tc>
          <w:tcPr>
            <w:tcW w:w="365" w:type="pct"/>
            <w:shd w:val="clear" w:color="auto" w:fill="auto"/>
            <w:vAlign w:val="center"/>
          </w:tcPr>
          <w:p w14:paraId="21AA1B64" w14:textId="77777777" w:rsidR="0081143A" w:rsidRPr="00E41079" w:rsidRDefault="0081143A" w:rsidP="0081143A">
            <w:pPr>
              <w:pStyle w:val="ListParagraph"/>
              <w:numPr>
                <w:ilvl w:val="0"/>
                <w:numId w:val="7"/>
              </w:numPr>
              <w:jc w:val="center"/>
            </w:pPr>
          </w:p>
        </w:tc>
      </w:tr>
    </w:tbl>
    <w:p w14:paraId="3C7B566F"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77674A07" wp14:editId="508FDABD">
            <wp:extent cx="165100" cy="215900"/>
            <wp:effectExtent l="0" t="0" r="12700" b="12700"/>
            <wp:docPr id="1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E41079">
        <w:t xml:space="preserve">is the population allele frequency in population </w:t>
      </w:r>
      <w:proofErr w:type="spellStart"/>
      <w:r w:rsidRPr="00E41079">
        <w:rPr>
          <w:i/>
        </w:rPr>
        <w:t>i</w:t>
      </w:r>
      <w:proofErr w:type="spellEnd"/>
      <w:r w:rsidRPr="00E41079">
        <w:rPr>
          <w:i/>
        </w:rPr>
        <w:t xml:space="preserve"> </w:t>
      </w:r>
      <w:r w:rsidRPr="00E41079">
        <w:t xml:space="preserve">for </w:t>
      </w:r>
      <w:r>
        <w:rPr>
          <w:noProof/>
          <w:position w:val="-10"/>
        </w:rPr>
        <w:drawing>
          <wp:inline distT="0" distB="0" distL="0" distR="0" wp14:anchorId="39C76997" wp14:editId="322A9308">
            <wp:extent cx="571500" cy="203200"/>
            <wp:effectExtent l="0" t="0" r="12700" b="0"/>
            <wp:docPr id="13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E41079">
        <w:t xml:space="preserve">.  We now wish to convert from a mathematical function of allele frequencies, as in equation </w:t>
      </w:r>
      <w:r>
        <w:t>s</w:t>
      </w:r>
      <w:r w:rsidRPr="00E41079">
        <w:t xml:space="preserve">2, to a mathematical function of </w:t>
      </w:r>
      <w:r w:rsidRPr="00E41079">
        <w:rPr>
          <w:i/>
        </w:rPr>
        <w:t>F</w:t>
      </w:r>
      <w:r w:rsidRPr="00E41079">
        <w:rPr>
          <w:vertAlign w:val="subscript"/>
        </w:rPr>
        <w:t>ST</w:t>
      </w:r>
      <w:r w:rsidRPr="00E41079">
        <w:t xml:space="preserve">. To do this, we consider </w:t>
      </w:r>
      <w:r w:rsidRPr="00E41079">
        <w:rPr>
          <w:i/>
        </w:rPr>
        <w:t>expectations</w:t>
      </w:r>
      <w:r w:rsidRPr="00E41079">
        <w:t xml:space="preserve"> </w:t>
      </w:r>
      <w:r w:rsidRPr="00E41079">
        <w:rPr>
          <w:i/>
        </w:rPr>
        <w:t xml:space="preserve">over the evolutionary process </w:t>
      </w:r>
      <w:r w:rsidRPr="00E41079">
        <w:t xml:space="preserve">of the numerator and denominator of equation </w:t>
      </w:r>
      <w:r>
        <w:t>s</w:t>
      </w:r>
      <w:r w:rsidRPr="00E41079">
        <w:t>2 using the equations described by Weir and Hill. Following Weir and Cockerham, we do this separately for the numerator and denominator. For the numerator,</w:t>
      </w:r>
    </w:p>
    <w:tbl>
      <w:tblPr>
        <w:tblW w:w="4390" w:type="pct"/>
        <w:tblLook w:val="04A0" w:firstRow="1" w:lastRow="0" w:firstColumn="1" w:lastColumn="0" w:noHBand="0" w:noVBand="1"/>
      </w:tblPr>
      <w:tblGrid>
        <w:gridCol w:w="7776"/>
      </w:tblGrid>
      <w:tr w:rsidR="0081143A" w:rsidRPr="00E41079" w14:paraId="0C8557EA" w14:textId="77777777" w:rsidTr="0081143A">
        <w:tc>
          <w:tcPr>
            <w:tcW w:w="5000" w:type="pct"/>
            <w:shd w:val="clear" w:color="auto" w:fill="auto"/>
            <w:vAlign w:val="center"/>
          </w:tcPr>
          <w:p w14:paraId="62AFC780" w14:textId="77777777" w:rsidR="0081143A" w:rsidRPr="00E41079" w:rsidRDefault="0081143A" w:rsidP="0081143A">
            <w:pPr>
              <w:jc w:val="center"/>
            </w:pPr>
            <w:r>
              <w:rPr>
                <w:noProof/>
                <w:position w:val="-32"/>
              </w:rPr>
              <w:drawing>
                <wp:inline distT="0" distB="0" distL="0" distR="0" wp14:anchorId="26577732" wp14:editId="0484721D">
                  <wp:extent cx="4445000" cy="482600"/>
                  <wp:effectExtent l="0" t="0" r="0" b="0"/>
                  <wp:docPr id="1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45000" cy="482600"/>
                          </a:xfrm>
                          <a:prstGeom prst="rect">
                            <a:avLst/>
                          </a:prstGeom>
                          <a:noFill/>
                          <a:ln>
                            <a:noFill/>
                          </a:ln>
                        </pic:spPr>
                      </pic:pic>
                    </a:graphicData>
                  </a:graphic>
                </wp:inline>
              </w:drawing>
            </w:r>
          </w:p>
        </w:tc>
      </w:tr>
    </w:tbl>
    <w:p w14:paraId="728A5A63" w14:textId="77777777" w:rsidR="0081143A" w:rsidRPr="00E41079" w:rsidRDefault="0081143A" w:rsidP="0081143A">
      <w:r w:rsidRPr="00E41079">
        <w:t xml:space="preserve">However, if we assume that the drift between the ancestral population and population 1 is independent of the drift between the ancestral population and population 2 </w:t>
      </w:r>
      <w:r w:rsidR="00862942" w:rsidRPr="00E41079">
        <w:fldChar w:fldCharType="begin"/>
      </w:r>
      <w:r w:rsidR="00D73545">
        <w:instrText xml:space="preserve"> ADDIN PAPERS2_CITATIONS &lt;citation&gt;&lt;uuid&gt;44C18C7A-7A3C-436B-B169-3A9D1FE8B767&lt;/uuid&gt;&lt;priority&gt;25&lt;/priority&gt;&lt;publications&gt;&lt;publication&gt;&lt;volume&gt;15&lt;/volume&gt;&lt;publication_date&gt;99200500001200000000210000November 01&lt;/publication_date&gt;&lt;number&gt;11&lt;/number&gt;&lt;startpage&gt;1496&lt;/startpage&gt;&lt;title&gt;Ascertainment bias in studies of human genome-wide polymorphism&lt;/title&gt;&lt;uuid&gt;AE121F3C-5708-47F5-A19B-7F14933E82A3&lt;/uuid&gt;&lt;subtype&gt;400&lt;/subtype&gt;&lt;endpage&gt;1502&lt;/endpage&gt;&lt;type&gt;400&lt;/type&gt;&lt;citekey&gt;RefWorks:111&lt;/citekey&gt;&lt;url&gt;http://www.google.com/search?client=safari&amp;amp;rls=10_7_4&amp;amp;q=Ascertainment+bias+in+studies+of+human+genome+wide+polymorphism&amp;amp;ie=UTF-8&amp;amp;oe=UTF-8&lt;/url&gt;&lt;bundle&gt;&lt;publication&gt;&lt;title&gt;Genome research&lt;/title&gt;&lt;type&gt;-100&lt;/type&gt;&lt;subtype&gt;-100&lt;/subtype&gt;&lt;uuid&gt;22A5A446-E7C6-43D4-ACE6-ED41852272F0&lt;/uuid&gt;&lt;/publication&gt;&lt;/bundle&gt;&lt;authors&gt;&lt;author&gt;&lt;firstName&gt;Andrew&lt;/firstName&gt;&lt;middleNames&gt;G&lt;/middleNames&gt;&lt;lastName&gt;Clark&lt;/lastName&gt;&lt;/author&gt;&lt;author&gt;&lt;firstName&gt;Melissa&lt;/firstName&gt;&lt;middleNames&gt;J&lt;/middleNames&gt;&lt;lastName&gt;Hubisz&lt;/lastName&gt;&lt;/author&gt;&lt;author&gt;&lt;firstName&gt;Carlos&lt;/firstName&gt;&lt;middleNames&gt;D&lt;/middleNames&gt;&lt;lastName&gt;Bustamante&lt;/lastName&gt;&lt;/author&gt;&lt;author&gt;&lt;firstName&gt;Scott&lt;/firstName&gt;&lt;middleNames&gt;H&lt;/middleNames&gt;&lt;lastName&gt;Williamson&lt;/lastName&gt;&lt;/author&gt;&lt;author&gt;&lt;firstName&gt;Rasmus&lt;/firstName&gt;&lt;lastName&gt;Nielsen&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gt;&lt;uuid&gt;5286BCEF-FC4D-4E70-B749-4DAD7ED67202&lt;/uuid&gt;&lt;volume&gt;40&lt;/volume&gt;&lt;accepted_date&gt;99200712111200000000222000&lt;/accepted_date&gt;&lt;doi&gt;10.1038/ng.78&lt;/doi&gt;&lt;startpage&gt;340&lt;/startpage&gt;&lt;publication_date&gt;99200803001200000000220000&lt;/publication_date&gt;&lt;url&gt;http://eutils.ncbi.nlm.nih.gov/entrez/eutils/elink.fcgi?dbfrom=pubmed&amp;amp;id=18246066&amp;amp;retmode=ref&amp;amp;cmd=prlinks&lt;/url&gt;&lt;citekey&gt;RefWorks:21&lt;/citekey&gt;&lt;type&gt;400&lt;/type&gt;&lt;title&gt;Natural selection has driven population differentiation in modern humans.&lt;/title&gt;&lt;location&gt;602,0,0,0&lt;/location&gt;&lt;submission_date&gt;99200704251200000000222000&lt;/submission_date&gt;&lt;number&gt;3&lt;/number&gt;&lt;institution&gt;Human Evolutionary Genetics Unit, Centre National de la Recherche Scientifique-Unité de Recherche Associée (CNRS-URA3012), Institut Pasteur, 25 rue Dr. Roux, Paris 75015, France.&lt;/institution&gt;&lt;subtype&gt;400&lt;/subtype&gt;&lt;endpage&gt;345&lt;/endpage&gt;&lt;bundle&gt;&lt;publication&gt;&lt;publisher&gt;Nature Publishing Group&lt;/publisher&gt;&lt;url&gt;http://www.nature.com&lt;/url&gt;&lt;title&gt;Nature genetics&lt;/title&gt;&lt;type&gt;-100&lt;/type&gt;&lt;subtype&gt;-100&lt;/subtype&gt;&lt;uuid&gt;02980058-4F1F-4866-97F2-89644F2F93F8&lt;/uuid&gt;&lt;/publication&gt;&lt;/bundle&gt;&lt;authors&gt;&lt;author&gt;&lt;firstName&gt;Luis&lt;/firstName&gt;&lt;middleNames&gt;B&lt;/middleNames&gt;&lt;lastName&gt;Barreiro&lt;/lastName&gt;&lt;/author&gt;&lt;author&gt;&lt;firstName&gt;Guillaume&lt;/firstName&gt;&lt;lastName&gt;Laval&lt;/lastName&gt;&lt;/author&gt;&lt;author&gt;&lt;firstName&gt;Hélène&lt;/firstName&gt;&lt;lastName&gt;Quach&lt;/lastName&gt;&lt;/author&gt;&lt;author&gt;&lt;firstName&gt;Etienne&lt;/firstName&gt;&lt;lastName&gt;Patin&lt;/lastName&gt;&lt;/author&gt;&lt;author&gt;&lt;firstName&gt;Lluís&lt;/firstName&gt;&lt;lastName&gt;Quintana-Murci&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uuid&gt;1EB5A257-D655-4BC6-A8FA-7592B76BF835&lt;/uuid&gt;&lt;volume&gt;331&lt;/volume&gt;&lt;doi&gt;10.1126/science.1198878&lt;/doi&gt;&lt;startpage&gt;920&lt;/startpage&gt;&lt;publication_date&gt;99201102181200000000222000&lt;/publication_date&gt;&lt;url&gt;http://eutils.ncbi.nlm.nih.gov/entrez/eutils/elink.fcgi?dbfrom=pubmed&amp;amp;id=21330547&amp;amp;retmode=ref&amp;amp;cmd=prlinks&lt;/url&gt;&lt;citekey&gt;RefWorks:69&lt;/citekey&gt;&lt;type&gt;400&lt;/type&gt;&lt;title&gt;Classic selective sweeps were rare in recent human evolution.&lt;/title&gt;&lt;location&gt;200,9,41.7904566,-87.6025419&lt;/location&gt;&lt;institution&gt;Department of Human Genetics, University of Chicago, Chicago, IL 60637, USA.&lt;/institution&gt;&lt;number&gt;6019&lt;/number&gt;&lt;subtype&gt;400&lt;/subtype&gt;&lt;endpage&gt;924&lt;/endpage&gt;&lt;bundle&gt;&lt;publication&gt;&lt;url&gt;http://www.sciencemag.org&lt;/url&gt;&lt;title&gt;Science&lt;/title&gt;&lt;type&gt;-100&lt;/type&gt;&lt;subtype&gt;-100&lt;/subtype&gt;&lt;uuid&gt;1D9D1C01-9CF3-4851-B2F5-576D2D890C49&lt;/uuid&gt;&lt;/publication&gt;&lt;/bundle&gt;&lt;authors&gt;&lt;author&gt;&lt;firstName&gt;Ryan&lt;/firstName&gt;&lt;middleNames&gt;D&lt;/middleNames&gt;&lt;lastName&gt;Hernandez&lt;/lastName&gt;&lt;/author&gt;&lt;author&gt;&lt;firstName&gt;Joanna&lt;/firstName&gt;&lt;middleNames&gt;L&lt;/middleNames&gt;&lt;lastName&gt;Kelley&lt;/lastName&gt;&lt;/author&gt;&lt;author&gt;&lt;firstName&gt;Eyal&lt;/firstName&gt;&lt;lastName&gt;Elyashiv&lt;/lastName&gt;&lt;/author&gt;&lt;author&gt;&lt;firstName&gt;S&lt;/firstName&gt;&lt;middleNames&gt;Cord&lt;/middleNames&gt;&lt;lastName&gt;Melton&lt;/lastName&gt;&lt;/author&gt;&lt;author&gt;&lt;firstName&gt;Adam&lt;/firstName&gt;&lt;lastName&gt;Auton&lt;/lastName&gt;&lt;/author&gt;&lt;author&gt;&lt;firstName&gt;Gilean&lt;/firstName&gt;&lt;lastName&gt;McVean&lt;/lastName&gt;&lt;/author&gt;&lt;author&gt;&lt;lastName&gt;1000 Genomes Project&lt;/lastName&gt;&lt;/author&gt;&lt;author&gt;&lt;firstName&gt;Guy&lt;/firstName&gt;&lt;lastName&gt;Sella&lt;/lastName&gt;&lt;/author&gt;&lt;author&gt;&lt;firstName&gt;Molly&lt;/firstName&gt;&lt;lastName&gt;Przeworski&lt;/lastName&gt;&lt;/author&gt;&lt;/authors&gt;&lt;/publication&gt;&lt;/publications&gt;&lt;cites&gt;&lt;/cites&gt;&lt;/citation&gt;</w:instrText>
      </w:r>
      <w:r w:rsidR="00862942" w:rsidRPr="00E41079">
        <w:fldChar w:fldCharType="separate"/>
      </w:r>
      <w:r w:rsidR="00D73545">
        <w:rPr>
          <w:rFonts w:cs="Cambria"/>
        </w:rPr>
        <w:t>(Clark et al. 2005; Cockerham 1969; Barreiro et al. 2008; Weir and Cockerham 1984; Hernandez et al. 2011)</w:t>
      </w:r>
      <w:r w:rsidR="00862942" w:rsidRPr="00E41079">
        <w:fldChar w:fldCharType="end"/>
      </w:r>
      <w:r w:rsidRPr="00E41079">
        <w:t>, we can ignore the final term and we have:</w:t>
      </w:r>
    </w:p>
    <w:tbl>
      <w:tblPr>
        <w:tblW w:w="4390" w:type="pct"/>
        <w:tblLook w:val="04A0" w:firstRow="1" w:lastRow="0" w:firstColumn="1" w:lastColumn="0" w:noHBand="0" w:noVBand="1"/>
      </w:tblPr>
      <w:tblGrid>
        <w:gridCol w:w="7776"/>
      </w:tblGrid>
      <w:tr w:rsidR="0081143A" w:rsidRPr="00E41079" w14:paraId="4BC7F0D1" w14:textId="77777777" w:rsidTr="0081143A">
        <w:tc>
          <w:tcPr>
            <w:tcW w:w="5000" w:type="pct"/>
            <w:shd w:val="clear" w:color="auto" w:fill="auto"/>
            <w:vAlign w:val="center"/>
          </w:tcPr>
          <w:p w14:paraId="40BA7283" w14:textId="77777777" w:rsidR="0081143A" w:rsidRPr="00E41079" w:rsidRDefault="0081143A" w:rsidP="0081143A">
            <w:pPr>
              <w:jc w:val="center"/>
            </w:pPr>
            <w:r>
              <w:rPr>
                <w:noProof/>
                <w:position w:val="-50"/>
              </w:rPr>
              <w:drawing>
                <wp:inline distT="0" distB="0" distL="0" distR="0" wp14:anchorId="681A77CF" wp14:editId="5A731FA8">
                  <wp:extent cx="2628900" cy="711200"/>
                  <wp:effectExtent l="0" t="0" r="12700" b="0"/>
                  <wp:docPr id="13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711200"/>
                          </a:xfrm>
                          <a:prstGeom prst="rect">
                            <a:avLst/>
                          </a:prstGeom>
                          <a:noFill/>
                          <a:ln>
                            <a:noFill/>
                          </a:ln>
                        </pic:spPr>
                      </pic:pic>
                    </a:graphicData>
                  </a:graphic>
                </wp:inline>
              </w:drawing>
            </w:r>
          </w:p>
        </w:tc>
      </w:tr>
    </w:tbl>
    <w:p w14:paraId="506E6AF9"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0D92599C" wp14:editId="42846686">
            <wp:extent cx="228600" cy="241300"/>
            <wp:effectExtent l="0" t="0" r="0" b="12700"/>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E41079">
        <w:t xml:space="preserve"> and </w:t>
      </w:r>
      <w:r>
        <w:rPr>
          <w:noProof/>
          <w:position w:val="-12"/>
        </w:rPr>
        <w:drawing>
          <wp:inline distT="0" distB="0" distL="0" distR="0" wp14:anchorId="6C5E0D00" wp14:editId="6F25AF89">
            <wp:extent cx="228600" cy="241300"/>
            <wp:effectExtent l="0" t="0" r="0" b="12700"/>
            <wp:docPr id="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E41079">
        <w:t>are defined with respect to the ancestral population.  Now, for the denominator:</w:t>
      </w:r>
    </w:p>
    <w:tbl>
      <w:tblPr>
        <w:tblW w:w="4390" w:type="pct"/>
        <w:tblLook w:val="04A0" w:firstRow="1" w:lastRow="0" w:firstColumn="1" w:lastColumn="0" w:noHBand="0" w:noVBand="1"/>
      </w:tblPr>
      <w:tblGrid>
        <w:gridCol w:w="7776"/>
      </w:tblGrid>
      <w:tr w:rsidR="0081143A" w:rsidRPr="00E41079" w14:paraId="334C4592" w14:textId="77777777" w:rsidTr="0081143A">
        <w:tc>
          <w:tcPr>
            <w:tcW w:w="5000" w:type="pct"/>
            <w:shd w:val="clear" w:color="auto" w:fill="auto"/>
            <w:vAlign w:val="center"/>
          </w:tcPr>
          <w:p w14:paraId="370AC59F" w14:textId="77777777" w:rsidR="0081143A" w:rsidRPr="00E41079" w:rsidRDefault="0081143A" w:rsidP="0081143A">
            <w:pPr>
              <w:jc w:val="center"/>
            </w:pPr>
            <w:r>
              <w:rPr>
                <w:noProof/>
                <w:position w:val="-60"/>
              </w:rPr>
              <w:drawing>
                <wp:inline distT="0" distB="0" distL="0" distR="0" wp14:anchorId="13CC0266" wp14:editId="1484BEA0">
                  <wp:extent cx="3556000" cy="825500"/>
                  <wp:effectExtent l="0" t="0" r="0" b="1270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56000" cy="825500"/>
                          </a:xfrm>
                          <a:prstGeom prst="rect">
                            <a:avLst/>
                          </a:prstGeom>
                          <a:noFill/>
                          <a:ln>
                            <a:noFill/>
                          </a:ln>
                        </pic:spPr>
                      </pic:pic>
                    </a:graphicData>
                  </a:graphic>
                </wp:inline>
              </w:drawing>
            </w:r>
          </w:p>
        </w:tc>
      </w:tr>
    </w:tbl>
    <w:p w14:paraId="1015BF98" w14:textId="77777777" w:rsidR="0081143A" w:rsidRPr="00E41079" w:rsidRDefault="0081143A" w:rsidP="0081143A">
      <w:r w:rsidRPr="00E41079">
        <w:t>Dividing these, we see that</w:t>
      </w:r>
    </w:p>
    <w:tbl>
      <w:tblPr>
        <w:tblW w:w="4736" w:type="pct"/>
        <w:tblLook w:val="04A0" w:firstRow="1" w:lastRow="0" w:firstColumn="1" w:lastColumn="0" w:noHBand="0" w:noVBand="1"/>
      </w:tblPr>
      <w:tblGrid>
        <w:gridCol w:w="7776"/>
        <w:gridCol w:w="612"/>
      </w:tblGrid>
      <w:tr w:rsidR="0081143A" w:rsidRPr="00E41079" w14:paraId="27719DBE" w14:textId="77777777" w:rsidTr="0081143A">
        <w:tc>
          <w:tcPr>
            <w:tcW w:w="4635" w:type="pct"/>
            <w:shd w:val="clear" w:color="auto" w:fill="auto"/>
            <w:vAlign w:val="center"/>
          </w:tcPr>
          <w:p w14:paraId="2D63DD9F" w14:textId="77777777" w:rsidR="0081143A" w:rsidRPr="00E41079" w:rsidRDefault="0081143A" w:rsidP="0081143A">
            <w:pPr>
              <w:jc w:val="center"/>
            </w:pPr>
            <w:r>
              <w:rPr>
                <w:noProof/>
                <w:position w:val="-58"/>
              </w:rPr>
              <w:drawing>
                <wp:inline distT="0" distB="0" distL="0" distR="0" wp14:anchorId="4391C31C" wp14:editId="49F6F1D9">
                  <wp:extent cx="3175000" cy="622300"/>
                  <wp:effectExtent l="0" t="0" r="0" b="1270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75000" cy="622300"/>
                          </a:xfrm>
                          <a:prstGeom prst="rect">
                            <a:avLst/>
                          </a:prstGeom>
                          <a:noFill/>
                          <a:ln>
                            <a:noFill/>
                          </a:ln>
                        </pic:spPr>
                      </pic:pic>
                    </a:graphicData>
                  </a:graphic>
                </wp:inline>
              </w:drawing>
            </w:r>
          </w:p>
        </w:tc>
        <w:tc>
          <w:tcPr>
            <w:tcW w:w="365" w:type="pct"/>
            <w:shd w:val="clear" w:color="auto" w:fill="auto"/>
            <w:vAlign w:val="center"/>
          </w:tcPr>
          <w:p w14:paraId="6B39E777" w14:textId="77777777" w:rsidR="0081143A" w:rsidRPr="00E41079" w:rsidRDefault="0081143A" w:rsidP="0081143A">
            <w:pPr>
              <w:pStyle w:val="ListParagraph"/>
              <w:numPr>
                <w:ilvl w:val="0"/>
                <w:numId w:val="7"/>
              </w:numPr>
              <w:jc w:val="center"/>
            </w:pPr>
          </w:p>
        </w:tc>
      </w:tr>
    </w:tbl>
    <w:p w14:paraId="4CBD4FE0" w14:textId="77777777" w:rsidR="0081143A" w:rsidRPr="00E41079" w:rsidRDefault="0081143A" w:rsidP="0081143A">
      <w:r w:rsidRPr="00E41079">
        <w:t xml:space="preserve">If the sample sizes are equal, </w:t>
      </w:r>
      <w:r>
        <w:rPr>
          <w:noProof/>
          <w:position w:val="-4"/>
        </w:rPr>
        <w:drawing>
          <wp:inline distT="0" distB="0" distL="0" distR="0" wp14:anchorId="21A8E228" wp14:editId="66F8E794">
            <wp:extent cx="393700" cy="152400"/>
            <wp:effectExtent l="0" t="0" r="1270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3700" cy="152400"/>
                    </a:xfrm>
                    <a:prstGeom prst="rect">
                      <a:avLst/>
                    </a:prstGeom>
                    <a:noFill/>
                    <a:ln>
                      <a:noFill/>
                    </a:ln>
                  </pic:spPr>
                </pic:pic>
              </a:graphicData>
            </a:graphic>
          </wp:inline>
        </w:drawing>
      </w:r>
      <w:r w:rsidRPr="00E41079">
        <w:t>, then the estimate becomes</w:t>
      </w:r>
    </w:p>
    <w:tbl>
      <w:tblPr>
        <w:tblW w:w="4390" w:type="pct"/>
        <w:tblLook w:val="04A0" w:firstRow="1" w:lastRow="0" w:firstColumn="1" w:lastColumn="0" w:noHBand="0" w:noVBand="1"/>
      </w:tblPr>
      <w:tblGrid>
        <w:gridCol w:w="7776"/>
      </w:tblGrid>
      <w:tr w:rsidR="0081143A" w:rsidRPr="00E41079" w14:paraId="5234A7E3" w14:textId="77777777" w:rsidTr="0081143A">
        <w:tc>
          <w:tcPr>
            <w:tcW w:w="5000" w:type="pct"/>
            <w:shd w:val="clear" w:color="auto" w:fill="auto"/>
            <w:vAlign w:val="center"/>
          </w:tcPr>
          <w:p w14:paraId="15AE13A7" w14:textId="77777777" w:rsidR="0081143A" w:rsidRPr="00E41079" w:rsidRDefault="0081143A" w:rsidP="0081143A">
            <w:pPr>
              <w:jc w:val="center"/>
            </w:pPr>
            <w:r>
              <w:rPr>
                <w:noProof/>
                <w:position w:val="-24"/>
              </w:rPr>
              <w:drawing>
                <wp:inline distT="0" distB="0" distL="0" distR="0" wp14:anchorId="75D90ACE" wp14:editId="22806C36">
                  <wp:extent cx="1155700" cy="406400"/>
                  <wp:effectExtent l="0" t="0" r="1270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55700" cy="406400"/>
                          </a:xfrm>
                          <a:prstGeom prst="rect">
                            <a:avLst/>
                          </a:prstGeom>
                          <a:noFill/>
                          <a:ln>
                            <a:noFill/>
                          </a:ln>
                        </pic:spPr>
                      </pic:pic>
                    </a:graphicData>
                  </a:graphic>
                </wp:inline>
              </w:drawing>
            </w:r>
          </w:p>
        </w:tc>
      </w:tr>
    </w:tbl>
    <w:p w14:paraId="49198E79" w14:textId="77777777" w:rsidR="0081143A" w:rsidRPr="00E41079" w:rsidRDefault="0081143A" w:rsidP="0081143A">
      <w:r w:rsidRPr="00E41079">
        <w:t xml:space="preserve">Also, when </w:t>
      </w:r>
      <w:r w:rsidRPr="00E41079">
        <w:rPr>
          <w:i/>
        </w:rPr>
        <w:t>F</w:t>
      </w:r>
      <w:r w:rsidRPr="00E41079">
        <w:rPr>
          <w:vertAlign w:val="subscript"/>
        </w:rPr>
        <w:t>ST</w:t>
      </w:r>
      <w:r w:rsidRPr="00E41079">
        <w:t xml:space="preserve"> is identical for both populations, i.e. </w:t>
      </w:r>
      <w:r>
        <w:rPr>
          <w:noProof/>
          <w:position w:val="-12"/>
        </w:rPr>
        <w:drawing>
          <wp:inline distT="0" distB="0" distL="0" distR="0" wp14:anchorId="33C41255" wp14:editId="040021FF">
            <wp:extent cx="914400" cy="241300"/>
            <wp:effectExtent l="0" t="0" r="0" b="12700"/>
            <wp:docPr id="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E41079">
        <w:t xml:space="preserve">, it is straightforward to see that </w:t>
      </w:r>
      <w:r>
        <w:rPr>
          <w:noProof/>
          <w:position w:val="-12"/>
        </w:rPr>
        <w:drawing>
          <wp:inline distT="0" distB="0" distL="0" distR="0" wp14:anchorId="1424E252" wp14:editId="660B1D7B">
            <wp:extent cx="635000" cy="254000"/>
            <wp:effectExtent l="0" t="0" r="0" b="0"/>
            <wp:docPr id="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5000" cy="254000"/>
                    </a:xfrm>
                    <a:prstGeom prst="rect">
                      <a:avLst/>
                    </a:prstGeom>
                    <a:noFill/>
                    <a:ln>
                      <a:noFill/>
                    </a:ln>
                  </pic:spPr>
                </pic:pic>
              </a:graphicData>
            </a:graphic>
          </wp:inline>
        </w:drawing>
      </w:r>
      <w:r w:rsidRPr="00E41079">
        <w:t>, i.e. the estimate will not depend upon the ratio of sample sizes (</w:t>
      </w:r>
      <w:r w:rsidRPr="00E41079">
        <w:rPr>
          <w:i/>
        </w:rPr>
        <w:t>M</w:t>
      </w:r>
      <w:r w:rsidRPr="00E41079">
        <w:t xml:space="preserve">). If the sample sizes are unequal or this assumption does not hold, however, the estimate will depend upon the ratio of sample sizes underlying the limit. Given the complexity of human population history, it is unlikely that this assumption will hold in general. This means that even if large numbers of samples and SNPs are used to estimate </w:t>
      </w:r>
      <w:r w:rsidRPr="00E41079">
        <w:rPr>
          <w:i/>
        </w:rPr>
        <w:t>F</w:t>
      </w:r>
      <w:r w:rsidRPr="00E41079">
        <w:rPr>
          <w:vertAlign w:val="subscript"/>
        </w:rPr>
        <w:t>ST</w:t>
      </w:r>
      <w:r w:rsidRPr="00E41079">
        <w:t xml:space="preserve"> between a pair of populations, this estimate may not be comparable across studies with different sample sizes.</w:t>
      </w:r>
    </w:p>
    <w:p w14:paraId="747B9E15" w14:textId="77777777" w:rsidR="0081143A" w:rsidRDefault="0081143A" w:rsidP="0081143A"/>
    <w:p w14:paraId="456C7B92" w14:textId="77777777" w:rsidR="003F6191" w:rsidRDefault="003F6191" w:rsidP="003F6191">
      <w:pPr>
        <w:pStyle w:val="Heading1"/>
      </w:pPr>
      <w:bookmarkStart w:id="118" w:name="_Toc206055579"/>
      <w:bookmarkStart w:id="119" w:name="_Toc206060118"/>
      <w:bookmarkStart w:id="120" w:name="_Toc206060914"/>
      <w:bookmarkStart w:id="121" w:name="_Toc206151604"/>
      <w:bookmarkStart w:id="122" w:name="_Toc210982969"/>
      <w:bookmarkStart w:id="123" w:name="_Toc211282959"/>
      <w:bookmarkStart w:id="124" w:name="_Toc214442418"/>
      <w:bookmarkStart w:id="125" w:name="_Toc214967474"/>
      <w:bookmarkStart w:id="126" w:name="_Toc214970901"/>
      <w:bookmarkStart w:id="127" w:name="_Toc217045516"/>
      <w:bookmarkStart w:id="128" w:name="_Toc219534428"/>
      <w:bookmarkStart w:id="129" w:name="_Toc219534510"/>
      <w:bookmarkStart w:id="130" w:name="_Toc232440800"/>
      <w:bookmarkStart w:id="131" w:name="_Toc232704462"/>
      <w:bookmarkStart w:id="132" w:name="_Toc232777587"/>
      <w:r>
        <w:t>Derivation of WC Quantity Being Estimated</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DCD7843" w14:textId="77777777" w:rsidR="003F6191" w:rsidRDefault="003F6191" w:rsidP="003F6191"/>
    <w:p w14:paraId="7E8B9593" w14:textId="77777777" w:rsidR="003F6191" w:rsidRDefault="003F6191" w:rsidP="003F6191">
      <w:r>
        <w:t xml:space="preserve">We follow the exposition of the estimator of </w:t>
      </w:r>
      <w:r w:rsidRPr="004B5839">
        <w:rPr>
          <w:i/>
        </w:rPr>
        <w:t>F</w:t>
      </w:r>
      <w:r w:rsidRPr="004B5839">
        <w:rPr>
          <w:vertAlign w:val="subscript"/>
        </w:rPr>
        <w:t>ST</w:t>
      </w:r>
      <w:r>
        <w:t xml:space="preserve"> (</w:t>
      </w:r>
      <w:r w:rsidRPr="00475C59">
        <w:rPr>
          <w:position w:val="-6"/>
        </w:rPr>
        <w:object w:dxaOrig="200" w:dyaOrig="280" w14:anchorId="5376F2A4">
          <v:shape id="_x0000_i1056" type="#_x0000_t75" style="width:10pt;height:14pt" o:ole="">
            <v:imagedata r:id="rId146" o:title=""/>
          </v:shape>
          <o:OLEObject Type="Embed" ProgID="Equation.3" ShapeID="_x0000_i1056" DrawAspect="Content" ObjectID="_1309872894" r:id="rId147"/>
        </w:object>
      </w:r>
      <w:r>
        <w:t xml:space="preserve">) provided in </w:t>
      </w:r>
      <w:r w:rsidR="00862942">
        <w:fldChar w:fldCharType="begin"/>
      </w:r>
      <w:r w:rsidR="00D73545">
        <w:instrText xml:space="preserve"> ADDIN PAPERS2_CITATIONS &lt;citation&gt;&lt;uuid&gt;8F377E19-8E32-4612-887E-2F6529A4E33A&lt;/uuid&gt;&lt;priority&gt;26&lt;/priority&gt;&lt;publications&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(Weir and Cockerham 1984)</w:t>
      </w:r>
      <w:r w:rsidR="00862942">
        <w:fldChar w:fldCharType="end"/>
      </w:r>
      <w:r>
        <w:t xml:space="preserve"> simplifying to the case of 2 populations with large sample size. We avoid sample size considerations and use the estimator provided on the top of page 1362 to demonstrate it’s properties in the limit of large sample size. In the limit of large sample size, Weir and Cockerham give the following simplified estimator of </w:t>
      </w:r>
      <w:r w:rsidRPr="001C257D">
        <w:rPr>
          <w:i/>
        </w:rPr>
        <w:t>F</w:t>
      </w:r>
      <w:r w:rsidRPr="001C257D">
        <w:rPr>
          <w:vertAlign w:val="subscript"/>
        </w:rPr>
        <w:t>ST</w:t>
      </w:r>
      <w:r>
        <w:t>:</w:t>
      </w:r>
    </w:p>
    <w:tbl>
      <w:tblPr>
        <w:tblW w:w="4736" w:type="pct"/>
        <w:tblLook w:val="04A0" w:firstRow="1" w:lastRow="0" w:firstColumn="1" w:lastColumn="0" w:noHBand="0" w:noVBand="1"/>
      </w:tblPr>
      <w:tblGrid>
        <w:gridCol w:w="7776"/>
        <w:gridCol w:w="612"/>
      </w:tblGrid>
      <w:tr w:rsidR="003F6191" w14:paraId="047280E4" w14:textId="77777777" w:rsidTr="003F6191">
        <w:tc>
          <w:tcPr>
            <w:tcW w:w="4635" w:type="pct"/>
            <w:shd w:val="clear" w:color="auto" w:fill="auto"/>
            <w:vAlign w:val="center"/>
          </w:tcPr>
          <w:p w14:paraId="4BF636B1" w14:textId="77777777" w:rsidR="003F6191" w:rsidRDefault="003F6191" w:rsidP="003F6191">
            <w:pPr>
              <w:jc w:val="center"/>
            </w:pPr>
            <w:r w:rsidRPr="001B27B0">
              <w:rPr>
                <w:position w:val="-56"/>
              </w:rPr>
              <w:object w:dxaOrig="4140" w:dyaOrig="960" w14:anchorId="15475A31">
                <v:shape id="_x0000_i1057" type="#_x0000_t75" style="width:208pt;height:48pt" o:ole="">
                  <v:imagedata r:id="rId148" o:title=""/>
                </v:shape>
                <o:OLEObject Type="Embed" ProgID="Equation.3" ShapeID="_x0000_i1057" DrawAspect="Content" ObjectID="_1309872895" r:id="rId149"/>
              </w:object>
            </w:r>
          </w:p>
        </w:tc>
        <w:tc>
          <w:tcPr>
            <w:tcW w:w="365" w:type="pct"/>
            <w:shd w:val="clear" w:color="auto" w:fill="auto"/>
            <w:vAlign w:val="center"/>
          </w:tcPr>
          <w:p w14:paraId="3F9CFBBE" w14:textId="77777777" w:rsidR="003F6191" w:rsidRDefault="003F6191" w:rsidP="003F6191">
            <w:pPr>
              <w:pStyle w:val="ListParagraph"/>
              <w:numPr>
                <w:ilvl w:val="0"/>
                <w:numId w:val="7"/>
              </w:numPr>
              <w:jc w:val="center"/>
            </w:pPr>
          </w:p>
        </w:tc>
      </w:tr>
    </w:tbl>
    <w:p w14:paraId="37C76EA4" w14:textId="77777777" w:rsidR="003F6191" w:rsidRDefault="003F6191" w:rsidP="003F6191"/>
    <w:p w14:paraId="78EC4BD0" w14:textId="77777777" w:rsidR="003F6191" w:rsidRDefault="003F6191" w:rsidP="003F6191"/>
    <w:p w14:paraId="1C255A48" w14:textId="77777777" w:rsidR="003F6191" w:rsidRDefault="003F6191" w:rsidP="003F6191">
      <w:r>
        <w:t xml:space="preserve">For the simplified case of a </w:t>
      </w:r>
      <w:proofErr w:type="spellStart"/>
      <w:r>
        <w:t>bialleleic</w:t>
      </w:r>
      <w:proofErr w:type="spellEnd"/>
      <w:r>
        <w:t xml:space="preserve"> SNP in two populations, the variables used in equation s17 are defined as:</w:t>
      </w:r>
    </w:p>
    <w:tbl>
      <w:tblPr>
        <w:tblW w:w="4736" w:type="pct"/>
        <w:tblLook w:val="04A0" w:firstRow="1" w:lastRow="0" w:firstColumn="1" w:lastColumn="0" w:noHBand="0" w:noVBand="1"/>
      </w:tblPr>
      <w:tblGrid>
        <w:gridCol w:w="7776"/>
        <w:gridCol w:w="612"/>
      </w:tblGrid>
      <w:tr w:rsidR="003F6191" w14:paraId="69067B2A" w14:textId="77777777" w:rsidTr="003F6191">
        <w:tc>
          <w:tcPr>
            <w:tcW w:w="4635" w:type="pct"/>
            <w:shd w:val="clear" w:color="auto" w:fill="auto"/>
            <w:vAlign w:val="center"/>
          </w:tcPr>
          <w:p w14:paraId="60054F66" w14:textId="77777777" w:rsidR="003F6191" w:rsidRDefault="003F6191" w:rsidP="003F6191">
            <w:pPr>
              <w:jc w:val="center"/>
            </w:pPr>
            <w:r w:rsidRPr="001B27B0">
              <w:rPr>
                <w:position w:val="-4"/>
              </w:rPr>
              <w:object w:dxaOrig="520" w:dyaOrig="240" w14:anchorId="6D5BD0C1">
                <v:shape id="_x0000_i1058" type="#_x0000_t75" style="width:26pt;height:12pt" o:ole="">
                  <v:imagedata r:id="rId150" o:title=""/>
                </v:shape>
                <o:OLEObject Type="Embed" ProgID="Equation.3" ShapeID="_x0000_i1058" DrawAspect="Content" ObjectID="_1309872896" r:id="rId151"/>
              </w:object>
            </w:r>
          </w:p>
          <w:p w14:paraId="46C3F4B0" w14:textId="77777777" w:rsidR="003F6191" w:rsidRDefault="003F6191" w:rsidP="003F6191">
            <w:pPr>
              <w:jc w:val="center"/>
            </w:pPr>
            <w:r w:rsidRPr="007A6510">
              <w:rPr>
                <w:position w:val="-24"/>
              </w:rPr>
              <w:object w:dxaOrig="1080" w:dyaOrig="620" w14:anchorId="76647CD6">
                <v:shape id="_x0000_i1059" type="#_x0000_t75" style="width:54pt;height:31pt" o:ole="">
                  <v:imagedata r:id="rId152" o:title=""/>
                </v:shape>
                <o:OLEObject Type="Embed" ProgID="Equation.3" ShapeID="_x0000_i1059" DrawAspect="Content" ObjectID="_1309872897" r:id="rId153"/>
              </w:object>
            </w:r>
          </w:p>
          <w:p w14:paraId="668EEEB5" w14:textId="77777777" w:rsidR="003F6191" w:rsidRDefault="003F6191" w:rsidP="003F6191">
            <w:pPr>
              <w:jc w:val="center"/>
            </w:pPr>
            <w:r w:rsidRPr="007A6510">
              <w:rPr>
                <w:position w:val="-12"/>
              </w:rPr>
              <w:object w:dxaOrig="3000" w:dyaOrig="380" w14:anchorId="08162059">
                <v:shape id="_x0000_i1060" type="#_x0000_t75" style="width:150pt;height:19pt" o:ole="">
                  <v:imagedata r:id="rId154" o:title=""/>
                </v:shape>
                <o:OLEObject Type="Embed" ProgID="Equation.3" ShapeID="_x0000_i1060" DrawAspect="Content" ObjectID="_1309872898" r:id="rId155"/>
              </w:object>
            </w:r>
          </w:p>
          <w:p w14:paraId="14688FBD" w14:textId="77777777" w:rsidR="003F6191" w:rsidRDefault="003F6191" w:rsidP="003F6191">
            <w:pPr>
              <w:jc w:val="center"/>
            </w:pPr>
            <w:r w:rsidRPr="007A6510">
              <w:rPr>
                <w:position w:val="-12"/>
              </w:rPr>
              <w:object w:dxaOrig="1640" w:dyaOrig="380" w14:anchorId="53E39A86">
                <v:shape id="_x0000_i1061" type="#_x0000_t75" style="width:82pt;height:19pt" o:ole="">
                  <v:imagedata r:id="rId156" o:title=""/>
                </v:shape>
                <o:OLEObject Type="Embed" ProgID="Equation.3" ShapeID="_x0000_i1061" DrawAspect="Content" ObjectID="_1309872899" r:id="rId157"/>
              </w:object>
            </w:r>
          </w:p>
          <w:p w14:paraId="0A5F146A" w14:textId="77777777" w:rsidR="003F6191" w:rsidRDefault="003F6191" w:rsidP="003F6191">
            <w:pPr>
              <w:jc w:val="center"/>
            </w:pPr>
            <w:r w:rsidRPr="007A6510">
              <w:rPr>
                <w:position w:val="-30"/>
              </w:rPr>
              <w:object w:dxaOrig="1500" w:dyaOrig="680" w14:anchorId="5DABD641">
                <v:shape id="_x0000_i1062" type="#_x0000_t75" style="width:75pt;height:34pt" o:ole="">
                  <v:imagedata r:id="rId158" o:title=""/>
                </v:shape>
                <o:OLEObject Type="Embed" ProgID="Equation.3" ShapeID="_x0000_i1062" DrawAspect="Content" ObjectID="_1309872900" r:id="rId159"/>
              </w:object>
            </w:r>
          </w:p>
          <w:p w14:paraId="7C9ED64F" w14:textId="77777777" w:rsidR="003F6191" w:rsidRDefault="003F6191" w:rsidP="003F6191">
            <w:pPr>
              <w:jc w:val="center"/>
            </w:pPr>
          </w:p>
        </w:tc>
        <w:tc>
          <w:tcPr>
            <w:tcW w:w="365" w:type="pct"/>
            <w:shd w:val="clear" w:color="auto" w:fill="auto"/>
            <w:vAlign w:val="center"/>
          </w:tcPr>
          <w:p w14:paraId="7490908E" w14:textId="77777777" w:rsidR="003F6191" w:rsidRDefault="003F6191" w:rsidP="003F6191">
            <w:pPr>
              <w:jc w:val="center"/>
            </w:pPr>
          </w:p>
        </w:tc>
      </w:tr>
      <w:tr w:rsidR="003F6191" w14:paraId="1FC8BEFB" w14:textId="77777777" w:rsidTr="003F6191">
        <w:tc>
          <w:tcPr>
            <w:tcW w:w="4635" w:type="pct"/>
            <w:shd w:val="clear" w:color="auto" w:fill="auto"/>
            <w:vAlign w:val="center"/>
          </w:tcPr>
          <w:p w14:paraId="38AFE388" w14:textId="77777777" w:rsidR="003F6191" w:rsidRPr="0091233F" w:rsidRDefault="003F6191" w:rsidP="003F6191">
            <w:pPr>
              <w:jc w:val="center"/>
              <w:rPr>
                <w:position w:val="-4"/>
              </w:rPr>
            </w:pPr>
            <w:r w:rsidRPr="00085F06">
              <w:rPr>
                <w:position w:val="-30"/>
              </w:rPr>
              <w:object w:dxaOrig="5120" w:dyaOrig="700" w14:anchorId="244751B5">
                <v:shape id="_x0000_i1063" type="#_x0000_t75" style="width:254pt;height:35pt" o:ole="">
                  <v:imagedata r:id="rId160" o:title=""/>
                </v:shape>
                <o:OLEObject Type="Embed" ProgID="Equation.3" ShapeID="_x0000_i1063" DrawAspect="Content" ObjectID="_1309872901" r:id="rId161"/>
              </w:object>
            </w:r>
          </w:p>
        </w:tc>
        <w:tc>
          <w:tcPr>
            <w:tcW w:w="365" w:type="pct"/>
            <w:shd w:val="clear" w:color="auto" w:fill="auto"/>
            <w:vAlign w:val="center"/>
          </w:tcPr>
          <w:p w14:paraId="4EB8BA1D" w14:textId="77777777" w:rsidR="003F6191" w:rsidRDefault="003F6191" w:rsidP="003F6191">
            <w:pPr>
              <w:pStyle w:val="ListParagraph"/>
              <w:numPr>
                <w:ilvl w:val="0"/>
                <w:numId w:val="7"/>
              </w:numPr>
              <w:jc w:val="center"/>
            </w:pPr>
          </w:p>
        </w:tc>
      </w:tr>
    </w:tbl>
    <w:p w14:paraId="735371DB" w14:textId="77777777" w:rsidR="003F6191" w:rsidRDefault="003F6191" w:rsidP="003F6191"/>
    <w:p w14:paraId="6343D41F" w14:textId="77777777" w:rsidR="003F6191" w:rsidRDefault="003F6191" w:rsidP="003F6191">
      <w:r>
        <w:t xml:space="preserve">Now, equation s18, </w:t>
      </w:r>
      <w:r w:rsidRPr="00085F06">
        <w:rPr>
          <w:i/>
        </w:rPr>
        <w:t>s</w:t>
      </w:r>
      <w:r w:rsidRPr="00085F06">
        <w:rPr>
          <w:i/>
          <w:vertAlign w:val="superscript"/>
        </w:rPr>
        <w:t>2</w:t>
      </w:r>
      <w:r>
        <w:t xml:space="preserve">, gives us a simplified expression for the numerator in the estimator of </w:t>
      </w:r>
      <w:r w:rsidRPr="004B5839">
        <w:rPr>
          <w:i/>
        </w:rPr>
        <w:t>F</w:t>
      </w:r>
      <w:r w:rsidRPr="004B5839">
        <w:rPr>
          <w:vertAlign w:val="subscript"/>
        </w:rPr>
        <w:t>ST</w:t>
      </w:r>
      <w:r>
        <w:t xml:space="preserve"> (s17) </w:t>
      </w:r>
      <w:proofErr w:type="gramStart"/>
      <w:r>
        <w:t>Now</w:t>
      </w:r>
      <w:proofErr w:type="gramEnd"/>
      <w:r>
        <w:t xml:space="preserve"> we examine the denominator.</w:t>
      </w:r>
    </w:p>
    <w:tbl>
      <w:tblPr>
        <w:tblW w:w="4736" w:type="pct"/>
        <w:tblLook w:val="04A0" w:firstRow="1" w:lastRow="0" w:firstColumn="1" w:lastColumn="0" w:noHBand="0" w:noVBand="1"/>
      </w:tblPr>
      <w:tblGrid>
        <w:gridCol w:w="7776"/>
        <w:gridCol w:w="612"/>
      </w:tblGrid>
      <w:tr w:rsidR="003F6191" w14:paraId="2533DA82" w14:textId="77777777" w:rsidTr="003F6191">
        <w:tc>
          <w:tcPr>
            <w:tcW w:w="4635" w:type="pct"/>
            <w:shd w:val="clear" w:color="auto" w:fill="auto"/>
            <w:vAlign w:val="center"/>
          </w:tcPr>
          <w:p w14:paraId="3C2D82F4" w14:textId="77777777" w:rsidR="003F6191" w:rsidRDefault="003F6191" w:rsidP="003F6191">
            <w:pPr>
              <w:jc w:val="center"/>
            </w:pPr>
            <w:r w:rsidRPr="00FE1F36">
              <w:rPr>
                <w:position w:val="-24"/>
              </w:rPr>
              <w:object w:dxaOrig="3380" w:dyaOrig="640" w14:anchorId="5F165B47">
                <v:shape id="_x0000_i1064" type="#_x0000_t75" style="width:169pt;height:32pt" o:ole="">
                  <v:imagedata r:id="rId162" o:title=""/>
                </v:shape>
                <o:OLEObject Type="Embed" ProgID="Equation.3" ShapeID="_x0000_i1064" DrawAspect="Content" ObjectID="_1309872902" r:id="rId163"/>
              </w:object>
            </w:r>
          </w:p>
        </w:tc>
        <w:tc>
          <w:tcPr>
            <w:tcW w:w="365" w:type="pct"/>
            <w:shd w:val="clear" w:color="auto" w:fill="auto"/>
            <w:vAlign w:val="center"/>
          </w:tcPr>
          <w:p w14:paraId="39058E60" w14:textId="77777777" w:rsidR="003F6191" w:rsidRDefault="003F6191" w:rsidP="003F6191">
            <w:pPr>
              <w:jc w:val="center"/>
            </w:pPr>
          </w:p>
        </w:tc>
      </w:tr>
    </w:tbl>
    <w:p w14:paraId="51527AB4" w14:textId="77777777" w:rsidR="003F6191" w:rsidRDefault="003F6191" w:rsidP="003F6191">
      <w:pPr>
        <w:rPr>
          <w:position w:val="-30"/>
        </w:rPr>
      </w:pPr>
      <w:r>
        <w:rPr>
          <w:position w:val="-30"/>
        </w:rPr>
        <w:t>Expanding this gives a simplified expression for the denominator of equation s17.</w:t>
      </w:r>
    </w:p>
    <w:tbl>
      <w:tblPr>
        <w:tblW w:w="4736" w:type="pct"/>
        <w:tblLook w:val="04A0" w:firstRow="1" w:lastRow="0" w:firstColumn="1" w:lastColumn="0" w:noHBand="0" w:noVBand="1"/>
      </w:tblPr>
      <w:tblGrid>
        <w:gridCol w:w="7776"/>
        <w:gridCol w:w="612"/>
      </w:tblGrid>
      <w:tr w:rsidR="003F6191" w14:paraId="65227579" w14:textId="77777777" w:rsidTr="003F6191">
        <w:tc>
          <w:tcPr>
            <w:tcW w:w="4635" w:type="pct"/>
            <w:shd w:val="clear" w:color="auto" w:fill="auto"/>
            <w:vAlign w:val="center"/>
          </w:tcPr>
          <w:p w14:paraId="643A1E2F" w14:textId="77777777" w:rsidR="003F6191" w:rsidRPr="0091233F" w:rsidRDefault="003F6191" w:rsidP="003F6191">
            <w:pPr>
              <w:jc w:val="center"/>
              <w:rPr>
                <w:position w:val="-4"/>
              </w:rPr>
            </w:pPr>
            <w:r w:rsidRPr="00027F9C">
              <w:rPr>
                <w:position w:val="-30"/>
              </w:rPr>
              <w:object w:dxaOrig="5140" w:dyaOrig="680" w14:anchorId="77B89A6A">
                <v:shape id="_x0000_i1065" type="#_x0000_t75" style="width:257pt;height:34pt" o:ole="">
                  <v:imagedata r:id="rId164" o:title=""/>
                </v:shape>
                <o:OLEObject Type="Embed" ProgID="Equation.3" ShapeID="_x0000_i1065" DrawAspect="Content" ObjectID="_1309872903" r:id="rId165"/>
              </w:object>
            </w:r>
          </w:p>
        </w:tc>
        <w:tc>
          <w:tcPr>
            <w:tcW w:w="365" w:type="pct"/>
            <w:shd w:val="clear" w:color="auto" w:fill="auto"/>
            <w:vAlign w:val="center"/>
          </w:tcPr>
          <w:p w14:paraId="24A4E644" w14:textId="77777777" w:rsidR="003F6191" w:rsidRDefault="003F6191" w:rsidP="003F6191">
            <w:pPr>
              <w:pStyle w:val="ListParagraph"/>
              <w:numPr>
                <w:ilvl w:val="0"/>
                <w:numId w:val="7"/>
              </w:numPr>
              <w:jc w:val="center"/>
            </w:pPr>
          </w:p>
        </w:tc>
      </w:tr>
    </w:tbl>
    <w:p w14:paraId="76019AB1" w14:textId="77777777" w:rsidR="003F6191" w:rsidRDefault="003F6191" w:rsidP="003F6191">
      <w:r>
        <w:t xml:space="preserve">In the limit of large sample sizes, we replace the sample allele frequencies with the true population allele frequencies. That is, </w:t>
      </w:r>
      <w:r w:rsidRPr="00985251">
        <w:rPr>
          <w:position w:val="-12"/>
        </w:rPr>
        <w:object w:dxaOrig="780" w:dyaOrig="340" w14:anchorId="0008DCBB">
          <v:shape id="_x0000_i1066" type="#_x0000_t75" style="width:39pt;height:17pt" o:ole="">
            <v:imagedata r:id="rId166" o:title=""/>
          </v:shape>
          <o:OLEObject Type="Embed" ProgID="Equation.3" ShapeID="_x0000_i1066" DrawAspect="Content" ObjectID="_1309872904" r:id="rId167"/>
        </w:object>
      </w:r>
      <w:r>
        <w:t xml:space="preserve">and we make this replacement. </w:t>
      </w:r>
    </w:p>
    <w:p w14:paraId="36985C2E" w14:textId="77777777" w:rsidR="003F6191" w:rsidRDefault="003F6191" w:rsidP="003F6191">
      <w:r>
        <w:t xml:space="preserve">Then, the estimator of </w:t>
      </w:r>
      <w:r w:rsidRPr="004B5839">
        <w:rPr>
          <w:i/>
        </w:rPr>
        <w:t>F</w:t>
      </w:r>
      <w:r w:rsidRPr="004B5839">
        <w:rPr>
          <w:vertAlign w:val="subscript"/>
        </w:rPr>
        <w:t>ST</w:t>
      </w:r>
      <w:r>
        <w:t xml:space="preserve"> is given by</w:t>
      </w:r>
    </w:p>
    <w:tbl>
      <w:tblPr>
        <w:tblW w:w="4736" w:type="pct"/>
        <w:tblLook w:val="04A0" w:firstRow="1" w:lastRow="0" w:firstColumn="1" w:lastColumn="0" w:noHBand="0" w:noVBand="1"/>
      </w:tblPr>
      <w:tblGrid>
        <w:gridCol w:w="7776"/>
        <w:gridCol w:w="612"/>
      </w:tblGrid>
      <w:tr w:rsidR="003F6191" w14:paraId="73375B5D" w14:textId="77777777" w:rsidTr="003F6191">
        <w:tc>
          <w:tcPr>
            <w:tcW w:w="4635" w:type="pct"/>
            <w:shd w:val="clear" w:color="auto" w:fill="auto"/>
            <w:vAlign w:val="center"/>
          </w:tcPr>
          <w:p w14:paraId="0E152F80" w14:textId="77777777" w:rsidR="003F6191" w:rsidRDefault="003F6191" w:rsidP="003F6191">
            <w:pPr>
              <w:jc w:val="center"/>
            </w:pPr>
            <w:r w:rsidRPr="00652957">
              <w:rPr>
                <w:position w:val="-58"/>
              </w:rPr>
              <w:object w:dxaOrig="5300" w:dyaOrig="980" w14:anchorId="6F08AE19">
                <v:shape id="_x0000_i1067" type="#_x0000_t75" style="width:266pt;height:49pt" o:ole="">
                  <v:imagedata r:id="rId168" o:title=""/>
                </v:shape>
                <o:OLEObject Type="Embed" ProgID="Equation.3" ShapeID="_x0000_i1067" DrawAspect="Content" ObjectID="_1309872905" r:id="rId169"/>
              </w:object>
            </w:r>
          </w:p>
        </w:tc>
        <w:tc>
          <w:tcPr>
            <w:tcW w:w="365" w:type="pct"/>
            <w:shd w:val="clear" w:color="auto" w:fill="auto"/>
            <w:vAlign w:val="center"/>
          </w:tcPr>
          <w:p w14:paraId="5DCBEC5C" w14:textId="77777777" w:rsidR="003F6191" w:rsidRDefault="003F6191" w:rsidP="003F6191">
            <w:pPr>
              <w:jc w:val="center"/>
            </w:pPr>
          </w:p>
        </w:tc>
      </w:tr>
    </w:tbl>
    <w:p w14:paraId="2DB8E5BD" w14:textId="77777777" w:rsidR="003F6191" w:rsidRDefault="003F6191" w:rsidP="003F6191">
      <w:r>
        <w:t xml:space="preserve">Now, if </w:t>
      </w:r>
      <w:r w:rsidRPr="00FE1F36">
        <w:rPr>
          <w:position w:val="-30"/>
        </w:rPr>
        <w:object w:dxaOrig="780" w:dyaOrig="680" w14:anchorId="3B0BEFD1">
          <v:shape id="_x0000_i1068" type="#_x0000_t75" style="width:39pt;height:34pt" o:ole="">
            <v:imagedata r:id="rId170" o:title=""/>
          </v:shape>
          <o:OLEObject Type="Embed" ProgID="Equation.3" ShapeID="_x0000_i1068" DrawAspect="Content" ObjectID="_1309872906" r:id="rId171"/>
        </w:object>
      </w:r>
      <w:r>
        <w:t>, then we can restate this as</w:t>
      </w:r>
    </w:p>
    <w:tbl>
      <w:tblPr>
        <w:tblW w:w="4736" w:type="pct"/>
        <w:tblLook w:val="04A0" w:firstRow="1" w:lastRow="0" w:firstColumn="1" w:lastColumn="0" w:noHBand="0" w:noVBand="1"/>
      </w:tblPr>
      <w:tblGrid>
        <w:gridCol w:w="7776"/>
        <w:gridCol w:w="612"/>
      </w:tblGrid>
      <w:tr w:rsidR="003F6191" w14:paraId="4D9E1DFD" w14:textId="77777777" w:rsidTr="003F6191">
        <w:tc>
          <w:tcPr>
            <w:tcW w:w="4635" w:type="pct"/>
            <w:shd w:val="clear" w:color="auto" w:fill="auto"/>
            <w:vAlign w:val="center"/>
          </w:tcPr>
          <w:p w14:paraId="29524D51" w14:textId="77777777" w:rsidR="003F6191" w:rsidRDefault="003F6191" w:rsidP="003F6191">
            <w:pPr>
              <w:jc w:val="center"/>
            </w:pPr>
            <w:r w:rsidRPr="001730D8">
              <w:rPr>
                <w:position w:val="-58"/>
              </w:rPr>
              <w:object w:dxaOrig="5040" w:dyaOrig="980" w14:anchorId="53FBFA6B">
                <v:shape id="_x0000_i1069" type="#_x0000_t75" style="width:252pt;height:49pt" o:ole="">
                  <v:imagedata r:id="rId172" o:title=""/>
                </v:shape>
                <o:OLEObject Type="Embed" ProgID="Equation.3" ShapeID="_x0000_i1069" DrawAspect="Content" ObjectID="_1309872907" r:id="rId173"/>
              </w:object>
            </w:r>
          </w:p>
        </w:tc>
        <w:tc>
          <w:tcPr>
            <w:tcW w:w="365" w:type="pct"/>
            <w:shd w:val="clear" w:color="auto" w:fill="auto"/>
            <w:vAlign w:val="center"/>
          </w:tcPr>
          <w:p w14:paraId="556CE51B" w14:textId="77777777" w:rsidR="003F6191" w:rsidRDefault="003F6191" w:rsidP="003F6191">
            <w:pPr>
              <w:jc w:val="center"/>
            </w:pPr>
          </w:p>
        </w:tc>
      </w:tr>
    </w:tbl>
    <w:p w14:paraId="45F1634D" w14:textId="77777777" w:rsidR="003F6191" w:rsidRPr="00E41079" w:rsidRDefault="003F6191" w:rsidP="0081143A"/>
    <w:p w14:paraId="587B6C7E" w14:textId="77777777" w:rsidR="0081143A" w:rsidRPr="0033263A" w:rsidRDefault="0081143A" w:rsidP="0081143A">
      <w:pPr>
        <w:pStyle w:val="Heading1"/>
      </w:pPr>
      <w:bookmarkStart w:id="133" w:name="_Toc210982962"/>
      <w:bookmarkStart w:id="134" w:name="_Toc211282948"/>
      <w:bookmarkStart w:id="135" w:name="_Toc214442407"/>
      <w:bookmarkStart w:id="136" w:name="_Toc214967463"/>
      <w:bookmarkStart w:id="137" w:name="_Toc214970890"/>
      <w:bookmarkStart w:id="138" w:name="_Toc217045506"/>
      <w:bookmarkStart w:id="139" w:name="_Toc219534418"/>
      <w:bookmarkStart w:id="140" w:name="_Toc219534500"/>
      <w:bookmarkStart w:id="141" w:name="_Toc232440795"/>
      <w:bookmarkStart w:id="142" w:name="_Toc232704463"/>
      <w:bookmarkStart w:id="143" w:name="_Toc232777588"/>
      <w:r w:rsidRPr="0033263A">
        <w:t xml:space="preserve">Nei’s </w:t>
      </w:r>
      <w:r w:rsidRPr="0033263A">
        <w:rPr>
          <w:i/>
        </w:rPr>
        <w:t>F</w:t>
      </w:r>
      <w:r w:rsidRPr="0033263A">
        <w:rPr>
          <w:vertAlign w:val="subscript"/>
        </w:rPr>
        <w:t>ST</w:t>
      </w:r>
      <w:bookmarkEnd w:id="133"/>
      <w:bookmarkEnd w:id="134"/>
      <w:bookmarkEnd w:id="135"/>
      <w:bookmarkEnd w:id="136"/>
      <w:bookmarkEnd w:id="137"/>
      <w:bookmarkEnd w:id="138"/>
      <w:bookmarkEnd w:id="139"/>
      <w:bookmarkEnd w:id="140"/>
      <w:bookmarkEnd w:id="141"/>
      <w:bookmarkEnd w:id="142"/>
      <w:bookmarkEnd w:id="143"/>
      <w:r w:rsidRPr="0033263A">
        <w:t xml:space="preserve"> </w:t>
      </w:r>
    </w:p>
    <w:p w14:paraId="11FE10B7" w14:textId="77777777" w:rsidR="0081143A" w:rsidRPr="00E41079" w:rsidRDefault="0081143A" w:rsidP="0081143A">
      <w:pPr>
        <w:rPr>
          <w:i/>
        </w:rPr>
      </w:pPr>
      <w:r w:rsidRPr="00E41079">
        <w:rPr>
          <w:i/>
        </w:rPr>
        <w:t>Conceptual Definition</w:t>
      </w:r>
    </w:p>
    <w:p w14:paraId="5AD40862" w14:textId="77777777" w:rsidR="0081143A" w:rsidRPr="00E41079" w:rsidRDefault="0081143A" w:rsidP="0081143A">
      <w:r w:rsidRPr="00E41079">
        <w:t xml:space="preserve">Nei </w:t>
      </w:r>
      <w:r w:rsidR="00862942" w:rsidRPr="00E41079">
        <w:fldChar w:fldCharType="begin"/>
      </w:r>
      <w:r w:rsidR="00D73545">
        <w:instrText xml:space="preserve"> ADDIN PAPERS2_CITATIONS &lt;citation&gt;&lt;uuid&gt;145FB426-B902-4CF5-A3DE-4320143337E1&lt;/uuid&gt;&lt;priority&gt;27&lt;/priority&gt;&lt;publications&gt;&lt;publication&gt;&lt;uuid&gt;64494C4A-4B6E-4F55-AC44-2AABBA346B04&lt;/uuid&gt;&lt;volume&gt;15&lt;/volume&gt;&lt;doi&gt;10.1101/gr.3709305&lt;/doi&gt;&lt;startpage&gt;1576&lt;/startpage&gt;&lt;publication_date&gt;99200511001200000000220000&lt;/publication_date&gt;&lt;url&gt;http://eutils.ncbi.nlm.nih.gov/entrez/eutils/elink.fcgi?dbfrom=pubmed&amp;amp;id=16251467&amp;amp;retmode=ref&amp;amp;cmd=prlinks&lt;/url&gt;&lt;citekey&gt;RefWorks:92&lt;/citekey&gt;&lt;type&gt;400&lt;/type&gt;&lt;title&gt;Calibrating a coalescent simulation of human genome sequence variation.&lt;/title&gt;&lt;location&gt;200,5,42.3647559,-71.1032591&lt;/location&gt;&lt;institution&gt;Program in Medical and Population Genetics, The Broad Institute, Cambridge, Massachusetts 02139, USA. sfs@broad.mit.edu&lt;/institution&gt;&lt;number&gt;11&lt;/number&gt;&lt;subtype&gt;400&lt;/subtype&gt;&lt;endpage&gt;1583&lt;/endpage&gt;&lt;bundle&gt;&lt;publication&gt;&lt;title&gt;Genome Res.&lt;/title&gt;&lt;type&gt;-100&lt;/type&gt;&lt;subtype&gt;-100&lt;/subtype&gt;&lt;uuid&gt;5DECB689-996D-46CA-937E-79CF4E9B7144&lt;/uuid&gt;&lt;/publication&gt;&lt;/bundle&gt;&lt;authors&gt;&lt;author&gt;&lt;firstName&gt;Stephen&lt;/firstName&gt;&lt;middleNames&gt;F&lt;/middleNames&gt;&lt;lastName&gt;Schaffner&lt;/lastName&gt;&lt;/author&gt;&lt;author&gt;&lt;firstName&gt;Catherine&lt;/firstName&gt;&lt;lastName&gt;Foo&lt;/lastName&gt;&lt;/author&gt;&lt;author&gt;&lt;firstName&gt;Stacey&lt;/firstName&gt;&lt;lastName&gt;Gabriel&lt;/lastName&gt;&lt;/author&gt;&lt;author&gt;&lt;firstName&gt;David&lt;/firstName&gt;&lt;lastName&gt;Reich&lt;/lastName&gt;&lt;/author&gt;&lt;author&gt;&lt;firstName&gt;Mark&lt;/firstName&gt;&lt;middleNames&gt;J&lt;/middleNames&gt;&lt;lastName&gt;Daly&lt;/lastName&gt;&lt;/author&gt;&lt;author&gt;&lt;firstName&gt;David&lt;/firstName&gt;&lt;lastName&gt;Altshuler&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s&gt;&lt;cites&gt;&lt;/cites&gt;&lt;/citation&gt;</w:instrText>
      </w:r>
      <w:r w:rsidR="00862942" w:rsidRPr="00E41079">
        <w:fldChar w:fldCharType="separate"/>
      </w:r>
      <w:r w:rsidR="00D73545">
        <w:rPr>
          <w:rFonts w:cs="Cambria"/>
        </w:rPr>
        <w:t>(Schaffner et al. 2005; Nei 1986)</w:t>
      </w:r>
      <w:r w:rsidR="00862942" w:rsidRPr="00E41079">
        <w:fldChar w:fldCharType="end"/>
      </w:r>
      <w:r w:rsidRPr="00E41079">
        <w:t xml:space="preserve"> defined </w:t>
      </w:r>
      <w:r w:rsidRPr="00E41079">
        <w:rPr>
          <w:i/>
        </w:rPr>
        <w:t>F</w:t>
      </w:r>
      <w:r w:rsidRPr="00E41079">
        <w:rPr>
          <w:vertAlign w:val="subscript"/>
        </w:rPr>
        <w:t>ST</w:t>
      </w:r>
      <w:r w:rsidRPr="00E41079">
        <w:t xml:space="preserve"> (he used the term </w:t>
      </w:r>
      <w:r w:rsidRPr="00E41079">
        <w:rPr>
          <w:i/>
        </w:rPr>
        <w:t>G</w:t>
      </w:r>
      <w:r w:rsidRPr="00E41079">
        <w:rPr>
          <w:vertAlign w:val="subscript"/>
        </w:rPr>
        <w:t>ST</w:t>
      </w:r>
      <w:r w:rsidRPr="00E41079">
        <w:t>) based upon the gene diversity between and within populations as</w:t>
      </w:r>
    </w:p>
    <w:tbl>
      <w:tblPr>
        <w:tblW w:w="4736" w:type="pct"/>
        <w:tblLook w:val="04A0" w:firstRow="1" w:lastRow="0" w:firstColumn="1" w:lastColumn="0" w:noHBand="0" w:noVBand="1"/>
      </w:tblPr>
      <w:tblGrid>
        <w:gridCol w:w="7776"/>
        <w:gridCol w:w="612"/>
      </w:tblGrid>
      <w:tr w:rsidR="0081143A" w:rsidRPr="00E41079" w14:paraId="25E5757D" w14:textId="77777777" w:rsidTr="0081143A">
        <w:tc>
          <w:tcPr>
            <w:tcW w:w="4635" w:type="pct"/>
            <w:shd w:val="clear" w:color="auto" w:fill="auto"/>
            <w:vAlign w:val="center"/>
          </w:tcPr>
          <w:p w14:paraId="13527185" w14:textId="77777777" w:rsidR="0081143A" w:rsidRPr="00E41079" w:rsidRDefault="0081143A" w:rsidP="0081143A">
            <w:pPr>
              <w:jc w:val="center"/>
            </w:pPr>
            <w:r>
              <w:rPr>
                <w:noProof/>
                <w:position w:val="-30"/>
              </w:rPr>
              <w:drawing>
                <wp:inline distT="0" distB="0" distL="0" distR="0" wp14:anchorId="04C2BE61" wp14:editId="3E0E4B1B">
                  <wp:extent cx="635000" cy="4318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5000" cy="431800"/>
                          </a:xfrm>
                          <a:prstGeom prst="rect">
                            <a:avLst/>
                          </a:prstGeom>
                          <a:noFill/>
                          <a:ln>
                            <a:noFill/>
                          </a:ln>
                        </pic:spPr>
                      </pic:pic>
                    </a:graphicData>
                  </a:graphic>
                </wp:inline>
              </w:drawing>
            </w:r>
          </w:p>
        </w:tc>
        <w:tc>
          <w:tcPr>
            <w:tcW w:w="365" w:type="pct"/>
            <w:shd w:val="clear" w:color="auto" w:fill="auto"/>
            <w:vAlign w:val="center"/>
          </w:tcPr>
          <w:p w14:paraId="5CD9AD98" w14:textId="77777777" w:rsidR="0081143A" w:rsidRPr="00E41079" w:rsidRDefault="0081143A" w:rsidP="0081143A">
            <w:pPr>
              <w:pStyle w:val="ListParagraph"/>
              <w:numPr>
                <w:ilvl w:val="0"/>
                <w:numId w:val="7"/>
              </w:numPr>
              <w:jc w:val="center"/>
            </w:pPr>
          </w:p>
        </w:tc>
      </w:tr>
    </w:tbl>
    <w:p w14:paraId="6ED90B02" w14:textId="77777777" w:rsidR="0081143A" w:rsidRPr="00E41079" w:rsidRDefault="0081143A" w:rsidP="0081143A"/>
    <w:p w14:paraId="17883A53"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456429AB" wp14:editId="2E9F5D50">
            <wp:extent cx="266700" cy="215900"/>
            <wp:effectExtent l="0" t="0" r="12700" b="1270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 cy="215900"/>
                    </a:xfrm>
                    <a:prstGeom prst="rect">
                      <a:avLst/>
                    </a:prstGeom>
                    <a:noFill/>
                    <a:ln>
                      <a:noFill/>
                    </a:ln>
                  </pic:spPr>
                </pic:pic>
              </a:graphicData>
            </a:graphic>
          </wp:inline>
        </w:drawing>
      </w:r>
      <w:r w:rsidRPr="00E41079">
        <w:t xml:space="preserve">is the average gene diversity between populations and </w:t>
      </w:r>
      <w:r>
        <w:rPr>
          <w:noProof/>
          <w:position w:val="-10"/>
        </w:rPr>
        <w:drawing>
          <wp:inline distT="0" distB="0" distL="0" distR="0" wp14:anchorId="32CB97E3" wp14:editId="478EA06D">
            <wp:extent cx="228600" cy="2032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E41079">
        <w:t xml:space="preserve">is the diversity in the total population. Also, Nei’s term “gene diversity” is identical to heterozygosity in a randomly mating population. This conceptual definition is distinct from Wright’s in that it makes no assumption about the evolutionary process that led to the current allele frequencies, nor does it assume that SNPs were polymorphic in the ancestral population. This lack of assumptions means that </w:t>
      </w:r>
      <w:r w:rsidRPr="00E41079">
        <w:rPr>
          <w:i/>
        </w:rPr>
        <w:t>F</w:t>
      </w:r>
      <w:r w:rsidRPr="00E41079">
        <w:rPr>
          <w:vertAlign w:val="subscript"/>
        </w:rPr>
        <w:t>ST</w:t>
      </w:r>
      <w:r w:rsidRPr="00E41079">
        <w:t xml:space="preserve"> estimated according to Nei can always be interpreted as a ratio of gene diversity between populations to total gene diversity. However, this is also the basis for Cockerham and Weir’s discussion of Nei’s </w:t>
      </w:r>
      <w:r w:rsidRPr="00E41079">
        <w:rPr>
          <w:i/>
        </w:rPr>
        <w:t>F</w:t>
      </w:r>
      <w:r w:rsidRPr="00E41079">
        <w:rPr>
          <w:vertAlign w:val="subscript"/>
        </w:rPr>
        <w:t>ST</w:t>
      </w:r>
      <w:r w:rsidRPr="00E41079">
        <w:t xml:space="preserve"> as a statistic from data—as opposed to a parameter of the evolutionary process </w:t>
      </w:r>
      <w:r w:rsidR="00862942" w:rsidRPr="00E41079">
        <w:fldChar w:fldCharType="begin"/>
      </w:r>
      <w:r w:rsidR="00D73545">
        <w:instrText xml:space="preserve"> ADDIN PAPERS2_CITATIONS &lt;citation&gt;&lt;uuid&gt;E6DCEBEB-3FF1-4850-B911-4BE872805C98&lt;/uuid&gt;&lt;priority&gt;28&lt;/priority&gt;&lt;publications&gt;&lt;publication&gt;&lt;uuid&gt;6EDBF283-AC5F-4BA9-8927-9799A65C6C8F&lt;/uuid&gt;&lt;volume&gt;15&lt;/volume&gt;&lt;doi&gt;10.1101/gr.4398405&lt;/doi&gt;&lt;startpage&gt;1468&lt;/startpage&gt;&lt;publication_date&gt;99200511001200000000220000&lt;/publication_date&gt;&lt;url&gt;http://eutils.ncbi.nlm.nih.gov/entrez/eutils/elink.fcgi?dbfrom=pubmed&amp;amp;id=16251456&amp;amp;retmode=ref&amp;amp;cmd=prlinks&lt;/url&gt;&lt;citekey&gt;RefWorks:46&lt;/citekey&gt;&lt;type&gt;400&lt;/type&gt;&lt;title&gt;Measures of human population structure show heterogeneity among genomic regions.&lt;/title&gt;&lt;location&gt;200,5,35.8100000,-78.7200000&lt;/location&gt;&lt;institution&gt;Program in Statistical Genetics, Department of Statistics, North Carolina State University, Raleigh, North Carolina 27695-7566, USA. weir@stat.ncsu.edu&lt;/institution&gt;&lt;number&gt;11&lt;/number&gt;&lt;subtype&gt;400&lt;/subtype&gt;&lt;endpage&gt;1476&lt;/endpage&gt;&lt;bundle&gt;&lt;publication&gt;&lt;title&gt;Genome Res.&lt;/title&gt;&lt;type&gt;-100&lt;/type&gt;&lt;subtype&gt;-100&lt;/subtype&gt;&lt;uuid&gt;5DECB689-996D-46CA-937E-79CF4E9B7144&lt;/uuid&gt;&lt;/publication&gt;&lt;/bundle&gt;&lt;authors&gt;&lt;author&gt;&lt;firstName&gt;Bruce&lt;/firstName&gt;&lt;middleNames&gt;S&lt;/middleNames&gt;&lt;lastName&gt;Weir&lt;/lastName&gt;&lt;/author&gt;&lt;author&gt;&lt;firstName&gt;Lon&lt;/firstName&gt;&lt;middleNames&gt;R&lt;/middleNames&gt;&lt;lastName&gt;Cardon&lt;/lastName&gt;&lt;/author&gt;&lt;author&gt;&lt;firstName&gt;Amy&lt;/firstName&gt;&lt;middleNames&gt;D&lt;/middleNames&gt;&lt;lastName&gt;Anderson&lt;/lastName&gt;&lt;/author&gt;&lt;author&gt;&lt;firstName&gt;Dahlia&lt;/firstName&gt;&lt;middleNames&gt;M&lt;/middleNames&gt;&lt;lastName&gt;Nielsen&lt;/lastName&gt;&lt;/author&gt;&lt;author&gt;&lt;firstName&gt;William&lt;/firstName&gt;&lt;middleNames&gt;G&lt;/middleNames&gt;&lt;lastName&gt;Hill&lt;/lastName&gt;&lt;/author&gt;&lt;/authors&gt;&lt;/publication&gt;&lt;publication&gt;&lt;uuid&gt;46CA3A4B-F9CA-49AB-ABC4-D753EEFAEF8D&lt;/uuid&gt;&lt;volume&gt;50&lt;/volume&gt;&lt;startpage&gt;271&lt;/startpage&gt;&lt;publication_date&gt;99198607001200000000220000&lt;/publication_date&gt;&lt;url&gt;http://eutils.ncbi.nlm.nih.gov/entrez/eutils/elink.fcgi?dbfrom=pubmed&amp;amp;id=3446014&amp;amp;retmode=ref&amp;amp;cmd=prlinks&lt;/url&gt;&lt;type&gt;400&lt;/type&gt;&lt;title&gt;Estimation of inbreeding parameters in stratified populations.&lt;/title&gt;&lt;location&gt;200,9,35.7873474,-78.6654159&lt;/location&gt;&lt;institution&gt;Department of Statistics, North Carolina State University, Raleigh 27695-8203.&lt;/institution&gt;&lt;number&gt;Pt 3&lt;/number&gt;&lt;subtype&gt;400&lt;/subtype&gt;&lt;endpage&gt;281&lt;/endpage&gt;&lt;bundle&gt;&lt;publication&gt;&lt;title&gt;Annals of Human Genetics&lt;/title&gt;&lt;type&gt;-100&lt;/type&gt;&lt;subtype&gt;-100&lt;/subtype&gt;&lt;uuid&gt;16BFC9C9-094F-4CDA-83B4-0163DB38945B&lt;/uuid&gt;&lt;/publication&gt;&lt;/bundle&gt;&lt;authors&gt;&lt;author&gt;&lt;firstName&gt;C&lt;/firstName&gt;&lt;middleNames&gt;C&lt;/middleNames&gt;&lt;lastName&gt;Cockerham&lt;/lastName&gt;&lt;/author&gt;&lt;author&gt;&lt;firstName&gt;B&lt;/firstName&gt;&lt;middleNames&gt;S&lt;/middleNames&gt;&lt;lastName&gt;Weir&lt;/lastName&gt;&lt;/author&gt;&lt;/authors&gt;&lt;/publication&gt;&lt;publication&gt;&lt;uuid&gt;17382595-9A57-4065-8C55-7E850E6CB626&lt;/uuid&gt;&lt;volume&gt;5&lt;/volume&gt;&lt;accepted_date&gt;99200904071200000000222000&lt;/accepted_date&gt;&lt;doi&gt;10.1371/journal.pgen.1000471&lt;/doi&gt;&lt;startpage&gt;e1000471&lt;/startpage&gt;&lt;publication_date&gt;99200905001200000000220000&lt;/publication_date&gt;&lt;url&gt;http://eutils.ncbi.nlm.nih.gov/entrez/eutils/elink.fcgi?dbfrom=pubmed&amp;amp;id=19424416&amp;amp;retmode=ref&amp;amp;cmd=prlinks&lt;/url&gt;&lt;citekey&gt;RefWorks:43&lt;/citekey&gt;&lt;type&gt;400&lt;/type&gt;&lt;title&gt;Widespread genomic signatures of natural selection in hominid evolution.&lt;/title&gt;&lt;location&gt;200,4,47.6062095,-122.3320708&lt;/location&gt;&lt;submission_date&gt;99200811181200000000222000&lt;/submission_date&gt;&lt;number&gt;5&lt;/number&gt;&lt;institution&gt;Department of Genome Sciences, University of Washington, Seattle, WA, USA. mcvicker@u.washington.edu&lt;/institution&gt;&lt;subtype&gt;400&lt;/subtype&gt;&lt;bundle&gt;&lt;publication&gt;&lt;title&gt;PLoS Genet&lt;/title&gt;&lt;type&gt;-100&lt;/type&gt;&lt;subtype&gt;-100&lt;/subtype&gt;&lt;uuid&gt;93622753-9CE2-4560-AB34-0DC988E3797B&lt;/uuid&gt;&lt;/publication&gt;&lt;/bundle&gt;&lt;authors&gt;&lt;author&gt;&lt;firstName&gt;Graham&lt;/firstName&gt;&lt;lastName&gt;McVicker&lt;/lastName&gt;&lt;/author&gt;&lt;author&gt;&lt;firstName&gt;David&lt;/firstName&gt;&lt;lastName&gt;Gordon&lt;/lastName&gt;&lt;/author&gt;&lt;author&gt;&lt;firstName&gt;Colleen&lt;/firstName&gt;&lt;lastName&gt;Davis&lt;/lastName&gt;&lt;/author&gt;&lt;author&gt;&lt;firstName&gt;Phil&lt;/firstName&gt;&lt;lastName&gt;Green&lt;/lastName&gt;&lt;/author&gt;&lt;/authors&gt;&lt;/publication&gt;&lt;/publications&gt;&lt;cites&gt;&lt;/cites&gt;&lt;/citation&gt;</w:instrText>
      </w:r>
      <w:r w:rsidR="00862942" w:rsidRPr="00E41079">
        <w:fldChar w:fldCharType="separate"/>
      </w:r>
      <w:r w:rsidR="00D73545">
        <w:rPr>
          <w:rFonts w:cs="Cambria"/>
        </w:rPr>
        <w:t>(Weir et al. 2005; Cockerham and Weir 1986; McVicker et al. 2009)</w:t>
      </w:r>
      <w:r w:rsidR="00862942" w:rsidRPr="00E41079">
        <w:fldChar w:fldCharType="end"/>
      </w:r>
      <w:r w:rsidRPr="00E41079">
        <w:t xml:space="preserve">. Holsinger and Weir wrote that Nei’s </w:t>
      </w:r>
      <w:r w:rsidRPr="00E41079">
        <w:rPr>
          <w:i/>
        </w:rPr>
        <w:t>F</w:t>
      </w:r>
      <w:r w:rsidRPr="00E41079">
        <w:rPr>
          <w:vertAlign w:val="subscript"/>
        </w:rPr>
        <w:t>ST</w:t>
      </w:r>
      <w:r w:rsidRPr="00E41079">
        <w:t xml:space="preserve"> “does not account for genetic sampling”, and that in general, the WC </w:t>
      </w:r>
      <w:r w:rsidRPr="00E41079">
        <w:rPr>
          <w:i/>
        </w:rPr>
        <w:t>F</w:t>
      </w:r>
      <w:r w:rsidRPr="00E41079">
        <w:rPr>
          <w:vertAlign w:val="subscript"/>
        </w:rPr>
        <w:t>ST</w:t>
      </w:r>
      <w:r w:rsidRPr="00E41079">
        <w:t xml:space="preserve"> “will be a more appropriate measure of differentiation” </w:t>
      </w:r>
      <w:r w:rsidR="00862942" w:rsidRPr="00E41079">
        <w:fldChar w:fldCharType="begin"/>
      </w:r>
      <w:r w:rsidR="00D73545">
        <w:instrText xml:space="preserve"> ADDIN PAPERS2_CITATIONS &lt;citation&gt;&lt;uuid&gt;3ED5518D-6259-42F1-BC22-C19EC144A443&lt;/uuid&gt;&lt;priority&gt;29&lt;/priority&gt;&lt;publications&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gt;&lt;uuid&gt;2772E051-16AA-4771-8A14-E509B7BFCED5&lt;/uuid&gt;&lt;volume&gt;10&lt;/volume&gt;&lt;doi&gt;10.1038/nrg2611&lt;/doi&gt;&lt;startpage&gt;639&lt;/startpage&gt;&lt;publication_date&gt;99200909001200000000220000&lt;/publication_date&gt;&lt;url&gt;http://eutils.ncbi.nlm.nih.gov/entrez/eutils/elink.fcgi?dbfrom=pubmed&amp;amp;id=19687804&amp;amp;retmode=ref&amp;amp;cmd=prlinks&lt;/url&gt;&lt;citekey&gt;RefWorks:110&lt;/citekey&gt;&lt;type&gt;400&lt;/type&gt;&lt;title&gt;Genetics in geographically structured populations: defining, estimating and interpreting F(ST).&lt;/title&gt;&lt;location&gt;200,9,41.8099449,-72.2558997&lt;/location&gt;&lt;institution&gt;Department of Ecology and Evolutionary Biology, U-3043, University of Connecticut, Storrs, Connecticut 06269-3043, USA. kent@darwin.eeb.uconn.edu&lt;/institution&gt;&lt;number&gt;9&lt;/number&gt;&lt;subtype&gt;400&lt;/subtype&gt;&lt;endpage&gt;650&lt;/endpage&gt;&lt;bundle&gt;&lt;publication&gt;&lt;url&gt;http://google.com&lt;/url&gt;&lt;title&gt;Nature reviews. Genetics&lt;/title&gt;&lt;type&gt;-100&lt;/type&gt;&lt;subtype&gt;-100&lt;/subtype&gt;&lt;uuid&gt;70AE9E5E-5C2B-483A-8647-AA04B5F1B1F5&lt;/uuid&gt;&lt;/publication&gt;&lt;/bundle&gt;&lt;authors&gt;&lt;author&gt;&lt;firstName&gt;Kent&lt;/firstName&gt;&lt;middleNames&gt;E&lt;/middleNames&gt;&lt;lastName&gt;Holsinger&lt;/lastName&gt;&lt;/author&gt;&lt;author&gt;&lt;firstName&gt;Bruce&lt;/firstName&gt;&lt;middleNames&gt;S&lt;/middleNames&gt;&lt;lastName&gt;Weir&lt;/lastName&gt;&lt;/author&gt;&lt;/authors&gt;&lt;/publication&gt;&lt;/publications&gt;&lt;cites&gt;&lt;/cites&gt;&lt;/citation&gt;</w:instrText>
      </w:r>
      <w:r w:rsidR="00862942" w:rsidRPr="00E41079">
        <w:fldChar w:fldCharType="separate"/>
      </w:r>
      <w:r w:rsidR="00D73545">
        <w:rPr>
          <w:rFonts w:cs="Cambria"/>
        </w:rPr>
        <w:t>(Weir and Hill 2002; Holsinger and Weir 2009)</w:t>
      </w:r>
      <w:r w:rsidR="00862942" w:rsidRPr="00E41079">
        <w:fldChar w:fldCharType="end"/>
      </w:r>
      <w:r w:rsidRPr="00E41079">
        <w:t xml:space="preserve">. We believe that viewing </w:t>
      </w:r>
      <w:r w:rsidRPr="00E41079">
        <w:rPr>
          <w:i/>
        </w:rPr>
        <w:t>F</w:t>
      </w:r>
      <w:r w:rsidRPr="00E41079">
        <w:rPr>
          <w:vertAlign w:val="subscript"/>
        </w:rPr>
        <w:t>ST</w:t>
      </w:r>
      <w:r w:rsidRPr="00E41079">
        <w:t xml:space="preserve"> as a parameter of the evolutionary enables valuable insights about demographic history and, in general, we side with Cockerham and Weir </w:t>
      </w:r>
      <w:r w:rsidR="00862942" w:rsidRPr="00E41079">
        <w:fldChar w:fldCharType="begin"/>
      </w:r>
      <w:r w:rsidR="00D73545">
        <w:instrText xml:space="preserve"> ADDIN PAPERS2_CITATIONS &lt;citation&gt;&lt;uuid&gt;58BD44F3-FDC8-4B09-8977-B19E2C8935A3&lt;/uuid&gt;&lt;priority&gt;30&lt;/priority&gt;&lt;publications&gt;&lt;publication&gt;&lt;uuid&gt;541A6A3C-72DD-4213-B15F-0D500A889351&lt;/uuid&gt;&lt;volume&gt;130&lt;/volume&gt;&lt;doi&gt;10.1111/j.1601-5223.1999.00245.x&lt;/doi&gt;&lt;startpage&gt;245&lt;/startpage&gt;&lt;publication_date&gt;99199900001200000000200000&lt;/publication_date&gt;&lt;url&gt;http://dx.doi.org/10.1111/j.1601-5223.1999.00245.x&lt;/url&gt;&lt;citekey&gt;RefWorks:151&lt;/citekey&gt;&lt;type&gt;400&lt;/type&gt;&lt;title&gt;Analysis of Genetic Diversity in Geographically Structured Populations: A Bayesian Perspective&lt;/title&gt;&lt;publisher&gt;Munksgaard International Publishers&lt;/publisher&gt;&lt;number&gt;3&lt;/number&gt;&lt;subtype&gt;400&lt;/subtype&gt;&lt;endpage&gt;255&lt;/endpage&gt;&lt;bundle&gt;&lt;publication&gt;&lt;title&gt;Hereditas&lt;/title&gt;&lt;type&gt;-100&lt;/type&gt;&lt;subtype&gt;-100&lt;/subtype&gt;&lt;uuid&gt;7F748748-B4D4-4D13-8C53-D84707B345AE&lt;/uuid&gt;&lt;/publication&gt;&lt;/bundle&gt;&lt;authors&gt;&lt;author&gt;&lt;firstName&gt;Kent&lt;/firstName&gt;&lt;middleNames&gt;E&lt;/middleNames&gt;&lt;lastName&gt;Holsinger&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gt;&lt;uuid&gt;46CA3A4B-F9CA-49AB-ABC4-D753EEFAEF8D&lt;/uuid&gt;&lt;volume&gt;50&lt;/volume&gt;&lt;startpage&gt;271&lt;/startpage&gt;&lt;publication_date&gt;99198607001200000000220000&lt;/publication_date&gt;&lt;url&gt;http://eutils.ncbi.nlm.nih.gov/entrez/eutils/elink.fcgi?dbfrom=pubmed&amp;amp;id=3446014&amp;amp;retmode=ref&amp;amp;cmd=prlinks&lt;/url&gt;&lt;type&gt;400&lt;/type&gt;&lt;title&gt;Estimation of inbreeding parameters in stratified populations.&lt;/title&gt;&lt;location&gt;200,9,35.7873474,-78.6654159&lt;/location&gt;&lt;institution&gt;Department of Statistics, North Carolina State University, Raleigh 27695-8203.&lt;/institution&gt;&lt;number&gt;Pt 3&lt;/number&gt;&lt;subtype&gt;400&lt;/subtype&gt;&lt;endpage&gt;281&lt;/endpage&gt;&lt;bundle&gt;&lt;publication&gt;&lt;title&gt;Annals of Human Genetics&lt;/title&gt;&lt;type&gt;-100&lt;/type&gt;&lt;subtype&gt;-100&lt;/subtype&gt;&lt;uuid&gt;16BFC9C9-094F-4CDA-83B4-0163DB38945B&lt;/uuid&gt;&lt;/publication&gt;&lt;/bundle&gt;&lt;authors&gt;&lt;author&gt;&lt;firstName&gt;C&lt;/firstName&gt;&lt;middleNames&gt;C&lt;/middleNames&gt;&lt;lastName&gt;Cockerham&lt;/lastName&gt;&lt;/author&gt;&lt;author&gt;&lt;firstName&gt;B&lt;/firstName&gt;&lt;middleNames&gt;S&lt;/middleNames&gt;&lt;lastName&gt;Weir&lt;/lastName&gt;&lt;/author&gt;&lt;/authors&gt;&lt;/publication&gt;&lt;/publications&gt;&lt;cites&gt;&lt;/cites&gt;&lt;/citation&gt;</w:instrText>
      </w:r>
      <w:r w:rsidR="00862942" w:rsidRPr="00E41079">
        <w:fldChar w:fldCharType="separate"/>
      </w:r>
      <w:r w:rsidR="00D73545">
        <w:rPr>
          <w:rFonts w:cs="Cambria"/>
        </w:rPr>
        <w:t>(Holsinger 1999; Cockerham 1969; Cockerham and Weir 1986)</w:t>
      </w:r>
      <w:r w:rsidR="00862942" w:rsidRPr="00E41079">
        <w:fldChar w:fldCharType="end"/>
      </w:r>
      <w:r w:rsidRPr="00E41079">
        <w:t xml:space="preserve">. However, if one is interested in properties of the sample being studied, then Nei’s estimator may prove more appropriate (see </w:t>
      </w:r>
      <w:r>
        <w:t>below</w:t>
      </w:r>
      <w:r w:rsidRPr="00E41079">
        <w:t xml:space="preserve">). While we are interested in the case of 2 populations, we note that the WC and Nei quantities being estimated are identical in the case large numbers of populations </w:t>
      </w:r>
      <w:r w:rsidR="00862942" w:rsidRPr="00E41079">
        <w:fldChar w:fldCharType="begin"/>
      </w:r>
      <w:r w:rsidR="00D73545">
        <w:instrText xml:space="preserve"> ADDIN PAPERS2_CITATIONS &lt;citation&gt;&lt;uuid&gt;FE040905-E196-4B67-B4BD-DE76DB75A89E&lt;/uuid&gt;&lt;priority&gt;31&lt;/priority&gt;&lt;publications&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s&gt;&lt;cites&gt;&lt;/cites&gt;&lt;/citation&gt;</w:instrText>
      </w:r>
      <w:r w:rsidR="00862942" w:rsidRPr="00E41079">
        <w:fldChar w:fldCharType="separate"/>
      </w:r>
      <w:r w:rsidR="00D73545">
        <w:rPr>
          <w:rFonts w:cs="Cambria"/>
        </w:rPr>
        <w:t>(1000 Genomes Project Consortium 2010; Weir and Cockerham 1984)</w:t>
      </w:r>
      <w:r w:rsidR="00862942" w:rsidRPr="00E41079">
        <w:fldChar w:fldCharType="end"/>
      </w:r>
      <w:r w:rsidRPr="00E41079">
        <w:t>.</w:t>
      </w:r>
    </w:p>
    <w:p w14:paraId="60323986" w14:textId="77777777" w:rsidR="0081143A" w:rsidRPr="00E41079" w:rsidRDefault="0081143A" w:rsidP="0081143A">
      <w:r w:rsidRPr="00E41079">
        <w:tab/>
        <w:t xml:space="preserve">To better understand the relationship between Nei’s </w:t>
      </w:r>
      <w:r w:rsidRPr="00E41079">
        <w:rPr>
          <w:i/>
        </w:rPr>
        <w:t>F</w:t>
      </w:r>
      <w:r w:rsidRPr="00E41079">
        <w:rPr>
          <w:vertAlign w:val="subscript"/>
        </w:rPr>
        <w:t>ST</w:t>
      </w:r>
      <w:r w:rsidRPr="00E41079">
        <w:t xml:space="preserve"> and the WC </w:t>
      </w:r>
      <w:r w:rsidRPr="00E41079">
        <w:rPr>
          <w:i/>
        </w:rPr>
        <w:t>F</w:t>
      </w:r>
      <w:r w:rsidRPr="00E41079">
        <w:rPr>
          <w:vertAlign w:val="subscript"/>
        </w:rPr>
        <w:t>ST</w:t>
      </w:r>
      <w:r w:rsidRPr="00E41079">
        <w:t xml:space="preserve">, we analyze both estimators using the same conceptual definition </w:t>
      </w:r>
      <w:r w:rsidR="00862942" w:rsidRPr="00E41079">
        <w:fldChar w:fldCharType="begin"/>
      </w:r>
      <w:r w:rsidR="00D73545">
        <w:instrText xml:space="preserve"> ADDIN PAPERS2_CITATIONS &lt;citation&gt;&lt;uuid&gt;1D01B4E9-4A2B-4738-A138-DB68D1231762&lt;/uuid&gt;&lt;priority&gt;32&lt;/priority&gt;&lt;publications&gt;&lt;publication&gt;&lt;uuid&gt;9A2A7598-4001-42A2-AC87-A3D5CF44556C&lt;/uuid&gt;&lt;volume&gt;39&lt;/volume&gt;&lt;accepted_date&gt;99200707171200000000222000&lt;/accepted_date&gt;&lt;doi&gt;10.1038/ng2116&lt;/doi&gt;&lt;startpage&gt;1251&lt;/startpage&gt;&lt;publication_date&gt;99200710001200000000220000&lt;/publication_date&gt;&lt;url&gt;http://eutils.ncbi.nlm.nih.gov/entrez/eutils/elink.fcgi?dbfrom=pubmed&amp;amp;id=17828266&amp;amp;retmode=ref&amp;amp;cmd=prlinks&lt;/url&gt;&lt;type&gt;400&lt;/type&gt;&lt;title&gt;Measurement of the human allele frequency spectrum demonstrates greater genetic drift in East Asians than in Europeans.&lt;/title&gt;&lt;location&gt;200,9,42.3355089,-71.1043686&lt;/location&gt;&lt;submission_date&gt;99200704241200000000222000&lt;/submission_date&gt;&lt;number&gt;10&lt;/number&gt;&lt;institution&gt;Department of Genetics, Harvard Medical School, Boston, Massachusetts 02115, USA. akeinan@genetics.med.harvard.edu&lt;/institution&gt;&lt;subtype&gt;400&lt;/subtype&gt;&lt;endpage&gt;1255&lt;/endpage&gt;&lt;bundle&gt;&lt;publication&gt;&lt;publisher&gt;Nature Publishing Group&lt;/publisher&gt;&lt;url&gt;http://www.nature.com&lt;/url&gt;&lt;title&gt;Nature genetics&lt;/title&gt;&lt;type&gt;-100&lt;/type&gt;&lt;subtype&gt;-100&lt;/subtype&gt;&lt;uuid&gt;02980058-4F1F-4866-97F2-89644F2F93F8&lt;/uuid&gt;&lt;/publication&gt;&lt;/bundle&gt;&lt;authors&gt;&lt;author&gt;&lt;firstName&gt;Alon&lt;/firstName&gt;&lt;lastName&gt;Keinan&lt;/lastName&gt;&lt;/author&gt;&lt;author&gt;&lt;firstName&gt;James&lt;/firstName&gt;&lt;middleNames&gt;C&lt;/middleNames&gt;&lt;lastName&gt;Mullikin&lt;/lastName&gt;&lt;/author&gt;&lt;author&gt;&lt;firstName&gt;Nick&lt;/firstName&gt;&lt;lastName&gt;Patterson&lt;/lastName&gt;&lt;/author&gt;&lt;author&gt;&lt;firstName&gt;David&lt;/firstName&gt;&lt;lastName&gt;Reich&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s&gt;&lt;cites&gt;&lt;/cites&gt;&lt;/citation&gt;</w:instrText>
      </w:r>
      <w:r w:rsidR="00862942" w:rsidRPr="00E41079">
        <w:fldChar w:fldCharType="separate"/>
      </w:r>
      <w:r w:rsidR="00D73545">
        <w:rPr>
          <w:rFonts w:cs="Cambria"/>
        </w:rPr>
        <w:t>(Keinan et al. 2007; Weir and Hill 2002)</w:t>
      </w:r>
      <w:r w:rsidR="00862942" w:rsidRPr="00E41079">
        <w:fldChar w:fldCharType="end"/>
      </w:r>
      <w:r w:rsidRPr="00E41079">
        <w:t>. This will give us a common basis for comparing the asymptotic behavior of estimators. We note that this analysis imposes the restriction that analyzed SNPs were polymorphic in the ancestral population. Nei did not impose this restriction in his analysis.</w:t>
      </w:r>
    </w:p>
    <w:p w14:paraId="01D5AC70" w14:textId="77777777" w:rsidR="0081143A" w:rsidRPr="00E41079" w:rsidRDefault="0081143A" w:rsidP="0081143A"/>
    <w:p w14:paraId="7D450798" w14:textId="77777777" w:rsidR="0081143A" w:rsidRPr="00E41079" w:rsidRDefault="0081143A" w:rsidP="0081143A">
      <w:pPr>
        <w:rPr>
          <w:i/>
        </w:rPr>
      </w:pPr>
      <w:r w:rsidRPr="00E41079">
        <w:rPr>
          <w:i/>
        </w:rPr>
        <w:t>Estimator</w:t>
      </w:r>
    </w:p>
    <w:p w14:paraId="5C415A4A" w14:textId="77777777" w:rsidR="0081143A" w:rsidRPr="00E41079" w:rsidRDefault="0081143A" w:rsidP="0081143A">
      <w:r w:rsidRPr="00E41079">
        <w:t>In the case of two alleles at a locus, Nei’s estimator is</w:t>
      </w:r>
    </w:p>
    <w:tbl>
      <w:tblPr>
        <w:tblW w:w="4736" w:type="pct"/>
        <w:tblLook w:val="04A0" w:firstRow="1" w:lastRow="0" w:firstColumn="1" w:lastColumn="0" w:noHBand="0" w:noVBand="1"/>
      </w:tblPr>
      <w:tblGrid>
        <w:gridCol w:w="7776"/>
        <w:gridCol w:w="612"/>
      </w:tblGrid>
      <w:tr w:rsidR="0081143A" w:rsidRPr="00E41079" w14:paraId="31E08353" w14:textId="77777777" w:rsidTr="0081143A">
        <w:tc>
          <w:tcPr>
            <w:tcW w:w="4635" w:type="pct"/>
            <w:shd w:val="clear" w:color="auto" w:fill="auto"/>
            <w:vAlign w:val="center"/>
          </w:tcPr>
          <w:p w14:paraId="5231B467" w14:textId="77777777" w:rsidR="0081143A" w:rsidRPr="00E41079" w:rsidRDefault="0081143A" w:rsidP="0081143A">
            <w:pPr>
              <w:jc w:val="center"/>
            </w:pPr>
            <w:r>
              <w:rPr>
                <w:noProof/>
                <w:position w:val="-32"/>
              </w:rPr>
              <w:drawing>
                <wp:inline distT="0" distB="0" distL="0" distR="0" wp14:anchorId="45AD61F2" wp14:editId="27934D6B">
                  <wp:extent cx="1295400" cy="457200"/>
                  <wp:effectExtent l="0" t="0" r="0" b="0"/>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tc>
        <w:tc>
          <w:tcPr>
            <w:tcW w:w="365" w:type="pct"/>
            <w:shd w:val="clear" w:color="auto" w:fill="auto"/>
            <w:vAlign w:val="center"/>
          </w:tcPr>
          <w:p w14:paraId="57E2C65B" w14:textId="77777777" w:rsidR="0081143A" w:rsidRPr="00E41079" w:rsidRDefault="0081143A" w:rsidP="0081143A">
            <w:pPr>
              <w:pStyle w:val="ListParagraph"/>
              <w:numPr>
                <w:ilvl w:val="0"/>
                <w:numId w:val="7"/>
              </w:numPr>
              <w:jc w:val="center"/>
            </w:pPr>
          </w:p>
        </w:tc>
      </w:tr>
    </w:tbl>
    <w:p w14:paraId="0D1AE112" w14:textId="77777777" w:rsidR="0081143A" w:rsidRPr="00E41079" w:rsidRDefault="0081143A" w:rsidP="0081143A">
      <w:proofErr w:type="gramStart"/>
      <w:r w:rsidRPr="00E41079">
        <w:t>where</w:t>
      </w:r>
      <w:proofErr w:type="gramEnd"/>
    </w:p>
    <w:tbl>
      <w:tblPr>
        <w:tblW w:w="4390" w:type="pct"/>
        <w:tblLook w:val="04A0" w:firstRow="1" w:lastRow="0" w:firstColumn="1" w:lastColumn="0" w:noHBand="0" w:noVBand="1"/>
      </w:tblPr>
      <w:tblGrid>
        <w:gridCol w:w="7776"/>
      </w:tblGrid>
      <w:tr w:rsidR="0081143A" w:rsidRPr="00E41079" w14:paraId="39D32432" w14:textId="77777777" w:rsidTr="0081143A">
        <w:tc>
          <w:tcPr>
            <w:tcW w:w="5000" w:type="pct"/>
            <w:shd w:val="clear" w:color="auto" w:fill="auto"/>
            <w:vAlign w:val="center"/>
          </w:tcPr>
          <w:p w14:paraId="5B3921D1" w14:textId="77777777" w:rsidR="0081143A" w:rsidRPr="00E41079" w:rsidRDefault="0081143A" w:rsidP="0081143A">
            <w:pPr>
              <w:jc w:val="center"/>
            </w:pPr>
            <w:r>
              <w:rPr>
                <w:noProof/>
                <w:position w:val="-24"/>
              </w:rPr>
              <w:drawing>
                <wp:inline distT="0" distB="0" distL="0" distR="0" wp14:anchorId="590DC6CE" wp14:editId="0090AAE0">
                  <wp:extent cx="850900" cy="393700"/>
                  <wp:effectExtent l="0" t="0" r="12700" b="1270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0900" cy="393700"/>
                          </a:xfrm>
                          <a:prstGeom prst="rect">
                            <a:avLst/>
                          </a:prstGeom>
                          <a:noFill/>
                          <a:ln>
                            <a:noFill/>
                          </a:ln>
                        </pic:spPr>
                      </pic:pic>
                    </a:graphicData>
                  </a:graphic>
                </wp:inline>
              </w:drawing>
            </w:r>
          </w:p>
        </w:tc>
      </w:tr>
    </w:tbl>
    <w:p w14:paraId="742060C3" w14:textId="77777777" w:rsidR="0081143A" w:rsidRPr="00E41079" w:rsidRDefault="0081143A" w:rsidP="0081143A">
      <w:proofErr w:type="gramStart"/>
      <w:r w:rsidRPr="00E41079">
        <w:t>and</w:t>
      </w:r>
      <w:proofErr w:type="gramEnd"/>
      <w:r w:rsidRPr="00E41079">
        <w:t xml:space="preserve"> </w:t>
      </w:r>
      <w:r>
        <w:rPr>
          <w:noProof/>
          <w:position w:val="-12"/>
        </w:rPr>
        <w:drawing>
          <wp:inline distT="0" distB="0" distL="0" distR="0" wp14:anchorId="48F80547" wp14:editId="6DEF4D95">
            <wp:extent cx="165100" cy="215900"/>
            <wp:effectExtent l="0" t="0" r="12700" b="12700"/>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E41079">
        <w:t xml:space="preserve">is the sample allele frequency in population </w:t>
      </w:r>
      <w:proofErr w:type="spellStart"/>
      <w:r w:rsidRPr="00E41079">
        <w:rPr>
          <w:i/>
        </w:rPr>
        <w:t>i</w:t>
      </w:r>
      <w:proofErr w:type="spellEnd"/>
      <w:r w:rsidRPr="00E41079">
        <w:rPr>
          <w:i/>
        </w:rPr>
        <w:t xml:space="preserve"> </w:t>
      </w:r>
      <w:r w:rsidRPr="00E41079">
        <w:t xml:space="preserve">for </w:t>
      </w:r>
      <w:r>
        <w:rPr>
          <w:noProof/>
          <w:position w:val="-10"/>
        </w:rPr>
        <w:drawing>
          <wp:inline distT="0" distB="0" distL="0" distR="0" wp14:anchorId="10803BCD" wp14:editId="2282E5E4">
            <wp:extent cx="571500" cy="203200"/>
            <wp:effectExtent l="0" t="0" r="12700" b="0"/>
            <wp:docPr id="1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E41079">
        <w:t xml:space="preserve">. We note that this is Nei’s updated estimator and, for the case of two populations, differs from the estimator given in </w:t>
      </w:r>
      <w:r w:rsidR="00862942" w:rsidRPr="00E41079">
        <w:fldChar w:fldCharType="begin"/>
      </w:r>
      <w:r w:rsidR="00D73545">
        <w:instrText xml:space="preserve"> ADDIN PAPERS2_CITATIONS &lt;citation&gt;&lt;uuid&gt;D976C6EE-5F6F-4DA4-AEDF-9B091E2300F8&lt;/uuid&gt;&lt;priority&gt;33&lt;/priority&gt;&lt;publications&gt;&lt;publication&gt;&lt;volume&gt;15&lt;/volume&gt;&lt;publication_date&gt;99200500001200000000210000November 01&lt;/publication_date&gt;&lt;number&gt;11&lt;/number&gt;&lt;startpage&gt;1496&lt;/startpage&gt;&lt;title&gt;Ascertainment bias in studies of human genome-wide polymorphism&lt;/title&gt;&lt;uuid&gt;AE121F3C-5708-47F5-A19B-7F14933E82A3&lt;/uuid&gt;&lt;subtype&gt;400&lt;/subtype&gt;&lt;endpage&gt;1502&lt;/endpage&gt;&lt;type&gt;400&lt;/type&gt;&lt;citekey&gt;RefWorks:111&lt;/citekey&gt;&lt;url&gt;http://www.google.com/search?client=safari&amp;amp;rls=10_7_4&amp;amp;q=Ascertainment+bias+in+studies+of+human+genome+wide+polymorphism&amp;amp;ie=UTF-8&amp;amp;oe=UTF-8&lt;/url&gt;&lt;bundle&gt;&lt;publication&gt;&lt;title&gt;Genome research&lt;/title&gt;&lt;type&gt;-100&lt;/type&gt;&lt;subtype&gt;-100&lt;/subtype&gt;&lt;uuid&gt;22A5A446-E7C6-43D4-ACE6-ED41852272F0&lt;/uuid&gt;&lt;/publication&gt;&lt;/bundle&gt;&lt;authors&gt;&lt;author&gt;&lt;firstName&gt;Andrew&lt;/firstName&gt;&lt;middleNames&gt;G&lt;/middleNames&gt;&lt;lastName&gt;Clark&lt;/lastName&gt;&lt;/author&gt;&lt;author&gt;&lt;firstName&gt;Melissa&lt;/firstName&gt;&lt;middleNames&gt;J&lt;/middleNames&gt;&lt;lastName&gt;Hubisz&lt;/lastName&gt;&lt;/author&gt;&lt;author&gt;&lt;firstName&gt;Carlos&lt;/firstName&gt;&lt;middleNames&gt;D&lt;/middleNames&gt;&lt;lastName&gt;Bustamante&lt;/lastName&gt;&lt;/author&gt;&lt;author&gt;&lt;firstName&gt;Scott&lt;/firstName&gt;&lt;middleNames&gt;H&lt;/middleNames&gt;&lt;lastName&gt;Williamson&lt;/lastName&gt;&lt;/author&gt;&lt;author&gt;&lt;firstName&gt;Rasmus&lt;/firstName&gt;&lt;lastName&gt;Nielsen&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6DF05EA1-0971-472C-959D-869EC7DB45B0&lt;/uuid&gt;&lt;volume&gt;27&lt;/volume&gt;&lt;doi&gt;10.1093/molbev/msq148&lt;/doi&gt;&lt;startpage&gt;2534&lt;/startpage&gt;&lt;publication_date&gt;99201011001200000000220000&lt;/publication_date&gt;&lt;url&gt;http://eutils.ncbi.nlm.nih.gov/entrez/eutils/elink.fcgi?dbfrom=pubmed&amp;amp;id=20558595&amp;amp;retmode=ref&amp;amp;cmd=prlinks&lt;/url&gt;&lt;citekey&gt;RefWorks:114&lt;/citekey&gt;&lt;type&gt;400&lt;/type&gt;&lt;title&gt;Ascertainment biases in SNP chips affect measures of population divergence.&lt;/title&gt;&lt;location&gt;200,9,55.6805540,12.5723182&lt;/location&gt;&lt;institution&gt;Department of Biostatistics, Copenhagen University, Copenhagen, Denmark. albrecht@binf.ku.dk&lt;/institution&gt;&lt;number&gt;11&lt;/number&gt;&lt;subtype&gt;400&lt;/subtype&gt;&lt;endpage&gt;2547&lt;/endpage&gt;&lt;bundle&gt;&lt;publication&gt;&lt;title&gt;Molecular biology and evolution&lt;/title&gt;&lt;type&gt;-100&lt;/type&gt;&lt;subtype&gt;-100&lt;/subtype&gt;&lt;uuid&gt;64ECEA76-7BF3-49FD-B66C-F33BFB8987B6&lt;/uuid&gt;&lt;/publication&gt;&lt;/bundle&gt;&lt;authors&gt;&lt;author&gt;&lt;firstName&gt;Anders&lt;/firstName&gt;&lt;lastName&gt;Albrechtsen&lt;/lastName&gt;&lt;/author&gt;&lt;author&gt;&lt;firstName&gt;Finn&lt;/firstName&gt;&lt;middleNames&gt;Cilius&lt;/middleNames&gt;&lt;lastName&gt;Nielsen&lt;/lastName&gt;&lt;/author&gt;&lt;author&gt;&lt;firstName&gt;Rasmus&lt;/firstName&gt;&lt;lastName&gt;Nielsen&lt;/lastName&gt;&lt;/author&gt;&lt;/authors&gt;&lt;/publication&gt;&lt;publication&gt;&lt;volume&gt;47&lt;/volume&gt;&lt;publication_date&gt;99198307001200000000220000&lt;/publication_date&gt;&lt;number&gt;Pt 3&lt;/number&gt;&lt;startpage&gt;253&lt;/startpage&gt;&lt;title&gt;Estimation of fixation indices and gene diversities.&lt;/title&gt;&lt;uuid&gt;6FAC07D7-A287-402C-A8E6-D0C941B2E03D&lt;/uuid&gt;&lt;subtype&gt;400&lt;/subtype&gt;&lt;endpage&gt;259&lt;/endpage&gt;&lt;type&gt;400&lt;/type&gt;&lt;url&gt;http://eutils.ncbi.nlm.nih.gov/entrez/eutils/elink.fcgi?dbfrom=pubmed&amp;amp;id=6614868&amp;amp;retmode=ref&amp;amp;cmd=prlinks&lt;/url&gt;&lt;bundle&gt;&lt;publication&gt;&lt;title&gt;Annals of Human Genetics&lt;/title&gt;&lt;type&gt;-100&lt;/type&gt;&lt;subtype&gt;-100&lt;/subtype&gt;&lt;uuid&gt;16BFC9C9-094F-4CDA-83B4-0163DB38945B&lt;/uuid&gt;&lt;/publication&gt;&lt;/bundle&gt;&lt;authors&gt;&lt;author&gt;&lt;firstName&gt;M&lt;/firstName&gt;&lt;lastName&gt;Nei&lt;/lastName&gt;&lt;/author&gt;&lt;author&gt;&lt;firstName&gt;R&lt;/firstName&gt;&lt;middleNames&gt;K&lt;/middleNames&gt;&lt;lastName&gt;Chesser&lt;/lastName&gt;&lt;/author&gt;&lt;/authors&gt;&lt;/publication&gt;&lt;/publications&gt;&lt;cites&gt;&lt;/cites&gt;&lt;/citation&gt;</w:instrText>
      </w:r>
      <w:r w:rsidR="00862942" w:rsidRPr="00E41079">
        <w:fldChar w:fldCharType="separate"/>
      </w:r>
      <w:r w:rsidR="00D73545">
        <w:rPr>
          <w:rFonts w:cs="Cambria"/>
        </w:rPr>
        <w:t>(Clark et al. 2005; Nei 1973; Albrechtsen et al. 2010; Nei and Chesser 1983)</w:t>
      </w:r>
      <w:r w:rsidR="00862942" w:rsidRPr="00E41079">
        <w:fldChar w:fldCharType="end"/>
      </w:r>
      <w:r w:rsidRPr="00E41079">
        <w:t xml:space="preserve"> by a factor of 2. We use the estimator given in </w:t>
      </w:r>
      <w:r w:rsidR="00862942" w:rsidRPr="00E41079">
        <w:fldChar w:fldCharType="begin"/>
      </w:r>
      <w:r w:rsidR="00D73545">
        <w:instrText xml:space="preserve"> ADDIN PAPERS2_CITATIONS &lt;citation&gt;&lt;uuid&gt;A6D57723-FEDD-4340-94BF-A298579AE42D&lt;/uuid&gt;&lt;priority&gt;34&lt;/priority&gt;&lt;publications&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s&gt;&lt;cites&gt;&lt;/cites&gt;&lt;/citation&gt;</w:instrText>
      </w:r>
      <w:r w:rsidR="00862942" w:rsidRPr="00E41079">
        <w:fldChar w:fldCharType="separate"/>
      </w:r>
      <w:r w:rsidR="00D73545">
        <w:rPr>
          <w:rFonts w:cs="Cambria"/>
        </w:rPr>
        <w:t>(1000 Genomes Project Consortium 2010; Nei 1986)</w:t>
      </w:r>
      <w:r w:rsidR="00862942" w:rsidRPr="00E41079">
        <w:fldChar w:fldCharType="end"/>
      </w:r>
      <w:r w:rsidRPr="00E41079">
        <w:t xml:space="preserve"> as it is most closely related to the other estimators considered. We note that Nei claimed that his estimator was “identical to Wright’s </w:t>
      </w:r>
      <w:r w:rsidRPr="00E41079">
        <w:rPr>
          <w:i/>
        </w:rPr>
        <w:t>F</w:t>
      </w:r>
      <w:r w:rsidRPr="00E41079">
        <w:rPr>
          <w:vertAlign w:val="subscript"/>
        </w:rPr>
        <w:t>ST</w:t>
      </w:r>
      <w:r w:rsidRPr="00E41079">
        <w:t xml:space="preserve">” </w:t>
      </w:r>
      <w:r w:rsidR="00862942" w:rsidRPr="00E41079">
        <w:fldChar w:fldCharType="begin"/>
      </w:r>
      <w:r w:rsidR="00D73545">
        <w:instrText xml:space="preserve"> ADDIN PAPERS2_CITATIONS &lt;citation&gt;&lt;uuid&gt;FADA10B3-73B9-40CC-B791-640239CB698B&lt;/uuid&gt;&lt;priority&gt;35&lt;/priority&gt;&lt;publications&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s&gt;&lt;cites&gt;&lt;/cites&gt;&lt;/citation&gt;</w:instrText>
      </w:r>
      <w:r w:rsidR="00862942" w:rsidRPr="00E41079">
        <w:fldChar w:fldCharType="separate"/>
      </w:r>
      <w:r w:rsidR="00D73545">
        <w:rPr>
          <w:rFonts w:cs="Cambria"/>
        </w:rPr>
        <w:t>(Weir and Cockerham 1984; Nei 1973)</w:t>
      </w:r>
      <w:r w:rsidR="00862942" w:rsidRPr="00E41079">
        <w:fldChar w:fldCharType="end"/>
      </w:r>
      <w:r>
        <w:t>. We examine this claim in detail below.</w:t>
      </w:r>
    </w:p>
    <w:p w14:paraId="192D0770" w14:textId="77777777" w:rsidR="0081143A" w:rsidRPr="00E41079" w:rsidRDefault="0081143A" w:rsidP="0081143A">
      <w:pPr>
        <w:ind w:firstLine="720"/>
      </w:pPr>
      <w:r w:rsidRPr="00E41079">
        <w:t xml:space="preserve">Although this estimator is invariant to sample sizes, it is not related to underlying </w:t>
      </w:r>
      <w:r w:rsidRPr="00E41079">
        <w:rPr>
          <w:i/>
        </w:rPr>
        <w:t>F</w:t>
      </w:r>
      <w:r w:rsidRPr="00E41079">
        <w:rPr>
          <w:vertAlign w:val="subscript"/>
        </w:rPr>
        <w:t>ST</w:t>
      </w:r>
      <w:r w:rsidRPr="00E41079">
        <w:t xml:space="preserve"> parameters in a standard way. To show this, we again analyze the estimator in the limit of large samples sizes, as sample allele frequencies become close to population allele frequencies (</w:t>
      </w:r>
      <w:r>
        <w:rPr>
          <w:rFonts w:eastAsia="Times New Roman"/>
          <w:b/>
          <w:noProof/>
          <w:position w:val="-12"/>
          <w:shd w:val="clear" w:color="auto" w:fill="FFFFFF"/>
        </w:rPr>
        <w:drawing>
          <wp:inline distT="0" distB="0" distL="0" distR="0" wp14:anchorId="12BA1B12" wp14:editId="08AD40B5">
            <wp:extent cx="495300" cy="215900"/>
            <wp:effectExtent l="0" t="0" r="12700" b="12700"/>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5300" cy="215900"/>
                    </a:xfrm>
                    <a:prstGeom prst="rect">
                      <a:avLst/>
                    </a:prstGeom>
                    <a:noFill/>
                    <a:ln>
                      <a:noFill/>
                    </a:ln>
                  </pic:spPr>
                </pic:pic>
              </a:graphicData>
            </a:graphic>
          </wp:inline>
        </w:drawing>
      </w:r>
      <w:r w:rsidRPr="00E41079">
        <w:t>). That is, the Nei quantity being estimated is:</w:t>
      </w:r>
    </w:p>
    <w:tbl>
      <w:tblPr>
        <w:tblW w:w="4736" w:type="pct"/>
        <w:tblLook w:val="04A0" w:firstRow="1" w:lastRow="0" w:firstColumn="1" w:lastColumn="0" w:noHBand="0" w:noVBand="1"/>
      </w:tblPr>
      <w:tblGrid>
        <w:gridCol w:w="7776"/>
        <w:gridCol w:w="612"/>
      </w:tblGrid>
      <w:tr w:rsidR="0081143A" w:rsidRPr="00E41079" w14:paraId="30A2B151" w14:textId="77777777" w:rsidTr="0081143A">
        <w:tc>
          <w:tcPr>
            <w:tcW w:w="4635" w:type="pct"/>
            <w:shd w:val="clear" w:color="auto" w:fill="auto"/>
            <w:vAlign w:val="center"/>
          </w:tcPr>
          <w:p w14:paraId="6F830B0F" w14:textId="77777777" w:rsidR="0081143A" w:rsidRPr="00E41079" w:rsidRDefault="0081143A" w:rsidP="0081143A">
            <w:pPr>
              <w:jc w:val="center"/>
            </w:pPr>
            <w:r>
              <w:rPr>
                <w:noProof/>
                <w:position w:val="-32"/>
              </w:rPr>
              <w:drawing>
                <wp:inline distT="0" distB="0" distL="0" distR="0" wp14:anchorId="799817F2" wp14:editId="5ADBA7F5">
                  <wp:extent cx="1612900" cy="457200"/>
                  <wp:effectExtent l="0" t="0" r="12700" b="0"/>
                  <wp:docPr id="1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p>
        </w:tc>
        <w:tc>
          <w:tcPr>
            <w:tcW w:w="365" w:type="pct"/>
            <w:shd w:val="clear" w:color="auto" w:fill="auto"/>
            <w:vAlign w:val="center"/>
          </w:tcPr>
          <w:p w14:paraId="114C2135" w14:textId="77777777" w:rsidR="0081143A" w:rsidRPr="00E41079" w:rsidRDefault="0081143A" w:rsidP="0081143A">
            <w:pPr>
              <w:pStyle w:val="ListParagraph"/>
              <w:numPr>
                <w:ilvl w:val="0"/>
                <w:numId w:val="7"/>
              </w:numPr>
              <w:jc w:val="center"/>
            </w:pPr>
          </w:p>
        </w:tc>
      </w:tr>
    </w:tbl>
    <w:p w14:paraId="6C7939B4" w14:textId="77777777" w:rsidR="0081143A" w:rsidRPr="00E41079" w:rsidRDefault="0081143A" w:rsidP="0081143A">
      <w:r w:rsidRPr="00E41079">
        <w:t xml:space="preserve">We examine expectations over the evolutionary process of the numerator and denominator separately, as above. It is clear that the expected value of the numerator is identical to that for the WC </w:t>
      </w:r>
      <w:r w:rsidRPr="00E41079">
        <w:rPr>
          <w:i/>
        </w:rPr>
        <w:t>F</w:t>
      </w:r>
      <w:r w:rsidRPr="00E41079">
        <w:rPr>
          <w:vertAlign w:val="subscript"/>
        </w:rPr>
        <w:t>ST</w:t>
      </w:r>
      <w:r w:rsidRPr="00E41079">
        <w:t xml:space="preserve"> estimator:</w:t>
      </w:r>
    </w:p>
    <w:tbl>
      <w:tblPr>
        <w:tblW w:w="4390" w:type="pct"/>
        <w:tblLook w:val="04A0" w:firstRow="1" w:lastRow="0" w:firstColumn="1" w:lastColumn="0" w:noHBand="0" w:noVBand="1"/>
      </w:tblPr>
      <w:tblGrid>
        <w:gridCol w:w="7776"/>
      </w:tblGrid>
      <w:tr w:rsidR="0081143A" w:rsidRPr="00E41079" w14:paraId="16D6A681" w14:textId="77777777" w:rsidTr="0081143A">
        <w:tc>
          <w:tcPr>
            <w:tcW w:w="5000" w:type="pct"/>
            <w:shd w:val="clear" w:color="auto" w:fill="auto"/>
            <w:vAlign w:val="center"/>
          </w:tcPr>
          <w:p w14:paraId="01A7A0F6" w14:textId="77777777" w:rsidR="0081143A" w:rsidRPr="00E41079" w:rsidRDefault="0081143A" w:rsidP="0081143A">
            <w:pPr>
              <w:jc w:val="center"/>
            </w:pPr>
            <w:r>
              <w:rPr>
                <w:noProof/>
                <w:position w:val="-12"/>
              </w:rPr>
              <w:drawing>
                <wp:inline distT="0" distB="0" distL="0" distR="0" wp14:anchorId="37C74463" wp14:editId="72975065">
                  <wp:extent cx="2641600" cy="241300"/>
                  <wp:effectExtent l="0" t="0" r="0" b="12700"/>
                  <wp:docPr id="1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41600" cy="241300"/>
                          </a:xfrm>
                          <a:prstGeom prst="rect">
                            <a:avLst/>
                          </a:prstGeom>
                          <a:noFill/>
                          <a:ln>
                            <a:noFill/>
                          </a:ln>
                        </pic:spPr>
                      </pic:pic>
                    </a:graphicData>
                  </a:graphic>
                </wp:inline>
              </w:drawing>
            </w:r>
          </w:p>
        </w:tc>
      </w:tr>
    </w:tbl>
    <w:p w14:paraId="43BE71FD" w14:textId="77777777" w:rsidR="0081143A" w:rsidRPr="00E41079" w:rsidRDefault="0081143A" w:rsidP="0081143A">
      <w:r w:rsidRPr="00E41079">
        <w:t>Examining the denominator in a similar way gives:</w:t>
      </w:r>
    </w:p>
    <w:tbl>
      <w:tblPr>
        <w:tblW w:w="4390" w:type="pct"/>
        <w:tblLook w:val="04A0" w:firstRow="1" w:lastRow="0" w:firstColumn="1" w:lastColumn="0" w:noHBand="0" w:noVBand="1"/>
      </w:tblPr>
      <w:tblGrid>
        <w:gridCol w:w="7776"/>
      </w:tblGrid>
      <w:tr w:rsidR="0081143A" w:rsidRPr="00E41079" w14:paraId="1F257007" w14:textId="77777777" w:rsidTr="0081143A">
        <w:tc>
          <w:tcPr>
            <w:tcW w:w="5000" w:type="pct"/>
            <w:shd w:val="clear" w:color="auto" w:fill="auto"/>
            <w:vAlign w:val="center"/>
          </w:tcPr>
          <w:p w14:paraId="7C27D50E" w14:textId="77777777" w:rsidR="0081143A" w:rsidRPr="00E41079" w:rsidRDefault="0081143A" w:rsidP="0081143A">
            <w:pPr>
              <w:jc w:val="center"/>
            </w:pPr>
            <w:r>
              <w:rPr>
                <w:noProof/>
                <w:position w:val="-90"/>
              </w:rPr>
              <w:drawing>
                <wp:inline distT="0" distB="0" distL="0" distR="0" wp14:anchorId="31F42901" wp14:editId="7ED5DE01">
                  <wp:extent cx="2667000" cy="1054100"/>
                  <wp:effectExtent l="0" t="0" r="0" b="1270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67000" cy="1054100"/>
                          </a:xfrm>
                          <a:prstGeom prst="rect">
                            <a:avLst/>
                          </a:prstGeom>
                          <a:noFill/>
                          <a:ln>
                            <a:noFill/>
                          </a:ln>
                        </pic:spPr>
                      </pic:pic>
                    </a:graphicData>
                  </a:graphic>
                </wp:inline>
              </w:drawing>
            </w:r>
          </w:p>
        </w:tc>
      </w:tr>
    </w:tbl>
    <w:p w14:paraId="7A476C6B" w14:textId="77777777" w:rsidR="0081143A" w:rsidRPr="00E41079" w:rsidRDefault="0081143A" w:rsidP="0081143A">
      <w:r w:rsidRPr="00E41079">
        <w:t xml:space="preserve">Then, dividing these two, we have </w:t>
      </w:r>
    </w:p>
    <w:tbl>
      <w:tblPr>
        <w:tblW w:w="4736" w:type="pct"/>
        <w:tblLook w:val="04A0" w:firstRow="1" w:lastRow="0" w:firstColumn="1" w:lastColumn="0" w:noHBand="0" w:noVBand="1"/>
      </w:tblPr>
      <w:tblGrid>
        <w:gridCol w:w="7776"/>
        <w:gridCol w:w="612"/>
      </w:tblGrid>
      <w:tr w:rsidR="0081143A" w:rsidRPr="00E41079" w14:paraId="7AEC09B4" w14:textId="77777777" w:rsidTr="0081143A">
        <w:tc>
          <w:tcPr>
            <w:tcW w:w="4635" w:type="pct"/>
            <w:shd w:val="clear" w:color="auto" w:fill="auto"/>
            <w:vAlign w:val="center"/>
          </w:tcPr>
          <w:p w14:paraId="211747B3" w14:textId="77777777" w:rsidR="0081143A" w:rsidRPr="00E41079" w:rsidRDefault="0081143A" w:rsidP="0081143A">
            <w:pPr>
              <w:jc w:val="center"/>
            </w:pPr>
            <w:r>
              <w:rPr>
                <w:noProof/>
                <w:position w:val="-56"/>
              </w:rPr>
              <w:drawing>
                <wp:inline distT="0" distB="0" distL="0" distR="0" wp14:anchorId="6DB2D9FA" wp14:editId="0161315A">
                  <wp:extent cx="1397000" cy="60960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97000" cy="609600"/>
                          </a:xfrm>
                          <a:prstGeom prst="rect">
                            <a:avLst/>
                          </a:prstGeom>
                          <a:noFill/>
                          <a:ln>
                            <a:noFill/>
                          </a:ln>
                        </pic:spPr>
                      </pic:pic>
                    </a:graphicData>
                  </a:graphic>
                </wp:inline>
              </w:drawing>
            </w:r>
          </w:p>
        </w:tc>
        <w:tc>
          <w:tcPr>
            <w:tcW w:w="365" w:type="pct"/>
            <w:shd w:val="clear" w:color="auto" w:fill="auto"/>
            <w:vAlign w:val="center"/>
          </w:tcPr>
          <w:p w14:paraId="15265733" w14:textId="77777777" w:rsidR="0081143A" w:rsidRPr="00E41079" w:rsidRDefault="0081143A" w:rsidP="0081143A">
            <w:pPr>
              <w:pStyle w:val="ListParagraph"/>
              <w:numPr>
                <w:ilvl w:val="0"/>
                <w:numId w:val="7"/>
              </w:numPr>
              <w:jc w:val="center"/>
            </w:pPr>
          </w:p>
        </w:tc>
      </w:tr>
    </w:tbl>
    <w:p w14:paraId="4C3D37D9" w14:textId="77777777" w:rsidR="0081143A" w:rsidRPr="00E41079" w:rsidRDefault="0081143A" w:rsidP="0081143A">
      <w:proofErr w:type="gramStart"/>
      <w:r w:rsidRPr="00E41079">
        <w:t>with</w:t>
      </w:r>
      <w:proofErr w:type="gramEnd"/>
      <w:r w:rsidRPr="00E41079">
        <w:t xml:space="preserve"> a maximum value of 2 as </w:t>
      </w:r>
      <w:r>
        <w:rPr>
          <w:noProof/>
          <w:position w:val="-12"/>
        </w:rPr>
        <w:drawing>
          <wp:inline distT="0" distB="0" distL="0" distR="0" wp14:anchorId="08AF01F8" wp14:editId="3CEB4A62">
            <wp:extent cx="1003300" cy="241300"/>
            <wp:effectExtent l="0" t="0" r="12700" b="1270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03300" cy="241300"/>
                    </a:xfrm>
                    <a:prstGeom prst="rect">
                      <a:avLst/>
                    </a:prstGeom>
                    <a:noFill/>
                    <a:ln>
                      <a:noFill/>
                    </a:ln>
                  </pic:spPr>
                </pic:pic>
              </a:graphicData>
            </a:graphic>
          </wp:inline>
        </w:drawing>
      </w:r>
      <w:r w:rsidRPr="00E41079">
        <w:t xml:space="preserve">. This overestimates </w:t>
      </w:r>
      <w:r w:rsidRPr="00E41079">
        <w:rPr>
          <w:i/>
        </w:rPr>
        <w:t>F</w:t>
      </w:r>
      <w:r w:rsidRPr="00E41079">
        <w:rPr>
          <w:vertAlign w:val="subscript"/>
        </w:rPr>
        <w:t>ST</w:t>
      </w:r>
      <w:r w:rsidRPr="00E41079">
        <w:t xml:space="preserve"> and alters the relation from </w:t>
      </w:r>
      <w:r w:rsidRPr="00E41079">
        <w:rPr>
          <w:i/>
        </w:rPr>
        <w:t>F</w:t>
      </w:r>
      <w:r w:rsidRPr="00E41079">
        <w:rPr>
          <w:vertAlign w:val="subscript"/>
        </w:rPr>
        <w:t>ST</w:t>
      </w:r>
      <w:r w:rsidRPr="00E41079">
        <w:t xml:space="preserve"> to divergence time (see below). Estimates of </w:t>
      </w:r>
      <w:r w:rsidRPr="00E41079">
        <w:rPr>
          <w:i/>
        </w:rPr>
        <w:t>F</w:t>
      </w:r>
      <w:r w:rsidRPr="00E41079">
        <w:rPr>
          <w:vertAlign w:val="subscript"/>
        </w:rPr>
        <w:t>ST</w:t>
      </w:r>
      <w:r w:rsidRPr="00E41079">
        <w:t xml:space="preserve"> given for the Nei estimator were generated using the proposed estimator for the numerator (see below) and a simple estimator for the denominator.</w:t>
      </w:r>
    </w:p>
    <w:p w14:paraId="63946A9A" w14:textId="77777777" w:rsidR="0081143A" w:rsidRPr="00E41079" w:rsidRDefault="0081143A" w:rsidP="0081143A"/>
    <w:p w14:paraId="4FCA8FEE" w14:textId="77777777" w:rsidR="0081143A" w:rsidRPr="00E41079" w:rsidRDefault="0081143A" w:rsidP="0081143A"/>
    <w:p w14:paraId="29006C36" w14:textId="77777777" w:rsidR="0081143A" w:rsidRPr="0033263A" w:rsidRDefault="0081143A" w:rsidP="0081143A">
      <w:pPr>
        <w:pStyle w:val="Heading1"/>
      </w:pPr>
      <w:bookmarkStart w:id="144" w:name="_Toc210982963"/>
      <w:bookmarkStart w:id="145" w:name="_Toc211282949"/>
      <w:bookmarkStart w:id="146" w:name="_Toc214442408"/>
      <w:bookmarkStart w:id="147" w:name="_Toc214967464"/>
      <w:bookmarkStart w:id="148" w:name="_Toc214970891"/>
      <w:bookmarkStart w:id="149" w:name="_Toc217045507"/>
      <w:bookmarkStart w:id="150" w:name="_Toc219534419"/>
      <w:bookmarkStart w:id="151" w:name="_Toc219534501"/>
      <w:bookmarkStart w:id="152" w:name="_Toc232440796"/>
      <w:bookmarkStart w:id="153" w:name="_Toc232704464"/>
      <w:bookmarkStart w:id="154" w:name="_Toc232777589"/>
      <w:r w:rsidRPr="0033263A">
        <w:t xml:space="preserve">Hudson’s </w:t>
      </w:r>
      <w:r w:rsidRPr="0033263A">
        <w:rPr>
          <w:i/>
        </w:rPr>
        <w:t>F</w:t>
      </w:r>
      <w:r w:rsidRPr="0033263A">
        <w:rPr>
          <w:vertAlign w:val="subscript"/>
        </w:rPr>
        <w:t>ST</w:t>
      </w:r>
      <w:bookmarkEnd w:id="144"/>
      <w:bookmarkEnd w:id="145"/>
      <w:bookmarkEnd w:id="146"/>
      <w:bookmarkEnd w:id="147"/>
      <w:bookmarkEnd w:id="148"/>
      <w:bookmarkEnd w:id="149"/>
      <w:bookmarkEnd w:id="150"/>
      <w:bookmarkEnd w:id="151"/>
      <w:bookmarkEnd w:id="152"/>
      <w:bookmarkEnd w:id="153"/>
      <w:bookmarkEnd w:id="154"/>
    </w:p>
    <w:p w14:paraId="104429CA" w14:textId="77777777" w:rsidR="0081143A" w:rsidRPr="00E41079" w:rsidRDefault="0081143A" w:rsidP="0081143A">
      <w:pPr>
        <w:rPr>
          <w:i/>
        </w:rPr>
      </w:pPr>
      <w:r w:rsidRPr="00E41079">
        <w:rPr>
          <w:i/>
        </w:rPr>
        <w:t>Conceptual Definition</w:t>
      </w:r>
    </w:p>
    <w:p w14:paraId="2203D984" w14:textId="77777777" w:rsidR="0081143A" w:rsidRPr="00E41079" w:rsidRDefault="0081143A" w:rsidP="0081143A">
      <w:r w:rsidRPr="00E41079">
        <w:t xml:space="preserve">Hudson </w:t>
      </w:r>
      <w:r w:rsidR="00862942" w:rsidRPr="00E41079">
        <w:fldChar w:fldCharType="begin"/>
      </w:r>
      <w:r w:rsidR="00D73545">
        <w:instrText xml:space="preserve"> ADDIN PAPERS2_CITATIONS &lt;citation&gt;&lt;uuid&gt;7E0D0AE1-966D-4E79-842F-2517F563E65E&lt;/uuid&gt;&lt;priority&gt;36&lt;/priority&gt;&lt;publications&gt;&lt;publication&gt;&lt;uuid&gt;E3610380-32C1-4AF3-861D-D306DBCF5D59&lt;/uuid&gt;&lt;volume&gt;17&lt;/volume&gt;&lt;doi&gt;10.1016/j.leukres.2008.07.027&lt;/doi&gt;&lt;startpage&gt;4015&lt;/startpage&gt;&lt;publication_date&gt;99200800001200000000200000&lt;/publication_date&gt;&lt;url&gt;http://onlinelibrary.wiley.com/doi/10.1111/j.1365-294X.2008.03887.x/full&lt;/url&gt;&lt;type&gt;400&lt;/type&gt;&lt;title&gt;GST and its relatives do not measure differentiation&lt;/title&gt;&lt;publisher&gt;Wiley Online Library&lt;/publisher&gt;&lt;number&gt;18&lt;/number&gt;&lt;subtype&gt;400&lt;/subtype&gt;&lt;endpage&gt;4026&lt;/endpage&gt;&lt;bundle&gt;&lt;publication&gt;&lt;title&gt;Molecular ecology&lt;/title&gt;&lt;type&gt;-100&lt;/type&gt;&lt;subtype&gt;-100&lt;/subtype&gt;&lt;uuid&gt;C816CF60-3F6A-4EFC-860D-8487AE5DDC95&lt;/uuid&gt;&lt;/publication&gt;&lt;/bundle&gt;&lt;authors&gt;&lt;author&gt;&lt;firstName&gt;Lou&lt;/firstName&gt;&lt;lastName&gt;Jost&lt;/lastName&gt;&lt;/author&gt;&lt;/authors&gt;&lt;/publication&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s&gt;&lt;cites&gt;&lt;/cites&gt;&lt;/citation&gt;</w:instrText>
      </w:r>
      <w:r w:rsidR="00862942" w:rsidRPr="00E41079">
        <w:fldChar w:fldCharType="separate"/>
      </w:r>
      <w:r w:rsidR="00D73545">
        <w:rPr>
          <w:rFonts w:cs="Cambria"/>
        </w:rPr>
        <w:t>(Jost 2008; Hudson et al. 1992)</w:t>
      </w:r>
      <w:r w:rsidR="00862942" w:rsidRPr="00E41079">
        <w:fldChar w:fldCharType="end"/>
      </w:r>
      <w:r w:rsidRPr="00E41079">
        <w:t xml:space="preserve"> defined </w:t>
      </w:r>
      <w:r w:rsidRPr="00E41079">
        <w:rPr>
          <w:i/>
        </w:rPr>
        <w:t>F</w:t>
      </w:r>
      <w:r w:rsidRPr="00E41079">
        <w:rPr>
          <w:vertAlign w:val="subscript"/>
        </w:rPr>
        <w:t>ST</w:t>
      </w:r>
      <w:r w:rsidRPr="00E41079">
        <w:t xml:space="preserve"> in terms of heterozygosity. We note that Nei first conceptualized </w:t>
      </w:r>
      <w:r w:rsidRPr="00E41079">
        <w:rPr>
          <w:i/>
        </w:rPr>
        <w:t>F</w:t>
      </w:r>
      <w:r w:rsidRPr="00E41079">
        <w:rPr>
          <w:vertAlign w:val="subscript"/>
        </w:rPr>
        <w:t>ST</w:t>
      </w:r>
      <w:r w:rsidRPr="00E41079">
        <w:t xml:space="preserve"> in these terms. However, Nei’s method of estimation was slightly different from Hudson’s. Specifically, Hudson’s estimator analyzed the gene diversity—or heterozygosity in a randomly mating population—</w:t>
      </w:r>
      <w:r w:rsidRPr="00E41079">
        <w:rPr>
          <w:i/>
        </w:rPr>
        <w:t>between</w:t>
      </w:r>
      <w:r w:rsidRPr="00E41079">
        <w:t xml:space="preserve"> populations, while Nei analyzed the </w:t>
      </w:r>
      <w:r w:rsidRPr="00E41079">
        <w:rPr>
          <w:i/>
        </w:rPr>
        <w:t>total</w:t>
      </w:r>
      <w:r w:rsidRPr="00E41079">
        <w:t xml:space="preserve"> gene diversity. </w:t>
      </w:r>
    </w:p>
    <w:p w14:paraId="08BC5A19" w14:textId="77777777" w:rsidR="0081143A" w:rsidRPr="00E41079" w:rsidRDefault="0081143A" w:rsidP="0081143A"/>
    <w:p w14:paraId="3CD92CF3" w14:textId="77777777" w:rsidR="0081143A" w:rsidRPr="00E41079" w:rsidRDefault="0081143A" w:rsidP="0081143A">
      <w:pPr>
        <w:rPr>
          <w:i/>
        </w:rPr>
      </w:pPr>
      <w:r w:rsidRPr="00E41079">
        <w:rPr>
          <w:i/>
        </w:rPr>
        <w:t>Estimator</w:t>
      </w:r>
    </w:p>
    <w:p w14:paraId="729E4522" w14:textId="77777777" w:rsidR="0081143A" w:rsidRPr="00E41079" w:rsidRDefault="0081143A" w:rsidP="0081143A">
      <w:r w:rsidRPr="00E41079">
        <w:t xml:space="preserve">Hudson’s estimator for </w:t>
      </w:r>
      <w:r w:rsidRPr="00E41079">
        <w:rPr>
          <w:i/>
        </w:rPr>
        <w:t>F</w:t>
      </w:r>
      <w:r w:rsidRPr="00E41079">
        <w:rPr>
          <w:vertAlign w:val="subscript"/>
        </w:rPr>
        <w:t>ST</w:t>
      </w:r>
      <w:r w:rsidRPr="00E41079">
        <w:t xml:space="preserve"> is given by</w:t>
      </w:r>
    </w:p>
    <w:tbl>
      <w:tblPr>
        <w:tblW w:w="4736" w:type="pct"/>
        <w:tblLook w:val="04A0" w:firstRow="1" w:lastRow="0" w:firstColumn="1" w:lastColumn="0" w:noHBand="0" w:noVBand="1"/>
      </w:tblPr>
      <w:tblGrid>
        <w:gridCol w:w="7776"/>
        <w:gridCol w:w="612"/>
      </w:tblGrid>
      <w:tr w:rsidR="0081143A" w:rsidRPr="00E41079" w14:paraId="5311C9A4" w14:textId="77777777" w:rsidTr="0081143A">
        <w:tc>
          <w:tcPr>
            <w:tcW w:w="4635" w:type="pct"/>
            <w:shd w:val="clear" w:color="auto" w:fill="auto"/>
            <w:vAlign w:val="center"/>
          </w:tcPr>
          <w:p w14:paraId="3CCF27E8" w14:textId="77777777" w:rsidR="0081143A" w:rsidRPr="00E41079" w:rsidRDefault="0081143A" w:rsidP="0081143A">
            <w:pPr>
              <w:jc w:val="center"/>
            </w:pPr>
            <w:r>
              <w:rPr>
                <w:noProof/>
                <w:position w:val="-30"/>
              </w:rPr>
              <w:drawing>
                <wp:inline distT="0" distB="0" distL="0" distR="0" wp14:anchorId="299154ED" wp14:editId="4773D69F">
                  <wp:extent cx="990600" cy="43180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90600" cy="431800"/>
                          </a:xfrm>
                          <a:prstGeom prst="rect">
                            <a:avLst/>
                          </a:prstGeom>
                          <a:noFill/>
                          <a:ln>
                            <a:noFill/>
                          </a:ln>
                        </pic:spPr>
                      </pic:pic>
                    </a:graphicData>
                  </a:graphic>
                </wp:inline>
              </w:drawing>
            </w:r>
          </w:p>
        </w:tc>
        <w:tc>
          <w:tcPr>
            <w:tcW w:w="365" w:type="pct"/>
            <w:shd w:val="clear" w:color="auto" w:fill="auto"/>
            <w:vAlign w:val="center"/>
          </w:tcPr>
          <w:p w14:paraId="723AC12D" w14:textId="77777777" w:rsidR="0081143A" w:rsidRPr="00E41079" w:rsidRDefault="0081143A" w:rsidP="0081143A">
            <w:pPr>
              <w:pStyle w:val="ListParagraph"/>
              <w:numPr>
                <w:ilvl w:val="0"/>
                <w:numId w:val="7"/>
              </w:numPr>
              <w:jc w:val="center"/>
            </w:pPr>
          </w:p>
        </w:tc>
      </w:tr>
    </w:tbl>
    <w:p w14:paraId="6C7180CD"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41FD7963" wp14:editId="3426ACD2">
            <wp:extent cx="241300" cy="215900"/>
            <wp:effectExtent l="0" t="0" r="12700" b="1270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E41079">
        <w:t xml:space="preserve">is the mean number of differences within populations, and </w:t>
      </w:r>
      <w:r>
        <w:rPr>
          <w:noProof/>
          <w:position w:val="-12"/>
        </w:rPr>
        <w:drawing>
          <wp:inline distT="0" distB="0" distL="0" distR="0" wp14:anchorId="4AC0D6AB" wp14:editId="62F84AEA">
            <wp:extent cx="215900" cy="215900"/>
            <wp:effectExtent l="0" t="0" r="12700" b="1270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41079">
        <w:t xml:space="preserve">is the mean number of differences between populations. While Hudson did not give explicit equations for </w:t>
      </w:r>
      <w:r>
        <w:rPr>
          <w:noProof/>
          <w:position w:val="-12"/>
        </w:rPr>
        <w:drawing>
          <wp:inline distT="0" distB="0" distL="0" distR="0" wp14:anchorId="6A5EE951" wp14:editId="5629C15C">
            <wp:extent cx="241300" cy="215900"/>
            <wp:effectExtent l="0" t="0" r="12700" b="1270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E41079">
        <w:t>and</w:t>
      </w:r>
      <w:r>
        <w:rPr>
          <w:noProof/>
          <w:position w:val="-12"/>
        </w:rPr>
        <w:drawing>
          <wp:inline distT="0" distB="0" distL="0" distR="0" wp14:anchorId="1AEBC6B5" wp14:editId="6232D0E3">
            <wp:extent cx="215900" cy="215900"/>
            <wp:effectExtent l="0" t="0" r="12700" b="1270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41079">
        <w:t xml:space="preserve">, we cast his description into an explicit estimator (see </w:t>
      </w:r>
      <w:r w:rsidR="0061776A">
        <w:t>above</w:t>
      </w:r>
      <w:r w:rsidRPr="00E41079">
        <w:t xml:space="preserve"> for a derivation). The estimator that we analyze is:</w:t>
      </w:r>
    </w:p>
    <w:tbl>
      <w:tblPr>
        <w:tblW w:w="4736" w:type="pct"/>
        <w:tblLook w:val="04A0" w:firstRow="1" w:lastRow="0" w:firstColumn="1" w:lastColumn="0" w:noHBand="0" w:noVBand="1"/>
      </w:tblPr>
      <w:tblGrid>
        <w:gridCol w:w="7776"/>
        <w:gridCol w:w="612"/>
      </w:tblGrid>
      <w:tr w:rsidR="0081143A" w:rsidRPr="00E41079" w14:paraId="613AF65C" w14:textId="77777777" w:rsidTr="0081143A">
        <w:tc>
          <w:tcPr>
            <w:tcW w:w="4635" w:type="pct"/>
            <w:shd w:val="clear" w:color="auto" w:fill="auto"/>
            <w:vAlign w:val="center"/>
          </w:tcPr>
          <w:p w14:paraId="59672BB6" w14:textId="77777777" w:rsidR="0081143A" w:rsidRPr="00E41079" w:rsidRDefault="0081143A" w:rsidP="0081143A">
            <w:pPr>
              <w:jc w:val="center"/>
            </w:pPr>
            <w:r>
              <w:rPr>
                <w:noProof/>
                <w:position w:val="-30"/>
              </w:rPr>
              <w:drawing>
                <wp:inline distT="0" distB="0" distL="0" distR="0" wp14:anchorId="52848B13" wp14:editId="41D84659">
                  <wp:extent cx="2616200" cy="635000"/>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16200" cy="635000"/>
                          </a:xfrm>
                          <a:prstGeom prst="rect">
                            <a:avLst/>
                          </a:prstGeom>
                          <a:noFill/>
                          <a:ln>
                            <a:noFill/>
                          </a:ln>
                        </pic:spPr>
                      </pic:pic>
                    </a:graphicData>
                  </a:graphic>
                </wp:inline>
              </w:drawing>
            </w:r>
          </w:p>
        </w:tc>
        <w:tc>
          <w:tcPr>
            <w:tcW w:w="365" w:type="pct"/>
            <w:shd w:val="clear" w:color="auto" w:fill="auto"/>
            <w:vAlign w:val="center"/>
          </w:tcPr>
          <w:p w14:paraId="6604CD0A" w14:textId="77777777" w:rsidR="0081143A" w:rsidRPr="00E41079" w:rsidRDefault="0081143A" w:rsidP="0081143A">
            <w:pPr>
              <w:pStyle w:val="ListParagraph"/>
              <w:numPr>
                <w:ilvl w:val="0"/>
                <w:numId w:val="7"/>
              </w:numPr>
              <w:jc w:val="center"/>
            </w:pPr>
          </w:p>
        </w:tc>
      </w:tr>
    </w:tbl>
    <w:p w14:paraId="2E0A1FAF" w14:textId="77777777" w:rsidR="0081143A" w:rsidRPr="00E41079" w:rsidRDefault="0081143A" w:rsidP="0081143A">
      <w:proofErr w:type="gramStart"/>
      <w:r w:rsidRPr="00E41079">
        <w:t>where</w:t>
      </w:r>
      <w:proofErr w:type="gramEnd"/>
      <w:r w:rsidRPr="00E41079">
        <w:t xml:space="preserve"> </w:t>
      </w:r>
      <w:r>
        <w:rPr>
          <w:noProof/>
          <w:position w:val="-12"/>
        </w:rPr>
        <w:drawing>
          <wp:inline distT="0" distB="0" distL="0" distR="0" wp14:anchorId="210F9422" wp14:editId="6DB2A0FC">
            <wp:extent cx="152400" cy="215900"/>
            <wp:effectExtent l="0" t="0" r="0" b="12700"/>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r w:rsidRPr="00E41079">
        <w:t xml:space="preserve">is the sample size and </w:t>
      </w:r>
      <w:r>
        <w:rPr>
          <w:noProof/>
          <w:position w:val="-12"/>
        </w:rPr>
        <w:drawing>
          <wp:inline distT="0" distB="0" distL="0" distR="0" wp14:anchorId="78D6CC12" wp14:editId="635FB75D">
            <wp:extent cx="165100" cy="215900"/>
            <wp:effectExtent l="0" t="0" r="12700" b="1270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E41079">
        <w:t xml:space="preserve">is the sample allele frequency in population </w:t>
      </w:r>
      <w:proofErr w:type="spellStart"/>
      <w:r w:rsidRPr="00E41079">
        <w:rPr>
          <w:i/>
        </w:rPr>
        <w:t>i</w:t>
      </w:r>
      <w:proofErr w:type="spellEnd"/>
      <w:r w:rsidRPr="00E41079">
        <w:rPr>
          <w:i/>
        </w:rPr>
        <w:t xml:space="preserve"> </w:t>
      </w:r>
      <w:r w:rsidRPr="00E41079">
        <w:t xml:space="preserve">for </w:t>
      </w:r>
      <w:r>
        <w:rPr>
          <w:noProof/>
          <w:position w:val="-10"/>
        </w:rPr>
        <w:drawing>
          <wp:inline distT="0" distB="0" distL="0" distR="0" wp14:anchorId="6A0A491E" wp14:editId="27A3F80A">
            <wp:extent cx="571500" cy="203200"/>
            <wp:effectExtent l="0" t="0" r="12700" b="0"/>
            <wp:docPr id="15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E41079">
        <w:rPr>
          <w:i/>
        </w:rPr>
        <w:t>.</w:t>
      </w:r>
      <w:r w:rsidRPr="00E41079">
        <w:t xml:space="preserve"> As before, we consider this estimator in the limit of large sample sizes</w:t>
      </w:r>
    </w:p>
    <w:tbl>
      <w:tblPr>
        <w:tblW w:w="4736" w:type="pct"/>
        <w:tblLook w:val="04A0" w:firstRow="1" w:lastRow="0" w:firstColumn="1" w:lastColumn="0" w:noHBand="0" w:noVBand="1"/>
      </w:tblPr>
      <w:tblGrid>
        <w:gridCol w:w="7776"/>
        <w:gridCol w:w="612"/>
      </w:tblGrid>
      <w:tr w:rsidR="0081143A" w:rsidRPr="00E41079" w14:paraId="769BCC3B" w14:textId="77777777" w:rsidTr="0081143A">
        <w:tc>
          <w:tcPr>
            <w:tcW w:w="4635" w:type="pct"/>
            <w:shd w:val="clear" w:color="auto" w:fill="auto"/>
            <w:vAlign w:val="center"/>
          </w:tcPr>
          <w:p w14:paraId="556E4481" w14:textId="77777777" w:rsidR="0081143A" w:rsidRPr="00E41079" w:rsidRDefault="0081143A" w:rsidP="0081143A">
            <w:pPr>
              <w:jc w:val="center"/>
            </w:pPr>
            <w:r>
              <w:rPr>
                <w:noProof/>
                <w:position w:val="-30"/>
              </w:rPr>
              <w:drawing>
                <wp:inline distT="0" distB="0" distL="0" distR="0" wp14:anchorId="586F5FF0" wp14:editId="43C05EE4">
                  <wp:extent cx="2184400" cy="444500"/>
                  <wp:effectExtent l="0" t="0" r="0" b="12700"/>
                  <wp:docPr id="1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84400" cy="444500"/>
                          </a:xfrm>
                          <a:prstGeom prst="rect">
                            <a:avLst/>
                          </a:prstGeom>
                          <a:noFill/>
                          <a:ln>
                            <a:noFill/>
                          </a:ln>
                        </pic:spPr>
                      </pic:pic>
                    </a:graphicData>
                  </a:graphic>
                </wp:inline>
              </w:drawing>
            </w:r>
          </w:p>
        </w:tc>
        <w:tc>
          <w:tcPr>
            <w:tcW w:w="365" w:type="pct"/>
            <w:shd w:val="clear" w:color="auto" w:fill="auto"/>
            <w:vAlign w:val="center"/>
          </w:tcPr>
          <w:p w14:paraId="0246F118" w14:textId="77777777" w:rsidR="0081143A" w:rsidRPr="00E41079" w:rsidRDefault="0081143A" w:rsidP="0081143A">
            <w:pPr>
              <w:pStyle w:val="ListParagraph"/>
              <w:numPr>
                <w:ilvl w:val="0"/>
                <w:numId w:val="7"/>
              </w:numPr>
              <w:jc w:val="center"/>
            </w:pPr>
          </w:p>
        </w:tc>
      </w:tr>
    </w:tbl>
    <w:p w14:paraId="51F6DB36" w14:textId="77777777" w:rsidR="0081143A" w:rsidRPr="00E41079" w:rsidRDefault="0081143A" w:rsidP="0081143A">
      <w:r w:rsidRPr="00E41079">
        <w:t xml:space="preserve">Again, the expected value over the evolutionary process of the numerator is identical to that for the WC </w:t>
      </w:r>
      <w:r w:rsidRPr="00E41079">
        <w:rPr>
          <w:i/>
        </w:rPr>
        <w:t>F</w:t>
      </w:r>
      <w:r w:rsidRPr="00E41079">
        <w:rPr>
          <w:vertAlign w:val="subscript"/>
        </w:rPr>
        <w:t>ST</w:t>
      </w:r>
      <w:r w:rsidRPr="00E41079">
        <w:t xml:space="preserve"> estimator:</w:t>
      </w:r>
    </w:p>
    <w:tbl>
      <w:tblPr>
        <w:tblW w:w="4390" w:type="pct"/>
        <w:tblLook w:val="04A0" w:firstRow="1" w:lastRow="0" w:firstColumn="1" w:lastColumn="0" w:noHBand="0" w:noVBand="1"/>
      </w:tblPr>
      <w:tblGrid>
        <w:gridCol w:w="7776"/>
      </w:tblGrid>
      <w:tr w:rsidR="0081143A" w:rsidRPr="00E41079" w14:paraId="0DFDCECC" w14:textId="77777777" w:rsidTr="0081143A">
        <w:tc>
          <w:tcPr>
            <w:tcW w:w="5000" w:type="pct"/>
            <w:shd w:val="clear" w:color="auto" w:fill="auto"/>
            <w:vAlign w:val="center"/>
          </w:tcPr>
          <w:p w14:paraId="0644870E" w14:textId="77777777" w:rsidR="0081143A" w:rsidRPr="00E41079" w:rsidRDefault="0081143A" w:rsidP="0081143A">
            <w:pPr>
              <w:jc w:val="center"/>
            </w:pPr>
            <w:r>
              <w:rPr>
                <w:noProof/>
                <w:position w:val="-12"/>
              </w:rPr>
              <w:drawing>
                <wp:inline distT="0" distB="0" distL="0" distR="0" wp14:anchorId="46052F76" wp14:editId="4FFAAB84">
                  <wp:extent cx="2641600" cy="241300"/>
                  <wp:effectExtent l="0" t="0" r="0" b="12700"/>
                  <wp:docPr id="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41600" cy="241300"/>
                          </a:xfrm>
                          <a:prstGeom prst="rect">
                            <a:avLst/>
                          </a:prstGeom>
                          <a:noFill/>
                          <a:ln>
                            <a:noFill/>
                          </a:ln>
                        </pic:spPr>
                      </pic:pic>
                    </a:graphicData>
                  </a:graphic>
                </wp:inline>
              </w:drawing>
            </w:r>
          </w:p>
        </w:tc>
      </w:tr>
    </w:tbl>
    <w:p w14:paraId="5CF3301D" w14:textId="77777777" w:rsidR="0081143A" w:rsidRPr="00E41079" w:rsidRDefault="0081143A" w:rsidP="0081143A">
      <w:r w:rsidRPr="00E41079">
        <w:t>Examining the denominator in a similar way gives:</w:t>
      </w:r>
    </w:p>
    <w:tbl>
      <w:tblPr>
        <w:tblW w:w="4390" w:type="pct"/>
        <w:tblLook w:val="04A0" w:firstRow="1" w:lastRow="0" w:firstColumn="1" w:lastColumn="0" w:noHBand="0" w:noVBand="1"/>
      </w:tblPr>
      <w:tblGrid>
        <w:gridCol w:w="7776"/>
      </w:tblGrid>
      <w:tr w:rsidR="0081143A" w:rsidRPr="00E41079" w14:paraId="565A49B0" w14:textId="77777777" w:rsidTr="0081143A">
        <w:tc>
          <w:tcPr>
            <w:tcW w:w="5000" w:type="pct"/>
            <w:shd w:val="clear" w:color="auto" w:fill="auto"/>
            <w:vAlign w:val="center"/>
          </w:tcPr>
          <w:p w14:paraId="7889B7BA" w14:textId="77777777" w:rsidR="0081143A" w:rsidRPr="00E41079" w:rsidRDefault="0081143A" w:rsidP="0081143A">
            <w:pPr>
              <w:jc w:val="center"/>
            </w:pPr>
            <w:r>
              <w:rPr>
                <w:noProof/>
                <w:position w:val="-12"/>
              </w:rPr>
              <w:drawing>
                <wp:inline distT="0" distB="0" distL="0" distR="0" wp14:anchorId="5E92C523" wp14:editId="3FA1B5EB">
                  <wp:extent cx="2781300" cy="215900"/>
                  <wp:effectExtent l="0" t="0" r="12700" b="12700"/>
                  <wp:docPr id="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81300" cy="215900"/>
                          </a:xfrm>
                          <a:prstGeom prst="rect">
                            <a:avLst/>
                          </a:prstGeom>
                          <a:noFill/>
                          <a:ln>
                            <a:noFill/>
                          </a:ln>
                        </pic:spPr>
                      </pic:pic>
                    </a:graphicData>
                  </a:graphic>
                </wp:inline>
              </w:drawing>
            </w:r>
          </w:p>
        </w:tc>
      </w:tr>
    </w:tbl>
    <w:p w14:paraId="60C9CD29" w14:textId="77777777" w:rsidR="0081143A" w:rsidRPr="00E41079" w:rsidRDefault="0081143A" w:rsidP="0081143A">
      <w:r w:rsidRPr="00E41079">
        <w:t xml:space="preserve">This is made clear from the fact that allele frequencies in one population are independent of those in the other. Then, dividing these two, we have </w:t>
      </w:r>
    </w:p>
    <w:tbl>
      <w:tblPr>
        <w:tblW w:w="4736" w:type="pct"/>
        <w:tblLook w:val="04A0" w:firstRow="1" w:lastRow="0" w:firstColumn="1" w:lastColumn="0" w:noHBand="0" w:noVBand="1"/>
      </w:tblPr>
      <w:tblGrid>
        <w:gridCol w:w="7776"/>
        <w:gridCol w:w="612"/>
      </w:tblGrid>
      <w:tr w:rsidR="0081143A" w:rsidRPr="00E41079" w14:paraId="626A946B" w14:textId="77777777" w:rsidTr="0081143A">
        <w:tc>
          <w:tcPr>
            <w:tcW w:w="4635" w:type="pct"/>
            <w:shd w:val="clear" w:color="auto" w:fill="auto"/>
            <w:vAlign w:val="center"/>
          </w:tcPr>
          <w:p w14:paraId="38D09123" w14:textId="77777777" w:rsidR="0081143A" w:rsidRPr="00E41079" w:rsidRDefault="0081143A" w:rsidP="0081143A">
            <w:pPr>
              <w:jc w:val="center"/>
            </w:pPr>
            <w:r>
              <w:rPr>
                <w:noProof/>
                <w:position w:val="-24"/>
              </w:rPr>
              <w:drawing>
                <wp:inline distT="0" distB="0" distL="0" distR="0" wp14:anchorId="39CCC8EB" wp14:editId="0044C354">
                  <wp:extent cx="1308100" cy="406400"/>
                  <wp:effectExtent l="0" t="0" r="12700" b="0"/>
                  <wp:docPr id="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08100" cy="406400"/>
                          </a:xfrm>
                          <a:prstGeom prst="rect">
                            <a:avLst/>
                          </a:prstGeom>
                          <a:noFill/>
                          <a:ln>
                            <a:noFill/>
                          </a:ln>
                        </pic:spPr>
                      </pic:pic>
                    </a:graphicData>
                  </a:graphic>
                </wp:inline>
              </w:drawing>
            </w:r>
          </w:p>
        </w:tc>
        <w:tc>
          <w:tcPr>
            <w:tcW w:w="365" w:type="pct"/>
            <w:shd w:val="clear" w:color="auto" w:fill="auto"/>
            <w:vAlign w:val="center"/>
          </w:tcPr>
          <w:p w14:paraId="345CAD21" w14:textId="77777777" w:rsidR="0081143A" w:rsidRPr="00E41079" w:rsidRDefault="0081143A" w:rsidP="0081143A">
            <w:pPr>
              <w:pStyle w:val="ListParagraph"/>
              <w:numPr>
                <w:ilvl w:val="0"/>
                <w:numId w:val="7"/>
              </w:numPr>
              <w:jc w:val="center"/>
            </w:pPr>
          </w:p>
        </w:tc>
      </w:tr>
    </w:tbl>
    <w:p w14:paraId="2DCCA703" w14:textId="77777777" w:rsidR="0081143A" w:rsidRPr="00E41079" w:rsidRDefault="0081143A" w:rsidP="0081143A">
      <w:r w:rsidRPr="00E41079">
        <w:t xml:space="preserve">This estimator has the desirable properties that it is (1) independent of sample composition and (2) does not overestimate </w:t>
      </w:r>
      <w:r w:rsidRPr="00E41079">
        <w:rPr>
          <w:i/>
        </w:rPr>
        <w:t>F</w:t>
      </w:r>
      <w:r w:rsidRPr="00E41079">
        <w:rPr>
          <w:vertAlign w:val="subscript"/>
        </w:rPr>
        <w:t>ST</w:t>
      </w:r>
      <w:r w:rsidRPr="00E41079">
        <w:t xml:space="preserve"> (it has a maximum value of 1). We recommend its use to produce estimates of </w:t>
      </w:r>
      <w:r w:rsidRPr="00E41079">
        <w:rPr>
          <w:i/>
        </w:rPr>
        <w:t>F</w:t>
      </w:r>
      <w:r w:rsidRPr="00E41079">
        <w:rPr>
          <w:vertAlign w:val="subscript"/>
        </w:rPr>
        <w:t>ST</w:t>
      </w:r>
      <w:r w:rsidRPr="00E41079">
        <w:t>.</w:t>
      </w:r>
    </w:p>
    <w:p w14:paraId="1F2FE546" w14:textId="77777777" w:rsidR="0081143A" w:rsidRPr="00E41079" w:rsidRDefault="0081143A" w:rsidP="0081143A"/>
    <w:p w14:paraId="0B7B7757" w14:textId="77777777" w:rsidR="0081143A" w:rsidRDefault="0081143A"/>
    <w:p w14:paraId="1A9DEDF8" w14:textId="77777777" w:rsidR="00DD3BA8" w:rsidRDefault="00DD3BA8" w:rsidP="006D33E8">
      <w:pPr>
        <w:pStyle w:val="Heading1"/>
      </w:pPr>
      <w:bookmarkStart w:id="155" w:name="_Toc217045504"/>
      <w:bookmarkStart w:id="156" w:name="_Toc219534416"/>
      <w:bookmarkStart w:id="157" w:name="_Toc219534498"/>
      <w:bookmarkStart w:id="158" w:name="_Toc232440797"/>
      <w:bookmarkStart w:id="159" w:name="_Toc232704465"/>
      <w:bookmarkStart w:id="160" w:name="_Toc232777590"/>
      <w:r>
        <w:t>Details of Coalescent Simulations</w:t>
      </w:r>
      <w:bookmarkEnd w:id="155"/>
      <w:bookmarkEnd w:id="156"/>
      <w:bookmarkEnd w:id="157"/>
      <w:bookmarkEnd w:id="158"/>
      <w:bookmarkEnd w:id="159"/>
      <w:bookmarkEnd w:id="160"/>
    </w:p>
    <w:p w14:paraId="37BF00C3" w14:textId="77777777" w:rsidR="00DD3BA8" w:rsidRDefault="00DD3BA8">
      <w:r>
        <w:t xml:space="preserve">We simulated several populations to test the effects of changes in methods on estimates of </w:t>
      </w:r>
      <w:r w:rsidRPr="001C257D">
        <w:rPr>
          <w:i/>
        </w:rPr>
        <w:t>F</w:t>
      </w:r>
      <w:r w:rsidRPr="001C257D">
        <w:rPr>
          <w:vertAlign w:val="subscript"/>
        </w:rPr>
        <w:t>ST</w:t>
      </w:r>
      <w:r>
        <w:t xml:space="preserve">. We used the GENOME </w:t>
      </w:r>
      <w:r w:rsidR="00862942">
        <w:fldChar w:fldCharType="begin"/>
      </w:r>
      <w:r w:rsidR="00D73545">
        <w:instrText xml:space="preserve"> ADDIN PAPERS2_CITATIONS &lt;citation&gt;&lt;uuid&gt;5C530EA5-85E0-45ED-ABC6-F21CD2B776FD&lt;/uuid&gt;&lt;priority&gt;37&lt;/priority&gt;&lt;publications&gt;&lt;publication&gt;&lt;uuid&gt;534791E8-5573-4056-B82D-A003CB9E108A&lt;/uuid&gt;&lt;volume&gt;18&lt;/volume&gt;&lt;doi&gt;10.1111/j.1365-294X.2009.04187.x&lt;/doi&gt;&lt;startpage&gt;2084&lt;/startpage&gt;&lt;publication_date&gt;99200905001200000000220000&lt;/publication_date&gt;&lt;url&gt;http://eutils.ncbi.nlm.nih.gov/entrez/eutils/elink.fcgi?dbfrom=pubmed&amp;amp;id=19389168&amp;amp;retmode=ref&amp;amp;cmd=prlinks&lt;/url&gt;&lt;type&gt;400&lt;/type&gt;&lt;title&gt;G(ST) is still a useful measure of genetic differentiation - a comment on Jost's D.&lt;/title&gt;&lt;location&gt;200,9,59.3627526,18.0590272&lt;/location&gt;&lt;institution&gt;Division of Population Genetics, Department of Zoology, Stockholm University, Stockholm, Sweden. nils.ryman@popgen.su.se&lt;/institution&gt;&lt;number&gt;10&lt;/number&gt;&lt;subtype&gt;400&lt;/subtype&gt;&lt;endpage&gt;7- discussion 2088-91&lt;/endpage&gt;&lt;bundle&gt;&lt;publication&gt;&lt;title&gt;Molecular ecology&lt;/title&gt;&lt;type&gt;-100&lt;/type&gt;&lt;subtype&gt;-100&lt;/subtype&gt;&lt;uuid&gt;C816CF60-3F6A-4EFC-860D-8487AE5DDC95&lt;/uuid&gt;&lt;/publication&gt;&lt;/bundle&gt;&lt;authors&gt;&lt;author&gt;&lt;firstName&gt;Nils&lt;/firstName&gt;&lt;lastName&gt;Ryman&lt;/lastName&gt;&lt;/author&gt;&lt;author&gt;&lt;firstName&gt;Olof&lt;/firstName&gt;&lt;lastName&gt;Leimar&lt;/lastName&gt;&lt;/author&gt;&lt;/authors&gt;&lt;/publication&gt;&lt;publication&gt;&lt;uuid&gt;DFF58000-BC7B-4E0D-B09C-EDEE5A2E3EBE&lt;/uuid&gt;&lt;volume&gt;23&lt;/volume&gt;&lt;doi&gt;10.1093/bioinformatics/btm138&lt;/doi&gt;&lt;startpage&gt;1565&lt;/startpage&gt;&lt;publication_date&gt;99200706151200000000222000&lt;/publication_date&gt;&lt;url&gt;http://eutils.ncbi.nlm.nih.gov/entrez/eutils/elink.fcgi?dbfrom=pubmed&amp;amp;id=17459963&amp;amp;retmode=ref&amp;amp;cmd=prlinks&lt;/url&gt;&lt;citekey&gt;RefWorks:94&lt;/citekey&gt;&lt;type&gt;400&lt;/type&gt;&lt;title&gt;GENOME: a rapid coalescent-based whole genome simulator.&lt;/title&gt;&lt;location&gt;200,9,42.2761841,-83.7410733&lt;/location&gt;&lt;institution&gt;Center for Statistical Genetics, Department of Biostatistics, University of Michigan, Ann Arbor, MI 48109, USA. lianglim@umich.edu&lt;/institution&gt;&lt;number&gt;12&lt;/number&gt;&lt;subtype&gt;400&lt;/subtype&gt;&lt;endpage&gt;1567&lt;/endpage&gt;&lt;bundle&gt;&lt;publication&gt;&lt;title&gt;Bioinformatics&lt;/title&gt;&lt;type&gt;-100&lt;/type&gt;&lt;subtype&gt;-100&lt;/subtype&gt;&lt;uuid&gt;8041A9EA-59ED-4767-A952-92ADB9110437&lt;/uuid&gt;&lt;/publication&gt;&lt;/bundle&gt;&lt;authors&gt;&lt;author&gt;&lt;firstName&gt;Liming&lt;/firstName&gt;&lt;lastName&gt;Liang&lt;/lastName&gt;&lt;/author&gt;&lt;author&gt;&lt;firstName&gt;Sebastian&lt;/firstName&gt;&lt;lastName&gt;Zöllner&lt;/lastName&gt;&lt;/author&gt;&lt;author&gt;&lt;firstName&gt;Goncalo&lt;/firstName&gt;&lt;middleNames&gt;R&lt;/middleNames&gt;&lt;lastName&gt;Abecasis&lt;/lastName&gt;&lt;/author&gt;&lt;/authors&gt;&lt;/publication&gt;&lt;/publications&gt;&lt;cites&gt;&lt;/cites&gt;&lt;/citation&gt;</w:instrText>
      </w:r>
      <w:r w:rsidR="00862942">
        <w:fldChar w:fldCharType="separate"/>
      </w:r>
      <w:r w:rsidR="00D73545">
        <w:rPr>
          <w:rFonts w:cs="Cambria"/>
        </w:rPr>
        <w:t>(Ryman and Leimar 2009; Liang et al. 2007)</w:t>
      </w:r>
      <w:r w:rsidR="00862942">
        <w:fldChar w:fldCharType="end"/>
      </w:r>
      <w:r>
        <w:t xml:space="preserve"> software package to perform the simulations. Three populations were simulated that all diverged from each other 1000 generations ago. The first population was subject to an expansion from an effective population size of 10</w:t>
      </w:r>
      <w:r>
        <w:rPr>
          <w:vertAlign w:val="superscript"/>
        </w:rPr>
        <w:t>4</w:t>
      </w:r>
      <w:r>
        <w:t xml:space="preserve"> to an effective population size of 10</w:t>
      </w:r>
      <w:r>
        <w:rPr>
          <w:vertAlign w:val="superscript"/>
        </w:rPr>
        <w:t>5</w:t>
      </w:r>
      <w:r>
        <w:t>, occurring 300 generations ago. The second population was subject to a reduction from an effective population size of 10</w:t>
      </w:r>
      <w:r>
        <w:rPr>
          <w:vertAlign w:val="superscript"/>
        </w:rPr>
        <w:t>4</w:t>
      </w:r>
      <w:r>
        <w:t xml:space="preserve"> to an effective population size of 1000, also occurring 300 generations ago. The third population was not subject to any demographic events and followed a Wright-Fisher model of neutral drift with a constant effective population size of 10</w:t>
      </w:r>
      <w:r>
        <w:rPr>
          <w:vertAlign w:val="superscript"/>
        </w:rPr>
        <w:t>4</w:t>
      </w:r>
      <w:r>
        <w:t xml:space="preserve"> and this population was used as an out-group to perform ascertainment of SNPs. The rate of mutation was set to 10</w:t>
      </w:r>
      <w:r>
        <w:rPr>
          <w:vertAlign w:val="superscript"/>
        </w:rPr>
        <w:t>-8</w:t>
      </w:r>
      <w:r>
        <w:t xml:space="preserve"> for all simulations. We also performed simulations without expansions or bottlenecks to showcase some effects of estimation (see </w:t>
      </w:r>
      <w:r w:rsidR="00324EBE">
        <w:t>below</w:t>
      </w:r>
      <w:r>
        <w:t xml:space="preserve">). These effective population sizes are similar to those described in </w:t>
      </w:r>
      <w:r w:rsidR="00862942">
        <w:fldChar w:fldCharType="begin"/>
      </w:r>
      <w:r w:rsidR="00D73545">
        <w:instrText xml:space="preserve"> ADDIN PAPERS2_CITATIONS &lt;citation&gt;&lt;uuid&gt;0076D805-998D-4305-8122-91FA3A9EEF0F&lt;/uuid&gt;&lt;priority&gt;38&lt;/priority&gt;&lt;publications&gt;&lt;publication&gt;&lt;uuid&gt;E3610380-32C1-4AF3-861D-D306DBCF5D59&lt;/uuid&gt;&lt;volume&gt;17&lt;/volume&gt;&lt;doi&gt;10.1016/j.leukres.2008.07.027&lt;/doi&gt;&lt;startpage&gt;4015&lt;/startpage&gt;&lt;publication_date&gt;99200800001200000000200000&lt;/publication_date&gt;&lt;url&gt;http://onlinelibrary.wiley.com/doi/10.1111/j.1365-294X.2008.03887.x/full&lt;/url&gt;&lt;type&gt;400&lt;/type&gt;&lt;title&gt;GST and its relatives do not measure differentiation&lt;/title&gt;&lt;publisher&gt;Wiley Online Library&lt;/publisher&gt;&lt;number&gt;18&lt;/number&gt;&lt;subtype&gt;400&lt;/subtype&gt;&lt;endpage&gt;4026&lt;/endpage&gt;&lt;bundle&gt;&lt;publication&gt;&lt;title&gt;Molecular ecology&lt;/title&gt;&lt;type&gt;-100&lt;/type&gt;&lt;subtype&gt;-100&lt;/subtype&gt;&lt;uuid&gt;C816CF60-3F6A-4EFC-860D-8487AE5DDC95&lt;/uuid&gt;&lt;/publication&gt;&lt;/bundle&gt;&lt;authors&gt;&lt;author&gt;&lt;firstName&gt;Lou&lt;/firstName&gt;&lt;lastName&gt;Jost&lt;/lastName&gt;&lt;/author&gt;&lt;/authors&gt;&lt;/publication&gt;&lt;publication&gt;&lt;uuid&gt;64494C4A-4B6E-4F55-AC44-2AABBA346B04&lt;/uuid&gt;&lt;volume&gt;15&lt;/volume&gt;&lt;doi&gt;10.1101/gr.3709305&lt;/doi&gt;&lt;startpage&gt;1576&lt;/startpage&gt;&lt;publication_date&gt;99200511001200000000220000&lt;/publication_date&gt;&lt;url&gt;http://eutils.ncbi.nlm.nih.gov/entrez/eutils/elink.fcgi?dbfrom=pubmed&amp;amp;id=16251467&amp;amp;retmode=ref&amp;amp;cmd=prlinks&lt;/url&gt;&lt;citekey&gt;RefWorks:92&lt;/citekey&gt;&lt;type&gt;400&lt;/type&gt;&lt;title&gt;Calibrating a coalescent simulation of human genome sequence variation.&lt;/title&gt;&lt;location&gt;200,5,42.3647559,-71.1032591&lt;/location&gt;&lt;institution&gt;Program in Medical and Population Genetics, The Broad Institute, Cambridge, Massachusetts 02139, USA. sfs@broad.mit.edu&lt;/institution&gt;&lt;number&gt;11&lt;/number&gt;&lt;subtype&gt;400&lt;/subtype&gt;&lt;endpage&gt;1583&lt;/endpage&gt;&lt;bundle&gt;&lt;publication&gt;&lt;title&gt;Genome Res.&lt;/title&gt;&lt;type&gt;-100&lt;/type&gt;&lt;subtype&gt;-100&lt;/subtype&gt;&lt;uuid&gt;5DECB689-996D-46CA-937E-79CF4E9B7144&lt;/uuid&gt;&lt;/publication&gt;&lt;/bundle&gt;&lt;authors&gt;&lt;author&gt;&lt;firstName&gt;Stephen&lt;/firstName&gt;&lt;middleNames&gt;F&lt;/middleNames&gt;&lt;lastName&gt;Schaffner&lt;/lastName&gt;&lt;/author&gt;&lt;author&gt;&lt;firstName&gt;Catherine&lt;/firstName&gt;&lt;lastName&gt;Foo&lt;/lastName&gt;&lt;/author&gt;&lt;author&gt;&lt;firstName&gt;Stacey&lt;/firstName&gt;&lt;lastName&gt;Gabriel&lt;/lastName&gt;&lt;/author&gt;&lt;author&gt;&lt;firstName&gt;David&lt;/firstName&gt;&lt;lastName&gt;Reich&lt;/lastName&gt;&lt;/author&gt;&lt;author&gt;&lt;firstName&gt;Mark&lt;/firstName&gt;&lt;middleNames&gt;J&lt;/middleNames&gt;&lt;lastName&gt;Daly&lt;/lastName&gt;&lt;/author&gt;&lt;author&gt;&lt;firstName&gt;David&lt;/firstName&gt;&lt;lastName&gt;Altshuler&lt;/lastName&gt;&lt;/author&gt;&lt;/authors&gt;&lt;/publication&gt;&lt;/publications&gt;&lt;cites&gt;&lt;/cites&gt;&lt;/citation&gt;</w:instrText>
      </w:r>
      <w:r w:rsidR="00862942">
        <w:fldChar w:fldCharType="separate"/>
      </w:r>
      <w:r w:rsidR="00D73545">
        <w:rPr>
          <w:rFonts w:cs="Cambria"/>
        </w:rPr>
        <w:t>(Jost 2008; Schaffner et al. 2005)</w:t>
      </w:r>
      <w:r w:rsidR="00862942">
        <w:fldChar w:fldCharType="end"/>
      </w:r>
      <w:r>
        <w:t xml:space="preserve">. We also analyzed the effect of migration on the relationship between </w:t>
      </w:r>
      <w:r w:rsidRPr="001C257D">
        <w:rPr>
          <w:i/>
        </w:rPr>
        <w:t>F</w:t>
      </w:r>
      <w:r w:rsidRPr="001C257D">
        <w:rPr>
          <w:vertAlign w:val="subscript"/>
        </w:rPr>
        <w:t>ST</w:t>
      </w:r>
      <w:r>
        <w:t xml:space="preserve"> and divergence time (see </w:t>
      </w:r>
      <w:r w:rsidR="00D86E16">
        <w:t>below</w:t>
      </w:r>
      <w:r>
        <w:t xml:space="preserve">). Separately, we explored the effects of </w:t>
      </w:r>
      <w:r w:rsidRPr="001C257D">
        <w:rPr>
          <w:i/>
        </w:rPr>
        <w:t>F</w:t>
      </w:r>
      <w:r w:rsidRPr="001C257D">
        <w:rPr>
          <w:vertAlign w:val="subscript"/>
        </w:rPr>
        <w:t>ST</w:t>
      </w:r>
      <w:r>
        <w:t xml:space="preserve"> estimator and use of models of neutral drift on studies of selection (See </w:t>
      </w:r>
      <w:r w:rsidR="0061776A">
        <w:t>above</w:t>
      </w:r>
      <w:r>
        <w:t>).</w:t>
      </w:r>
    </w:p>
    <w:p w14:paraId="358CFF20" w14:textId="77777777" w:rsidR="00481B6B" w:rsidRDefault="00481B6B"/>
    <w:p w14:paraId="7D2430A2" w14:textId="77777777" w:rsidR="005127EC" w:rsidRPr="00001772" w:rsidRDefault="005127EC" w:rsidP="00001772">
      <w:pPr>
        <w:pStyle w:val="Heading1"/>
      </w:pPr>
      <w:bookmarkStart w:id="161" w:name="_Toc206055485"/>
      <w:bookmarkStart w:id="162" w:name="_Toc206055576"/>
      <w:bookmarkStart w:id="163" w:name="_Toc206060115"/>
      <w:bookmarkStart w:id="164" w:name="_Toc206060911"/>
      <w:bookmarkStart w:id="165" w:name="_Toc206151601"/>
      <w:bookmarkStart w:id="166" w:name="_Toc210982965"/>
      <w:bookmarkStart w:id="167" w:name="_Toc211282951"/>
      <w:bookmarkStart w:id="168" w:name="_Toc214442410"/>
      <w:bookmarkStart w:id="169" w:name="_Toc214967466"/>
      <w:bookmarkStart w:id="170" w:name="_Toc214970893"/>
      <w:bookmarkStart w:id="171" w:name="_Toc217045509"/>
      <w:bookmarkStart w:id="172" w:name="_Toc219534421"/>
      <w:bookmarkStart w:id="173" w:name="_Toc219534503"/>
      <w:bookmarkStart w:id="174" w:name="_Toc232440798"/>
      <w:bookmarkStart w:id="175" w:name="_Toc232704466"/>
      <w:bookmarkStart w:id="176" w:name="_Toc232777591"/>
      <w:r w:rsidRPr="00001772">
        <w:t>Simple Demographic Simulations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06AB806" w14:textId="77777777" w:rsidR="005127EC" w:rsidRDefault="005127EC"/>
    <w:p w14:paraId="4922C414" w14:textId="77777777" w:rsidR="00BD4A25" w:rsidRDefault="005127EC">
      <w:r>
        <w:t>We used the coalescent-with-recombination simulator GENOME</w:t>
      </w:r>
      <w:r w:rsidR="003579EE">
        <w:t xml:space="preserve"> </w:t>
      </w:r>
      <w:r w:rsidR="00862942">
        <w:fldChar w:fldCharType="begin"/>
      </w:r>
      <w:r w:rsidR="00D73545">
        <w:instrText xml:space="preserve"> ADDIN PAPERS2_CITATIONS &lt;citation&gt;&lt;uuid&gt;915F6DFD-EC8B-4146-BC3F-CBFE900F0AA7&lt;/uuid&gt;&lt;priority&gt;39&lt;/priority&gt;&lt;publications&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DFF58000-BC7B-4E0D-B09C-EDEE5A2E3EBE&lt;/uuid&gt;&lt;volume&gt;23&lt;/volume&gt;&lt;doi&gt;10.1093/bioinformatics/btm138&lt;/doi&gt;&lt;startpage&gt;1565&lt;/startpage&gt;&lt;publication_date&gt;99200706151200000000222000&lt;/publication_date&gt;&lt;url&gt;http://eutils.ncbi.nlm.nih.gov/entrez/eutils/elink.fcgi?dbfrom=pubmed&amp;amp;id=17459963&amp;amp;retmode=ref&amp;amp;cmd=prlinks&lt;/url&gt;&lt;citekey&gt;RefWorks:94&lt;/citekey&gt;&lt;type&gt;400&lt;/type&gt;&lt;title&gt;GENOME: a rapid coalescent-based whole genome simulator.&lt;/title&gt;&lt;location&gt;200,9,42.2761841,-83.7410733&lt;/location&gt;&lt;institution&gt;Center for Statistical Genetics, Department of Biostatistics, University of Michigan, Ann Arbor, MI 48109, USA. lianglim@umich.edu&lt;/institution&gt;&lt;number&gt;12&lt;/number&gt;&lt;subtype&gt;400&lt;/subtype&gt;&lt;endpage&gt;1567&lt;/endpage&gt;&lt;bundle&gt;&lt;publication&gt;&lt;title&gt;Bioinformatics&lt;/title&gt;&lt;type&gt;-100&lt;/type&gt;&lt;subtype&gt;-100&lt;/subtype&gt;&lt;uuid&gt;8041A9EA-59ED-4767-A952-92ADB9110437&lt;/uuid&gt;&lt;/publication&gt;&lt;/bundle&gt;&lt;authors&gt;&lt;author&gt;&lt;firstName&gt;Liming&lt;/firstName&gt;&lt;lastName&gt;Liang&lt;/lastName&gt;&lt;/author&gt;&lt;author&gt;&lt;firstName&gt;Sebastian&lt;/firstName&gt;&lt;lastName&gt;Zöllner&lt;/lastName&gt;&lt;/author&gt;&lt;author&gt;&lt;firstName&gt;Goncalo&lt;/firstName&gt;&lt;middleNames&gt;R&lt;/middleNames&gt;&lt;lastName&gt;Abecasis&lt;/lastName&gt;&lt;/author&gt;&lt;/authors&gt;&lt;/publication&gt;&lt;publication&gt;&lt;uuid&gt;9A2A7598-4001-42A2-AC87-A3D5CF44556C&lt;/uuid&gt;&lt;volume&gt;39&lt;/volume&gt;&lt;accepted_date&gt;99200707171200000000222000&lt;/accepted_date&gt;&lt;doi&gt;10.1038/ng2116&lt;/doi&gt;&lt;startpage&gt;1251&lt;/startpage&gt;&lt;publication_date&gt;99200710001200000000220000&lt;/publication_date&gt;&lt;url&gt;http://eutils.ncbi.nlm.nih.gov/entrez/eutils/elink.fcgi?dbfrom=pubmed&amp;amp;id=17828266&amp;amp;retmode=ref&amp;amp;cmd=prlinks&lt;/url&gt;&lt;type&gt;400&lt;/type&gt;&lt;title&gt;Measurement of the human allele frequency spectrum demonstrates greater genetic drift in East Asians than in Europeans.&lt;/title&gt;&lt;location&gt;200,9,42.3355089,-71.1043686&lt;/location&gt;&lt;submission_date&gt;99200704241200000000222000&lt;/submission_date&gt;&lt;number&gt;10&lt;/number&gt;&lt;institution&gt;Department of Genetics, Harvard Medical School, Boston, Massachusetts 02115, USA. akeinan@genetics.med.harvard.edu&lt;/institution&gt;&lt;subtype&gt;400&lt;/subtype&gt;&lt;endpage&gt;1255&lt;/endpage&gt;&lt;bundle&gt;&lt;publication&gt;&lt;publisher&gt;Nature Publishing Group&lt;/publisher&gt;&lt;url&gt;http://www.nature.com&lt;/url&gt;&lt;title&gt;Nature genetics&lt;/title&gt;&lt;type&gt;-100&lt;/type&gt;&lt;subtype&gt;-100&lt;/subtype&gt;&lt;uuid&gt;02980058-4F1F-4866-97F2-89644F2F93F8&lt;/uuid&gt;&lt;/publication&gt;&lt;/bundle&gt;&lt;authors&gt;&lt;author&gt;&lt;firstName&gt;Alon&lt;/firstName&gt;&lt;lastName&gt;Keinan&lt;/lastName&gt;&lt;/author&gt;&lt;author&gt;&lt;firstName&gt;James&lt;/firstName&gt;&lt;middleNames&gt;C&lt;/middleNames&gt;&lt;lastName&gt;Mullikin&lt;/lastName&gt;&lt;/author&gt;&lt;author&gt;&lt;firstName&gt;Nick&lt;/firstName&gt;&lt;lastName&gt;Patterson&lt;/lastName&gt;&lt;/author&gt;&lt;author&gt;&lt;firstName&gt;David&lt;/firstName&gt;&lt;lastName&gt;Reich&lt;/lastName&gt;&lt;/author&gt;&lt;/authors&gt;&lt;/publication&gt;&lt;/publications&gt;&lt;cites&gt;&lt;/cites&gt;&lt;/citation&gt;</w:instrText>
      </w:r>
      <w:r w:rsidR="00862942">
        <w:fldChar w:fldCharType="separate"/>
      </w:r>
      <w:r w:rsidR="00D73545">
        <w:rPr>
          <w:rFonts w:cs="Cambria"/>
        </w:rPr>
        <w:t>(Hudson et al. 1992; Liang et al. 2007; Keinan et al. 2007)</w:t>
      </w:r>
      <w:r w:rsidR="00862942">
        <w:fldChar w:fldCharType="end"/>
      </w:r>
      <w:r w:rsidR="003579EE">
        <w:t xml:space="preserve"> </w:t>
      </w:r>
      <w:r>
        <w:t xml:space="preserve">to simulate populations that had </w:t>
      </w:r>
      <w:r w:rsidR="00D37A1C">
        <w:t xml:space="preserve">very </w:t>
      </w:r>
      <w:r>
        <w:t xml:space="preserve">simple demographic history. We simulated three populations, all of which diverged from one another 2000 generations ago with a constant effective population size of 10000 since divergence. Additionally, these populations were subject to only neutral drift according to a Wright-Fisher model. These populations were used to test properties of </w:t>
      </w:r>
      <w:r w:rsidRPr="004B5839">
        <w:rPr>
          <w:i/>
        </w:rPr>
        <w:t>F</w:t>
      </w:r>
      <w:r w:rsidRPr="004B5839">
        <w:rPr>
          <w:vertAlign w:val="subscript"/>
        </w:rPr>
        <w:t>ST</w:t>
      </w:r>
      <w:r>
        <w:t xml:space="preserve"> under scenarios that did not involve complex demographic events. </w:t>
      </w:r>
      <w:r w:rsidRPr="004B5839">
        <w:rPr>
          <w:i/>
        </w:rPr>
        <w:t>F</w:t>
      </w:r>
      <w:r w:rsidRPr="004B5839">
        <w:rPr>
          <w:vertAlign w:val="subscript"/>
        </w:rPr>
        <w:t>ST</w:t>
      </w:r>
      <w:r>
        <w:t xml:space="preserve"> was estimated between population 1 and population 2. Population 3 was used as an out-group to perform ascertainment. Using ascertainment in an out-group, </w:t>
      </w:r>
      <w:r w:rsidR="006D3114">
        <w:t xml:space="preserve">this demography allows us to calculate an expected </w:t>
      </w:r>
      <w:r w:rsidRPr="004B5839">
        <w:rPr>
          <w:i/>
        </w:rPr>
        <w:t>F</w:t>
      </w:r>
      <w:r w:rsidRPr="004B5839">
        <w:rPr>
          <w:vertAlign w:val="subscript"/>
        </w:rPr>
        <w:t>ST</w:t>
      </w:r>
      <w:r>
        <w:t xml:space="preserve"> of 0.181.</w:t>
      </w:r>
      <w:r w:rsidR="006D3114">
        <w:t xml:space="preserve"> We obtain estimates of 0.183 (s.e. 0.004), 0.201 (s.e. 0.004), and 0.183 (s.e. 0.004) when applying the WC, Nei, or Hudson estimator, respectively. As expected, the identical demographic history for these populations leads to equivalent WC and Hudson estimates, while Nei estimates are inflated. </w:t>
      </w:r>
    </w:p>
    <w:p w14:paraId="55C8FD85" w14:textId="77777777" w:rsidR="00481B6B" w:rsidRDefault="00481B6B"/>
    <w:p w14:paraId="1AB2B162" w14:textId="77777777" w:rsidR="00487DB4" w:rsidRDefault="00487DB4" w:rsidP="00001772">
      <w:pPr>
        <w:pStyle w:val="Heading1"/>
      </w:pPr>
      <w:bookmarkStart w:id="177" w:name="_Toc206055486"/>
      <w:bookmarkStart w:id="178" w:name="_Toc206055577"/>
      <w:bookmarkStart w:id="179" w:name="_Toc206060116"/>
      <w:bookmarkStart w:id="180" w:name="_Toc206060912"/>
      <w:bookmarkStart w:id="181" w:name="_Toc206151602"/>
      <w:bookmarkStart w:id="182" w:name="_Toc210982967"/>
      <w:bookmarkStart w:id="183" w:name="_Toc211282953"/>
      <w:bookmarkStart w:id="184" w:name="_Toc214442412"/>
      <w:bookmarkStart w:id="185" w:name="_Toc214967468"/>
      <w:bookmarkStart w:id="186" w:name="_Toc214970895"/>
      <w:bookmarkStart w:id="187" w:name="_Toc217045511"/>
      <w:bookmarkStart w:id="188" w:name="_Toc219534423"/>
      <w:bookmarkStart w:id="189" w:name="_Toc219534505"/>
      <w:bookmarkStart w:id="190" w:name="_Toc232440799"/>
      <w:bookmarkStart w:id="191" w:name="_Toc232704467"/>
      <w:bookmarkStart w:id="192" w:name="_Toc232777592"/>
      <w:r>
        <w:t>Simulations Including Migration</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44BBCD0" w14:textId="77777777" w:rsidR="00487DB4" w:rsidRDefault="00487DB4">
      <w:pPr>
        <w:rPr>
          <w:b/>
        </w:rPr>
      </w:pPr>
    </w:p>
    <w:p w14:paraId="78976AF3" w14:textId="77777777" w:rsidR="00E619B4" w:rsidRDefault="00487DB4">
      <w:r>
        <w:t xml:space="preserve">In order to assess the effect of migration on estimates of </w:t>
      </w:r>
      <w:r w:rsidRPr="001C257D">
        <w:rPr>
          <w:i/>
        </w:rPr>
        <w:t>F</w:t>
      </w:r>
      <w:r w:rsidRPr="001C257D">
        <w:rPr>
          <w:vertAlign w:val="subscript"/>
        </w:rPr>
        <w:t>ST</w:t>
      </w:r>
      <w:r>
        <w:t xml:space="preserve">, we performed simulations that varied the migration rate. These simulations were identical to those described </w:t>
      </w:r>
      <w:r w:rsidR="004A6147">
        <w:t>above</w:t>
      </w:r>
      <w:r>
        <w:t xml:space="preserve">, with the addition of migration. Without migration we would expect an </w:t>
      </w:r>
      <w:r w:rsidRPr="001C257D">
        <w:rPr>
          <w:i/>
        </w:rPr>
        <w:t>F</w:t>
      </w:r>
      <w:r w:rsidRPr="001C257D">
        <w:rPr>
          <w:vertAlign w:val="subscript"/>
        </w:rPr>
        <w:t>ST</w:t>
      </w:r>
      <w:r>
        <w:t xml:space="preserve"> of 0.190. The migration rate was varied from 10</w:t>
      </w:r>
      <w:r>
        <w:rPr>
          <w:vertAlign w:val="superscript"/>
        </w:rPr>
        <w:t>-4</w:t>
      </w:r>
      <w:r>
        <w:t xml:space="preserve"> to 10</w:t>
      </w:r>
      <w:r>
        <w:rPr>
          <w:vertAlign w:val="superscript"/>
        </w:rPr>
        <w:t>-1</w:t>
      </w:r>
      <w:r>
        <w:t xml:space="preserve">. The results are plotted below in </w:t>
      </w:r>
      <w:r w:rsidR="00E43E9D">
        <w:t>Figure S5</w:t>
      </w:r>
      <w:r>
        <w:t>.</w:t>
      </w:r>
      <w:r w:rsidR="006D3114">
        <w:t xml:space="preserve"> These results showcase that as migration rate increases, estimated </w:t>
      </w:r>
      <w:r w:rsidR="006D3114" w:rsidRPr="001C257D">
        <w:rPr>
          <w:i/>
        </w:rPr>
        <w:t>F</w:t>
      </w:r>
      <w:r w:rsidR="006D3114" w:rsidRPr="001C257D">
        <w:rPr>
          <w:vertAlign w:val="subscript"/>
        </w:rPr>
        <w:t>ST</w:t>
      </w:r>
      <w:r w:rsidR="006D3114">
        <w:t xml:space="preserve"> decreases for two populations independent of their divergence time. As a result, the </w:t>
      </w:r>
      <w:r w:rsidR="00E619B4">
        <w:t xml:space="preserve">relationship between divergence time and </w:t>
      </w:r>
      <w:r w:rsidR="00E619B4" w:rsidRPr="001C257D">
        <w:rPr>
          <w:i/>
        </w:rPr>
        <w:t>F</w:t>
      </w:r>
      <w:r w:rsidR="00E619B4" w:rsidRPr="001C257D">
        <w:rPr>
          <w:vertAlign w:val="subscript"/>
        </w:rPr>
        <w:t>ST</w:t>
      </w:r>
      <w:r w:rsidR="00E619B4">
        <w:t xml:space="preserve"> is lost. </w:t>
      </w:r>
    </w:p>
    <w:p w14:paraId="63EEE1FD" w14:textId="77777777" w:rsidR="00487DB4" w:rsidRPr="00E619B4" w:rsidRDefault="00E619B4" w:rsidP="003644F5">
      <w:pPr>
        <w:ind w:firstLine="720"/>
      </w:pPr>
      <w:r>
        <w:t xml:space="preserve">However, our remaining results are largely unchanged. Specifically, WC estimates continue to depend upon the ratio of sample sizes (see </w:t>
      </w:r>
      <w:r w:rsidR="00E43E9D">
        <w:t>Figure S6</w:t>
      </w:r>
      <w:r>
        <w:t xml:space="preserve">), while Nei estimates are consistently inflated. Also, use of the average of ratios produces artificially reduced estimates, especially when analyzing large numbers of rare SNPs. (see </w:t>
      </w:r>
      <w:r w:rsidR="00E43E9D">
        <w:t>Figure S7</w:t>
      </w:r>
      <w:r>
        <w:t xml:space="preserve">). Both of these analyses were </w:t>
      </w:r>
      <w:r w:rsidR="002A5E51">
        <w:t xml:space="preserve">performed </w:t>
      </w:r>
      <w:r>
        <w:t>with a migration rate of 10</w:t>
      </w:r>
      <w:r>
        <w:rPr>
          <w:vertAlign w:val="superscript"/>
        </w:rPr>
        <w:t>-3</w:t>
      </w:r>
      <w:r>
        <w:t>.</w:t>
      </w:r>
    </w:p>
    <w:p w14:paraId="5E608E89" w14:textId="77777777" w:rsidR="00487DB4" w:rsidRDefault="00487DB4"/>
    <w:p w14:paraId="3948FFA0" w14:textId="77777777" w:rsidR="00487DB4" w:rsidRPr="00487DB4" w:rsidRDefault="00763657" w:rsidP="00487DB4">
      <w:pPr>
        <w:jc w:val="center"/>
      </w:pPr>
      <w:r>
        <w:rPr>
          <w:noProof/>
        </w:rPr>
        <w:drawing>
          <wp:inline distT="0" distB="0" distL="0" distR="0" wp14:anchorId="69062CD4" wp14:editId="2CF2AD84">
            <wp:extent cx="3763010" cy="2251710"/>
            <wp:effectExtent l="0" t="0" r="21590" b="34290"/>
            <wp:docPr id="7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40837F82" w14:textId="77777777" w:rsidR="00487DB4" w:rsidRDefault="00E43E9D">
      <w:r>
        <w:t>Figure S5</w:t>
      </w:r>
      <w:r w:rsidR="0099329E">
        <w:t>.</w:t>
      </w:r>
      <w:r w:rsidR="00487DB4">
        <w:t xml:space="preserve"> </w:t>
      </w:r>
      <w:r w:rsidR="0099329E">
        <w:t xml:space="preserve">This </w:t>
      </w:r>
      <w:r w:rsidR="00487DB4">
        <w:t xml:space="preserve">clearly shows that as migration rate increases, the estimate of </w:t>
      </w:r>
      <w:r w:rsidR="00487DB4" w:rsidRPr="001C257D">
        <w:rPr>
          <w:i/>
        </w:rPr>
        <w:t>F</w:t>
      </w:r>
      <w:r w:rsidR="00487DB4" w:rsidRPr="001C257D">
        <w:rPr>
          <w:vertAlign w:val="subscript"/>
        </w:rPr>
        <w:t>ST</w:t>
      </w:r>
      <w:r w:rsidR="00487DB4">
        <w:t xml:space="preserve"> decreases from its predicted value in the setting of no migration. This is to be expected as populations become more similar with increasing migration. While Wright did describe a relationship between </w:t>
      </w:r>
      <w:r w:rsidR="00487DB4" w:rsidRPr="001C257D">
        <w:rPr>
          <w:i/>
        </w:rPr>
        <w:t>F</w:t>
      </w:r>
      <w:r w:rsidR="00487DB4" w:rsidRPr="001C257D">
        <w:rPr>
          <w:vertAlign w:val="subscript"/>
        </w:rPr>
        <w:t>ST</w:t>
      </w:r>
      <w:r w:rsidR="00487DB4">
        <w:t xml:space="preserve"> and migration, this applied only in the context of a theoretical model of isolation by distance.</w:t>
      </w:r>
      <w:r w:rsidR="0099329E">
        <w:t xml:space="preserve"> </w:t>
      </w:r>
    </w:p>
    <w:p w14:paraId="0FBF64AA" w14:textId="77777777" w:rsidR="0099329E" w:rsidRDefault="0099329E"/>
    <w:p w14:paraId="3C857758" w14:textId="77777777" w:rsidR="00487DB4" w:rsidRDefault="00487DB4"/>
    <w:p w14:paraId="67403D8A" w14:textId="77777777" w:rsidR="0099329E" w:rsidRDefault="00763657">
      <w:r>
        <w:rPr>
          <w:noProof/>
        </w:rPr>
        <w:drawing>
          <wp:inline distT="0" distB="0" distL="0" distR="0" wp14:anchorId="74F76369" wp14:editId="51ADB7C4">
            <wp:extent cx="5486400" cy="3138170"/>
            <wp:effectExtent l="0" t="0" r="25400" b="36830"/>
            <wp:docPr id="7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685B76B" w14:textId="77777777" w:rsidR="0099329E" w:rsidRDefault="0099329E"/>
    <w:p w14:paraId="72DA4701" w14:textId="77777777" w:rsidR="0099329E" w:rsidRDefault="00E43E9D">
      <w:r>
        <w:t>Figure S6</w:t>
      </w:r>
      <w:r w:rsidR="001645DC">
        <w:t xml:space="preserve">. This is analogous to </w:t>
      </w:r>
      <w:r w:rsidR="009B0FE7">
        <w:t>Figure S1</w:t>
      </w:r>
      <w:r w:rsidR="0099329E">
        <w:t xml:space="preserve"> and shows that in a setting with significant migration, WC estimates still depend upon the ratio of sample sizes. Also, Nei estimates remain elevated relative to Hudson estimates.</w:t>
      </w:r>
    </w:p>
    <w:p w14:paraId="3AE2E7FA" w14:textId="77777777" w:rsidR="0099329E" w:rsidRDefault="0099329E"/>
    <w:p w14:paraId="2DEA29FA" w14:textId="77777777" w:rsidR="0099329E" w:rsidRDefault="00763657">
      <w:r>
        <w:rPr>
          <w:noProof/>
        </w:rPr>
        <w:drawing>
          <wp:inline distT="0" distB="0" distL="0" distR="0" wp14:anchorId="106FC787" wp14:editId="2B463A0B">
            <wp:extent cx="5486400" cy="3199130"/>
            <wp:effectExtent l="0" t="0" r="25400" b="26670"/>
            <wp:docPr id="8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B593297" w14:textId="77777777" w:rsidR="0099329E" w:rsidRDefault="0099329E"/>
    <w:p w14:paraId="77F68B5E" w14:textId="77777777" w:rsidR="0099329E" w:rsidRDefault="00E43E9D">
      <w:r>
        <w:t>Figure S7</w:t>
      </w:r>
      <w:r w:rsidR="0099329E">
        <w:t xml:space="preserve">. This is analogous to </w:t>
      </w:r>
      <w:r w:rsidR="00E27BBE">
        <w:t>Figure S3</w:t>
      </w:r>
      <w:r w:rsidR="0099329E">
        <w:t xml:space="preserve"> and showcases several important findings. Namely, an average of ratios still results in a large reduction relative to a ratio of averages. The effect of ascertainment is small, but statistically significant, even using a ratio of averages. Also, an average of ratios results in a dependence of </w:t>
      </w:r>
      <w:r w:rsidR="0099329E" w:rsidRPr="001C257D">
        <w:rPr>
          <w:i/>
        </w:rPr>
        <w:t>F</w:t>
      </w:r>
      <w:r w:rsidR="0099329E" w:rsidRPr="001C257D">
        <w:rPr>
          <w:vertAlign w:val="subscript"/>
        </w:rPr>
        <w:t>ST</w:t>
      </w:r>
      <w:r w:rsidR="0099329E">
        <w:t xml:space="preserve"> on sample size used to estimate it. Without migration, sample size dependence only occurs if a permissive ascertainment scheme is used. However, with migration sample size dependence is observed even if an outgroup ascertainment scheme is used. This underscores the importance of using a ratio of averages.</w:t>
      </w:r>
    </w:p>
    <w:p w14:paraId="484D7E0C" w14:textId="77777777" w:rsidR="0099329E" w:rsidRDefault="0099329E"/>
    <w:p w14:paraId="5FE97796" w14:textId="77777777" w:rsidR="00E65876" w:rsidRDefault="00E65876" w:rsidP="00E65876">
      <w:pPr>
        <w:pStyle w:val="Heading1"/>
        <w:rPr>
          <w:vertAlign w:val="subscript"/>
        </w:rPr>
      </w:pPr>
      <w:bookmarkStart w:id="193" w:name="_Toc206151605"/>
      <w:bookmarkStart w:id="194" w:name="_Toc210982970"/>
      <w:bookmarkStart w:id="195" w:name="_Toc211282960"/>
      <w:bookmarkStart w:id="196" w:name="_Toc214442419"/>
      <w:bookmarkStart w:id="197" w:name="_Toc214967475"/>
      <w:bookmarkStart w:id="198" w:name="_Toc214970902"/>
      <w:bookmarkStart w:id="199" w:name="_Toc217045517"/>
      <w:bookmarkStart w:id="200" w:name="_Toc219534429"/>
      <w:bookmarkStart w:id="201" w:name="_Toc219534511"/>
      <w:bookmarkStart w:id="202" w:name="_Toc232440801"/>
      <w:bookmarkStart w:id="203" w:name="_Toc232704468"/>
      <w:bookmarkStart w:id="204" w:name="_Toc232777593"/>
      <w:r>
        <w:t xml:space="preserve">Correspondence Between Nei’s Estimator and Wright’s </w:t>
      </w:r>
      <w:r w:rsidRPr="001C257D">
        <w:rPr>
          <w:i/>
        </w:rPr>
        <w:t>F</w:t>
      </w:r>
      <w:r w:rsidRPr="001C257D">
        <w:rPr>
          <w:vertAlign w:val="subscript"/>
        </w:rPr>
        <w:t>ST</w:t>
      </w:r>
      <w:bookmarkEnd w:id="193"/>
      <w:bookmarkEnd w:id="194"/>
      <w:bookmarkEnd w:id="195"/>
      <w:bookmarkEnd w:id="196"/>
      <w:bookmarkEnd w:id="197"/>
      <w:bookmarkEnd w:id="198"/>
      <w:bookmarkEnd w:id="199"/>
      <w:bookmarkEnd w:id="200"/>
      <w:bookmarkEnd w:id="201"/>
      <w:bookmarkEnd w:id="202"/>
      <w:bookmarkEnd w:id="203"/>
      <w:bookmarkEnd w:id="204"/>
    </w:p>
    <w:p w14:paraId="1A9D9E8B" w14:textId="77777777" w:rsidR="00E65876" w:rsidRPr="00E03D65" w:rsidRDefault="00E65876" w:rsidP="00E65876"/>
    <w:p w14:paraId="2BD8074D" w14:textId="77777777" w:rsidR="00E65876" w:rsidRDefault="00E65876" w:rsidP="00E65876">
      <w:r>
        <w:t xml:space="preserve">Nei </w:t>
      </w:r>
      <w:r w:rsidR="00862942">
        <w:fldChar w:fldCharType="begin"/>
      </w:r>
      <w:r w:rsidR="00D73545">
        <w:instrText xml:space="preserve"> ADDIN PAPERS2_CITATIONS &lt;citation&gt;&lt;uuid&gt;61018AA8-BD4F-4A83-A46A-4AEB89C01501&lt;/uuid&gt;&lt;priority&gt;40&lt;/priority&gt;&lt;publications&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s&gt;&lt;cites&gt;&lt;/cites&gt;&lt;/citation&gt;</w:instrText>
      </w:r>
      <w:r w:rsidR="00862942">
        <w:fldChar w:fldCharType="separate"/>
      </w:r>
      <w:r w:rsidR="00D73545">
        <w:rPr>
          <w:rFonts w:cs="Cambria"/>
        </w:rPr>
        <w:t>(Cockerham 1969; Nei 1973)</w:t>
      </w:r>
      <w:r w:rsidR="00862942">
        <w:fldChar w:fldCharType="end"/>
      </w:r>
      <w:r>
        <w:t xml:space="preserve"> wrote that his estimator was “equivalent to Wright’s </w:t>
      </w:r>
      <w:r w:rsidRPr="001C257D">
        <w:rPr>
          <w:i/>
        </w:rPr>
        <w:t>F</w:t>
      </w:r>
      <w:r w:rsidRPr="001C257D">
        <w:rPr>
          <w:vertAlign w:val="subscript"/>
        </w:rPr>
        <w:t>ST</w:t>
      </w:r>
      <w:r>
        <w:t xml:space="preserve">”. This equivalence has been separately claimed by </w:t>
      </w:r>
      <w:r w:rsidR="00862942">
        <w:fldChar w:fldCharType="begin"/>
      </w:r>
      <w:r w:rsidR="00D73545">
        <w:instrText xml:space="preserve"> ADDIN PAPERS2_CITATIONS &lt;citation&gt;&lt;uuid&gt;608B1BF3-C641-4B62-95A5-A3B5DF05614A&lt;/uuid&gt;&lt;priority&gt;41&lt;/priority&gt;&lt;publications&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gt;&lt;uuid&gt;DFF58000-BC7B-4E0D-B09C-EDEE5A2E3EBE&lt;/uuid&gt;&lt;volume&gt;23&lt;/volume&gt;&lt;doi&gt;10.1093/bioinformatics/btm138&lt;/doi&gt;&lt;startpage&gt;1565&lt;/startpage&gt;&lt;publication_date&gt;99200706151200000000222000&lt;/publication_date&gt;&lt;url&gt;http://eutils.ncbi.nlm.nih.gov/entrez/eutils/elink.fcgi?dbfrom=pubmed&amp;amp;id=17459963&amp;amp;retmode=ref&amp;amp;cmd=prlinks&lt;/url&gt;&lt;citekey&gt;RefWorks:94&lt;/citekey&gt;&lt;type&gt;400&lt;/type&gt;&lt;title&gt;GENOME: a rapid coalescent-based whole genome simulator.&lt;/title&gt;&lt;location&gt;200,9,42.2761841,-83.7410733&lt;/location&gt;&lt;institution&gt;Center for Statistical Genetics, Department of Biostatistics, University of Michigan, Ann Arbor, MI 48109, USA. lianglim@umich.edu&lt;/institution&gt;&lt;number&gt;12&lt;/number&gt;&lt;subtype&gt;400&lt;/subtype&gt;&lt;endpage&gt;1567&lt;/endpage&gt;&lt;bundle&gt;&lt;publication&gt;&lt;title&gt;Bioinformatics&lt;/title&gt;&lt;type&gt;-100&lt;/type&gt;&lt;subtype&gt;-100&lt;/subtype&gt;&lt;uuid&gt;8041A9EA-59ED-4767-A952-92ADB9110437&lt;/uuid&gt;&lt;/publication&gt;&lt;/bundle&gt;&lt;authors&gt;&lt;author&gt;&lt;firstName&gt;Liming&lt;/firstName&gt;&lt;lastName&gt;Liang&lt;/lastName&gt;&lt;/author&gt;&lt;author&gt;&lt;firstName&gt;Sebastian&lt;/firstName&gt;&lt;lastName&gt;Zöllner&lt;/lastName&gt;&lt;/author&gt;&lt;author&gt;&lt;firstName&gt;Goncalo&lt;/firstName&gt;&lt;middleNames&gt;R&lt;/middleNames&gt;&lt;lastName&gt;Abecasis&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(Nei 1986; Liang et al. 2007; Cockerham 1969; Weir and Cockerham 1984)</w:t>
      </w:r>
      <w:r w:rsidR="00862942">
        <w:fldChar w:fldCharType="end"/>
      </w:r>
      <w:r>
        <w:t xml:space="preserve"> who provide a different estimator. We believe that the confusion lies in whether the “total variance” is estimated in populations studied or in an ancestral population. This distinction has been previously noted by </w:t>
      </w:r>
      <w:r w:rsidR="00862942">
        <w:fldChar w:fldCharType="begin"/>
      </w:r>
      <w:r w:rsidR="00D73545">
        <w:instrText xml:space="preserve"> ADDIN PAPERS2_CITATIONS &lt;citation&gt;&lt;uuid&gt;26F16125-50FD-4912-BC18-CC3E364F9E76&lt;/uuid&gt;&lt;priority&gt;42&lt;/priority&gt;&lt;publications&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46CA3A4B-F9CA-49AB-ABC4-D753EEFAEF8D&lt;/uuid&gt;&lt;volume&gt;50&lt;/volume&gt;&lt;startpage&gt;271&lt;/startpage&gt;&lt;publication_date&gt;99198607001200000000220000&lt;/publication_date&gt;&lt;url&gt;http://eutils.ncbi.nlm.nih.gov/entrez/eutils/elink.fcgi?dbfrom=pubmed&amp;amp;id=3446014&amp;amp;retmode=ref&amp;amp;cmd=prlinks&lt;/url&gt;&lt;type&gt;400&lt;/type&gt;&lt;title&gt;Estimation of inbreeding parameters in stratified populations.&lt;/title&gt;&lt;location&gt;200,9,35.7873474,-78.6654159&lt;/location&gt;&lt;institution&gt;Department of Statistics, North Carolina State University, Raleigh 27695-8203.&lt;/institution&gt;&lt;number&gt;Pt 3&lt;/number&gt;&lt;subtype&gt;400&lt;/subtype&gt;&lt;endpage&gt;281&lt;/endpage&gt;&lt;bundle&gt;&lt;publication&gt;&lt;title&gt;Annals of Human Genetics&lt;/title&gt;&lt;type&gt;-100&lt;/type&gt;&lt;subtype&gt;-100&lt;/subtype&gt;&lt;uuid&gt;16BFC9C9-094F-4CDA-83B4-0163DB38945B&lt;/uuid&gt;&lt;/publication&gt;&lt;/bundle&gt;&lt;authors&gt;&lt;author&gt;&lt;firstName&gt;C&lt;/firstName&gt;&lt;middleNames&gt;C&lt;/middleNames&gt;&lt;lastName&gt;Cockerham&lt;/lastName&gt;&lt;/author&gt;&lt;author&gt;&lt;firstName&gt;B&lt;/firstName&gt;&lt;middleNames&gt;S&lt;/middleNames&gt;&lt;lastName&gt;Weir&lt;/lastName&gt;&lt;/author&gt;&lt;/authors&gt;&lt;/publication&gt;&lt;publication&gt;&lt;volume&gt;47&lt;/volume&gt;&lt;publication_date&gt;99198307001200000000220000&lt;/publication_date&gt;&lt;number&gt;Pt 3&lt;/number&gt;&lt;startpage&gt;253&lt;/startpage&gt;&lt;title&gt;Estimation of fixation indices and gene diversities.&lt;/title&gt;&lt;uuid&gt;6FAC07D7-A287-402C-A8E6-D0C941B2E03D&lt;/uuid&gt;&lt;subtype&gt;400&lt;/subtype&gt;&lt;endpage&gt;259&lt;/endpage&gt;&lt;type&gt;400&lt;/type&gt;&lt;url&gt;http://eutils.ncbi.nlm.nih.gov/entrez/eutils/elink.fcgi?dbfrom=pubmed&amp;amp;id=6614868&amp;amp;retmode=ref&amp;amp;cmd=prlinks&lt;/url&gt;&lt;bundle&gt;&lt;publication&gt;&lt;title&gt;Annals of Human Genetics&lt;/title&gt;&lt;type&gt;-100&lt;/type&gt;&lt;subtype&gt;-100&lt;/subtype&gt;&lt;uuid&gt;16BFC9C9-094F-4CDA-83B4-0163DB38945B&lt;/uuid&gt;&lt;/publication&gt;&lt;/bundle&gt;&lt;authors&gt;&lt;author&gt;&lt;firstName&gt;M&lt;/firstName&gt;&lt;lastName&gt;Nei&lt;/lastName&gt;&lt;/author&gt;&lt;author&gt;&lt;firstName&gt;R&lt;/firstName&gt;&lt;middleNames&gt;K&lt;/middleNames&gt;&lt;lastName&gt;Chesser&lt;/lastName&gt;&lt;/author&gt;&lt;/authors&gt;&lt;/publication&gt;&lt;/publications&gt;&lt;cites&gt;&lt;/cites&gt;&lt;/citation&gt;</w:instrText>
      </w:r>
      <w:r w:rsidR="00862942">
        <w:fldChar w:fldCharType="separate"/>
      </w:r>
      <w:r w:rsidR="00D73545">
        <w:rPr>
          <w:rFonts w:cs="Cambria"/>
        </w:rPr>
        <w:t>(Nei 1973; Cockerham and Weir 1986; Nei and Chesser 1983)</w:t>
      </w:r>
      <w:r w:rsidR="00862942">
        <w:fldChar w:fldCharType="end"/>
      </w:r>
      <w:r>
        <w:t xml:space="preserve">. It is challenging to discern Wright’s intent as he refers to a “total population” without giving a means to estimate allele frequencies in this population. If we are to believe Nei, then the “total population” is the combined set of populations being currently studied and allele frequencies in the total population are sample allele frequencies. If we are to believe Cockerham and Weir, then the “total population” is an ancestral population and allele frequencies in this population must be estimated according to a specified evolutionary model. For the purposes of </w:t>
      </w:r>
      <w:r w:rsidR="003A2591">
        <w:t>Table S2</w:t>
      </w:r>
      <w:r>
        <w:t xml:space="preserve"> we agree with Cockerham and Weir. </w:t>
      </w:r>
    </w:p>
    <w:p w14:paraId="199CCF6B" w14:textId="77777777" w:rsidR="00E65876" w:rsidRPr="003526A6" w:rsidRDefault="00E65876" w:rsidP="00E65876">
      <w:r>
        <w:tab/>
        <w:t xml:space="preserve">However, what if one were interested in properties of the sample? If one were interested in the proportion of genotypic variance in the </w:t>
      </w:r>
      <w:r>
        <w:rPr>
          <w:i/>
        </w:rPr>
        <w:t>sample</w:t>
      </w:r>
      <w:r>
        <w:t xml:space="preserve"> that is explained by population label, and equal sample sizes were used Nei’s estimator would be more appropriate. If there are unequal sample sizes, it is possible to modify the estimator given in the main text to use a sample size weighted average of allele frequencies.</w:t>
      </w:r>
    </w:p>
    <w:p w14:paraId="2FCE096C" w14:textId="77777777" w:rsidR="00175503" w:rsidRDefault="00175503"/>
    <w:p w14:paraId="0E4C4E00" w14:textId="77777777" w:rsidR="003B43DC" w:rsidRDefault="003B43DC" w:rsidP="003B43DC"/>
    <w:p w14:paraId="205920B5" w14:textId="77777777" w:rsidR="00175503" w:rsidRPr="009C656B" w:rsidRDefault="00175503" w:rsidP="00596BB4">
      <w:pPr>
        <w:pStyle w:val="Heading1"/>
      </w:pPr>
      <w:bookmarkStart w:id="205" w:name="_Toc206055490"/>
      <w:bookmarkStart w:id="206" w:name="_Toc206055581"/>
      <w:bookmarkStart w:id="207" w:name="_Toc206060121"/>
      <w:bookmarkStart w:id="208" w:name="_Toc206060917"/>
      <w:bookmarkStart w:id="209" w:name="_Toc206151607"/>
      <w:bookmarkStart w:id="210" w:name="_Toc210982971"/>
      <w:bookmarkStart w:id="211" w:name="_Toc211282961"/>
      <w:bookmarkStart w:id="212" w:name="_Toc214442420"/>
      <w:bookmarkStart w:id="213" w:name="_Toc214967476"/>
      <w:bookmarkStart w:id="214" w:name="_Toc214970903"/>
      <w:bookmarkStart w:id="215" w:name="_Toc217045518"/>
      <w:bookmarkStart w:id="216" w:name="_Toc219534430"/>
      <w:bookmarkStart w:id="217" w:name="_Toc219534512"/>
      <w:bookmarkStart w:id="218" w:name="_Toc232440802"/>
      <w:bookmarkStart w:id="219" w:name="_Toc232704469"/>
      <w:bookmarkStart w:id="220" w:name="_Toc232777594"/>
      <w:r w:rsidRPr="009C656B">
        <w:t xml:space="preserve">Table </w:t>
      </w:r>
      <w:r w:rsidR="007D1FC6" w:rsidRPr="009C656B">
        <w:t>S</w:t>
      </w:r>
      <w:r w:rsidRPr="009C656B">
        <w:t>1. All 1000 Genomes Pairs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64876E7" w14:textId="77777777" w:rsidR="00175503" w:rsidRDefault="00175503"/>
    <w:p w14:paraId="750649C4" w14:textId="77777777" w:rsidR="00A30EEE" w:rsidRDefault="00175503">
      <w:r w:rsidRPr="004B5839">
        <w:rPr>
          <w:i/>
        </w:rPr>
        <w:t>F</w:t>
      </w:r>
      <w:r w:rsidRPr="004B5839">
        <w:rPr>
          <w:vertAlign w:val="subscript"/>
        </w:rPr>
        <w:t>ST</w:t>
      </w:r>
      <w:r>
        <w:t xml:space="preserve"> between all pairs of 1000 Genomes populations was estimated using each of </w:t>
      </w:r>
      <w:r w:rsidR="00FB7294">
        <w:t xml:space="preserve">four </w:t>
      </w:r>
      <w:r w:rsidR="0003710B">
        <w:t>estimators</w:t>
      </w:r>
      <w:r w:rsidR="00A30EEE">
        <w:t>:</w:t>
      </w:r>
    </w:p>
    <w:p w14:paraId="0D48D9D8" w14:textId="77777777" w:rsidR="00A30EEE" w:rsidRDefault="0003710B" w:rsidP="00A30EEE">
      <w:pPr>
        <w:pStyle w:val="MediumGrid1-Accent21"/>
        <w:numPr>
          <w:ilvl w:val="0"/>
          <w:numId w:val="2"/>
        </w:numPr>
      </w:pPr>
      <w:r>
        <w:t>WC</w:t>
      </w:r>
    </w:p>
    <w:p w14:paraId="3ED9EDD7" w14:textId="77777777" w:rsidR="00A30EEE" w:rsidRDefault="0003710B" w:rsidP="00A30EEE">
      <w:pPr>
        <w:pStyle w:val="MediumGrid1-Accent21"/>
        <w:numPr>
          <w:ilvl w:val="0"/>
          <w:numId w:val="2"/>
        </w:numPr>
      </w:pPr>
      <w:r>
        <w:t>Nei</w:t>
      </w:r>
    </w:p>
    <w:p w14:paraId="498617B0" w14:textId="77777777" w:rsidR="00A30EEE" w:rsidRDefault="00A30EEE" w:rsidP="00A30EEE">
      <w:pPr>
        <w:pStyle w:val="MediumGrid1-Accent21"/>
        <w:numPr>
          <w:ilvl w:val="0"/>
          <w:numId w:val="2"/>
        </w:numPr>
      </w:pPr>
      <w:r>
        <w:t>Hudson</w:t>
      </w:r>
    </w:p>
    <w:p w14:paraId="384798D3" w14:textId="77777777" w:rsidR="00FB7294" w:rsidRDefault="00FB7294" w:rsidP="00A30EEE">
      <w:pPr>
        <w:pStyle w:val="MediumGrid1-Accent21"/>
        <w:numPr>
          <w:ilvl w:val="0"/>
          <w:numId w:val="2"/>
        </w:numPr>
      </w:pPr>
      <w:r>
        <w:t>WH</w:t>
      </w:r>
    </w:p>
    <w:p w14:paraId="2DBEA0FC" w14:textId="77777777" w:rsidR="00A30EEE" w:rsidRDefault="00A30EEE" w:rsidP="00A30EEE">
      <w:proofErr w:type="gramStart"/>
      <w:r>
        <w:t>each</w:t>
      </w:r>
      <w:proofErr w:type="gramEnd"/>
      <w:r>
        <w:t xml:space="preserve"> of two averaging methods:</w:t>
      </w:r>
    </w:p>
    <w:p w14:paraId="05329E38" w14:textId="77777777" w:rsidR="00A30EEE" w:rsidRDefault="0003710B" w:rsidP="00A30EEE">
      <w:pPr>
        <w:pStyle w:val="MediumGrid1-Accent21"/>
        <w:numPr>
          <w:ilvl w:val="0"/>
          <w:numId w:val="3"/>
        </w:numPr>
      </w:pPr>
      <w:r>
        <w:t>Ratio of Averages</w:t>
      </w:r>
    </w:p>
    <w:p w14:paraId="01EC8671" w14:textId="77777777" w:rsidR="00A30EEE" w:rsidRDefault="0003710B" w:rsidP="00A30EEE">
      <w:pPr>
        <w:pStyle w:val="MediumGrid1-Accent21"/>
        <w:numPr>
          <w:ilvl w:val="0"/>
          <w:numId w:val="3"/>
        </w:numPr>
      </w:pPr>
      <w:r>
        <w:t>Average of Ratios</w:t>
      </w:r>
    </w:p>
    <w:p w14:paraId="69EE4416" w14:textId="77777777" w:rsidR="00A30EEE" w:rsidRDefault="00175503" w:rsidP="00A30EEE">
      <w:proofErr w:type="gramStart"/>
      <w:r>
        <w:t>and</w:t>
      </w:r>
      <w:proofErr w:type="gramEnd"/>
      <w:r>
        <w:t xml:space="preserve"> </w:t>
      </w:r>
      <w:r w:rsidR="000C5C69">
        <w:t>ascertaining for SNPs that are polymorphic in one of</w:t>
      </w:r>
      <w:r w:rsidR="00A30EEE">
        <w:t>:</w:t>
      </w:r>
    </w:p>
    <w:p w14:paraId="74B6F22F" w14:textId="77777777" w:rsidR="00A30EEE" w:rsidRDefault="00175503" w:rsidP="00A30EEE">
      <w:pPr>
        <w:pStyle w:val="MediumGrid1-Accent21"/>
        <w:numPr>
          <w:ilvl w:val="0"/>
          <w:numId w:val="4"/>
        </w:numPr>
      </w:pPr>
      <w:r>
        <w:t>Population 1</w:t>
      </w:r>
    </w:p>
    <w:p w14:paraId="2975DF06" w14:textId="77777777" w:rsidR="00A30EEE" w:rsidRDefault="00A30EEE" w:rsidP="00A30EEE">
      <w:pPr>
        <w:pStyle w:val="MediumGrid1-Accent21"/>
        <w:numPr>
          <w:ilvl w:val="0"/>
          <w:numId w:val="4"/>
        </w:numPr>
      </w:pPr>
      <w:r>
        <w:t>Population 2</w:t>
      </w:r>
    </w:p>
    <w:p w14:paraId="29F9BD07" w14:textId="77777777" w:rsidR="00A30EEE" w:rsidRDefault="00175503" w:rsidP="00A30EEE">
      <w:pPr>
        <w:pStyle w:val="MediumGrid1-Accent21"/>
        <w:numPr>
          <w:ilvl w:val="0"/>
          <w:numId w:val="4"/>
        </w:numPr>
      </w:pPr>
      <w:r>
        <w:t>Both</w:t>
      </w:r>
      <w:r w:rsidR="00A30EEE">
        <w:t xml:space="preserve"> population 1 &amp; population 2</w:t>
      </w:r>
    </w:p>
    <w:p w14:paraId="6CD572D5" w14:textId="77777777" w:rsidR="00A30EEE" w:rsidRDefault="00175503" w:rsidP="00A30EEE">
      <w:pPr>
        <w:pStyle w:val="MediumGrid1-Accent21"/>
        <w:numPr>
          <w:ilvl w:val="0"/>
          <w:numId w:val="4"/>
        </w:numPr>
      </w:pPr>
      <w:r>
        <w:t>Either</w:t>
      </w:r>
      <w:r w:rsidR="00A30EEE">
        <w:t xml:space="preserve"> population 1 OR population 2</w:t>
      </w:r>
    </w:p>
    <w:p w14:paraId="53A3458C" w14:textId="77777777" w:rsidR="00175503" w:rsidRDefault="000C5C69" w:rsidP="00A30EEE">
      <w:pPr>
        <w:pStyle w:val="MediumGrid1-Accent21"/>
        <w:numPr>
          <w:ilvl w:val="0"/>
          <w:numId w:val="4"/>
        </w:numPr>
      </w:pPr>
      <w:r>
        <w:t>YRI (This may or may not be an out</w:t>
      </w:r>
      <w:r w:rsidR="002B7142">
        <w:t>-</w:t>
      </w:r>
      <w:r>
        <w:t>group)</w:t>
      </w:r>
    </w:p>
    <w:p w14:paraId="39AFE28D" w14:textId="77777777" w:rsidR="000C5C69" w:rsidRDefault="000C5C69" w:rsidP="000C5C69"/>
    <w:p w14:paraId="2B931B22" w14:textId="77777777" w:rsidR="00FD1B7E" w:rsidRDefault="000C5C69" w:rsidP="00843DE8">
      <w:r>
        <w:t>All told, there are (</w:t>
      </w:r>
      <w:r w:rsidR="00FB7294">
        <w:t>16</w:t>
      </w:r>
      <w:r>
        <w:t xml:space="preserve"> choose 2) pairs x </w:t>
      </w:r>
      <w:r w:rsidR="00FB7294">
        <w:t>4</w:t>
      </w:r>
      <w:r>
        <w:t xml:space="preserve"> x 2 x 5</w:t>
      </w:r>
      <w:r w:rsidR="00AF05D1">
        <w:t xml:space="preserve"> = </w:t>
      </w:r>
      <w:r w:rsidR="00FB7294">
        <w:t xml:space="preserve">4800 </w:t>
      </w:r>
      <w:r w:rsidR="00AF05D1" w:rsidRPr="004B5839">
        <w:rPr>
          <w:i/>
        </w:rPr>
        <w:t>F</w:t>
      </w:r>
      <w:r w:rsidR="00AF05D1" w:rsidRPr="004B5839">
        <w:rPr>
          <w:vertAlign w:val="subscript"/>
        </w:rPr>
        <w:t>ST</w:t>
      </w:r>
      <w:r w:rsidR="00AF05D1">
        <w:t xml:space="preserve"> estimates and </w:t>
      </w:r>
      <w:r w:rsidR="00872F6E">
        <w:t>the</w:t>
      </w:r>
      <w:r w:rsidR="002C714F">
        <w:t xml:space="preserve"> </w:t>
      </w:r>
      <w:r w:rsidR="00AF05D1">
        <w:t xml:space="preserve">corresponding standard errors. Because of this very large number of </w:t>
      </w:r>
      <w:r w:rsidR="00AF05D1" w:rsidRPr="004B5839">
        <w:rPr>
          <w:i/>
        </w:rPr>
        <w:t>F</w:t>
      </w:r>
      <w:r w:rsidR="00AF05D1" w:rsidRPr="004B5839">
        <w:rPr>
          <w:vertAlign w:val="subscript"/>
        </w:rPr>
        <w:t>ST</w:t>
      </w:r>
      <w:r w:rsidR="00AF05D1">
        <w:t xml:space="preserve"> estimates, we have </w:t>
      </w:r>
      <w:r w:rsidR="00B95ED8">
        <w:t>provided</w:t>
      </w:r>
      <w:r w:rsidR="00AF05D1">
        <w:t xml:space="preserve"> Table </w:t>
      </w:r>
      <w:r w:rsidR="00B95ED8">
        <w:t>S</w:t>
      </w:r>
      <w:r w:rsidR="00AF05D1">
        <w:t>1 as a separate excel spreadsheet that can be used to easily search, sort, and filter results that are of interest.</w:t>
      </w:r>
    </w:p>
    <w:p w14:paraId="4584AE02" w14:textId="77777777" w:rsidR="009226BE" w:rsidRDefault="009226BE" w:rsidP="009226BE">
      <w:pPr>
        <w:rPr>
          <w:b/>
        </w:rPr>
      </w:pPr>
    </w:p>
    <w:p w14:paraId="0E146795" w14:textId="77777777" w:rsidR="009226BE" w:rsidRDefault="009226BE" w:rsidP="009226BE">
      <w:pPr>
        <w:rPr>
          <w:b/>
        </w:rPr>
      </w:pPr>
    </w:p>
    <w:p w14:paraId="3FD68556" w14:textId="77777777" w:rsidR="009226BE" w:rsidRDefault="009226BE" w:rsidP="009226BE">
      <w:pPr>
        <w:rPr>
          <w:b/>
        </w:rPr>
      </w:pPr>
    </w:p>
    <w:p w14:paraId="23C615A7" w14:textId="77777777" w:rsidR="009226BE" w:rsidRDefault="009226BE" w:rsidP="009226BE">
      <w:pPr>
        <w:rPr>
          <w:b/>
        </w:rPr>
      </w:pPr>
    </w:p>
    <w:p w14:paraId="0139603E" w14:textId="77777777" w:rsidR="00672606" w:rsidRDefault="00672606" w:rsidP="00672606">
      <w:pPr>
        <w:pStyle w:val="Heading1"/>
        <w:sectPr w:rsidR="00672606" w:rsidSect="00672606">
          <w:pgSz w:w="12240" w:h="15840"/>
          <w:pgMar w:top="1440" w:right="1800" w:bottom="1440" w:left="1800" w:header="720" w:footer="720" w:gutter="0"/>
          <w:cols w:space="720"/>
          <w:docGrid w:linePitch="360"/>
        </w:sectPr>
      </w:pPr>
    </w:p>
    <w:p w14:paraId="112DE353" w14:textId="77777777" w:rsidR="009226BE" w:rsidRPr="00672606" w:rsidRDefault="003A2591" w:rsidP="00672606">
      <w:pPr>
        <w:pStyle w:val="Heading1"/>
      </w:pPr>
      <w:bookmarkStart w:id="221" w:name="_Toc232440803"/>
      <w:bookmarkStart w:id="222" w:name="_Toc232704470"/>
      <w:bookmarkStart w:id="223" w:name="_Toc232777595"/>
      <w:r>
        <w:t>Table S2</w:t>
      </w:r>
      <w:r w:rsidR="00672606" w:rsidRPr="009C656B">
        <w:t xml:space="preserve">. </w:t>
      </w:r>
      <w:r w:rsidR="00740433">
        <w:t>Correspondence between Definitions and Estimators</w:t>
      </w:r>
      <w:bookmarkEnd w:id="221"/>
      <w:bookmarkEnd w:id="222"/>
      <w:bookmarkEnd w:id="223"/>
    </w:p>
    <w:p w14:paraId="28768E7E" w14:textId="77777777" w:rsidR="009226BE" w:rsidRDefault="009226BE" w:rsidP="009226BE">
      <w:pPr>
        <w:rPr>
          <w:b/>
        </w:rPr>
      </w:pPr>
    </w:p>
    <w:tbl>
      <w:tblPr>
        <w:tblW w:w="14166" w:type="dxa"/>
        <w:jc w:val="center"/>
        <w:tblLayout w:type="fixed"/>
        <w:tblLook w:val="04A0" w:firstRow="1" w:lastRow="0" w:firstColumn="1" w:lastColumn="0" w:noHBand="0" w:noVBand="1"/>
      </w:tblPr>
      <w:tblGrid>
        <w:gridCol w:w="3060"/>
        <w:gridCol w:w="2882"/>
        <w:gridCol w:w="3661"/>
        <w:gridCol w:w="2907"/>
        <w:gridCol w:w="666"/>
        <w:gridCol w:w="990"/>
      </w:tblGrid>
      <w:tr w:rsidR="009226BE" w:rsidRPr="00E0410A" w14:paraId="4703594C" w14:textId="77777777" w:rsidTr="0061776A">
        <w:trPr>
          <w:trHeight w:val="300"/>
          <w:jc w:val="center"/>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449C"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Conceptual definition</w:t>
            </w:r>
          </w:p>
        </w:tc>
        <w:tc>
          <w:tcPr>
            <w:tcW w:w="28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0C25"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Citation</w:t>
            </w:r>
            <w:r>
              <w:rPr>
                <w:rFonts w:ascii="Calibri" w:eastAsia="Times New Roman" w:hAnsi="Calibri"/>
                <w:b/>
                <w:color w:val="000000"/>
              </w:rPr>
              <w:t>(s)</w:t>
            </w:r>
          </w:p>
        </w:tc>
        <w:tc>
          <w:tcPr>
            <w:tcW w:w="3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CC626" w14:textId="77777777" w:rsidR="009226BE" w:rsidRPr="00E0410A" w:rsidRDefault="009226BE" w:rsidP="0061776A">
            <w:pPr>
              <w:jc w:val="center"/>
              <w:rPr>
                <w:rFonts w:ascii="Calibri" w:eastAsia="Times New Roman" w:hAnsi="Calibri"/>
                <w:b/>
                <w:color w:val="000000"/>
              </w:rPr>
            </w:pPr>
            <w:r>
              <w:rPr>
                <w:rFonts w:ascii="Calibri" w:eastAsia="Times New Roman" w:hAnsi="Calibri"/>
                <w:b/>
                <w:color w:val="000000"/>
              </w:rPr>
              <w:t xml:space="preserve">Evolutionary </w:t>
            </w:r>
            <w:r w:rsidRPr="00E0410A">
              <w:rPr>
                <w:rFonts w:ascii="Calibri" w:eastAsia="Times New Roman" w:hAnsi="Calibri"/>
                <w:b/>
                <w:color w:val="000000"/>
              </w:rPr>
              <w:t>Assumptions</w:t>
            </w:r>
          </w:p>
        </w:tc>
        <w:tc>
          <w:tcPr>
            <w:tcW w:w="45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7A906C"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Corresponds With Estimator</w:t>
            </w:r>
          </w:p>
        </w:tc>
      </w:tr>
      <w:tr w:rsidR="009226BE" w:rsidRPr="00E0410A" w14:paraId="2B653F9B" w14:textId="77777777" w:rsidTr="0061776A">
        <w:trPr>
          <w:trHeight w:val="300"/>
          <w:jc w:val="center"/>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66859F2F" w14:textId="77777777" w:rsidR="009226BE" w:rsidRPr="00E0410A" w:rsidRDefault="009226BE" w:rsidP="0061776A">
            <w:pPr>
              <w:rPr>
                <w:rFonts w:ascii="Calibri" w:eastAsia="Times New Roman" w:hAnsi="Calibri"/>
                <w:b/>
                <w:color w:val="000000"/>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2F38C177" w14:textId="77777777" w:rsidR="009226BE" w:rsidRPr="00E0410A" w:rsidRDefault="009226BE" w:rsidP="0061776A">
            <w:pPr>
              <w:rPr>
                <w:rFonts w:ascii="Calibri" w:eastAsia="Times New Roman" w:hAnsi="Calibri"/>
                <w:b/>
                <w:color w:val="000000"/>
              </w:rPr>
            </w:pPr>
          </w:p>
        </w:tc>
        <w:tc>
          <w:tcPr>
            <w:tcW w:w="3661" w:type="dxa"/>
            <w:vMerge/>
            <w:tcBorders>
              <w:top w:val="single" w:sz="4" w:space="0" w:color="auto"/>
              <w:left w:val="single" w:sz="4" w:space="0" w:color="auto"/>
              <w:bottom w:val="single" w:sz="4" w:space="0" w:color="auto"/>
              <w:right w:val="single" w:sz="4" w:space="0" w:color="auto"/>
            </w:tcBorders>
            <w:vAlign w:val="center"/>
            <w:hideMark/>
          </w:tcPr>
          <w:p w14:paraId="2F62C195" w14:textId="77777777" w:rsidR="009226BE" w:rsidRPr="00E0410A" w:rsidRDefault="009226BE" w:rsidP="0061776A">
            <w:pPr>
              <w:rPr>
                <w:rFonts w:ascii="Calibri" w:eastAsia="Times New Roman" w:hAnsi="Calibri"/>
                <w:b/>
                <w:color w:val="000000"/>
              </w:rPr>
            </w:pPr>
          </w:p>
        </w:tc>
        <w:tc>
          <w:tcPr>
            <w:tcW w:w="2907" w:type="dxa"/>
            <w:tcBorders>
              <w:top w:val="nil"/>
              <w:left w:val="nil"/>
              <w:bottom w:val="single" w:sz="4" w:space="0" w:color="auto"/>
              <w:right w:val="single" w:sz="4" w:space="0" w:color="auto"/>
            </w:tcBorders>
            <w:shd w:val="clear" w:color="auto" w:fill="auto"/>
            <w:noWrap/>
            <w:vAlign w:val="center"/>
            <w:hideMark/>
          </w:tcPr>
          <w:p w14:paraId="7AA93250"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WC</w:t>
            </w:r>
          </w:p>
        </w:tc>
        <w:tc>
          <w:tcPr>
            <w:tcW w:w="666" w:type="dxa"/>
            <w:tcBorders>
              <w:top w:val="nil"/>
              <w:left w:val="nil"/>
              <w:bottom w:val="single" w:sz="4" w:space="0" w:color="auto"/>
              <w:right w:val="single" w:sz="4" w:space="0" w:color="auto"/>
            </w:tcBorders>
            <w:shd w:val="clear" w:color="auto" w:fill="auto"/>
            <w:noWrap/>
            <w:vAlign w:val="center"/>
            <w:hideMark/>
          </w:tcPr>
          <w:p w14:paraId="47FC2850"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Nei</w:t>
            </w:r>
          </w:p>
        </w:tc>
        <w:tc>
          <w:tcPr>
            <w:tcW w:w="990" w:type="dxa"/>
            <w:tcBorders>
              <w:top w:val="nil"/>
              <w:left w:val="nil"/>
              <w:bottom w:val="single" w:sz="4" w:space="0" w:color="auto"/>
              <w:right w:val="single" w:sz="4" w:space="0" w:color="auto"/>
            </w:tcBorders>
            <w:shd w:val="clear" w:color="auto" w:fill="auto"/>
            <w:noWrap/>
            <w:vAlign w:val="center"/>
            <w:hideMark/>
          </w:tcPr>
          <w:p w14:paraId="2FA36BA4" w14:textId="77777777" w:rsidR="009226BE" w:rsidRPr="00E0410A" w:rsidRDefault="009226BE" w:rsidP="0061776A">
            <w:pPr>
              <w:jc w:val="center"/>
              <w:rPr>
                <w:rFonts w:ascii="Calibri" w:eastAsia="Times New Roman" w:hAnsi="Calibri"/>
                <w:b/>
                <w:color w:val="000000"/>
              </w:rPr>
            </w:pPr>
            <w:r w:rsidRPr="00E0410A">
              <w:rPr>
                <w:rFonts w:ascii="Calibri" w:eastAsia="Times New Roman" w:hAnsi="Calibri"/>
                <w:b/>
                <w:color w:val="000000"/>
              </w:rPr>
              <w:t>Hudson</w:t>
            </w:r>
          </w:p>
        </w:tc>
      </w:tr>
      <w:tr w:rsidR="009226BE" w:rsidRPr="00E0410A" w14:paraId="1C9F9CE3" w14:textId="77777777" w:rsidTr="0061776A">
        <w:trPr>
          <w:trHeight w:val="1162"/>
          <w:jc w:val="center"/>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645ECA8"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Ratio of variances/Correlation between alleles</w:t>
            </w:r>
          </w:p>
        </w:tc>
        <w:tc>
          <w:tcPr>
            <w:tcW w:w="2882" w:type="dxa"/>
            <w:tcBorders>
              <w:top w:val="single" w:sz="4" w:space="0" w:color="auto"/>
              <w:left w:val="nil"/>
              <w:bottom w:val="single" w:sz="4" w:space="0" w:color="auto"/>
              <w:right w:val="single" w:sz="4" w:space="0" w:color="auto"/>
            </w:tcBorders>
            <w:shd w:val="clear" w:color="auto" w:fill="auto"/>
            <w:noWrap/>
            <w:vAlign w:val="center"/>
            <w:hideMark/>
          </w:tcPr>
          <w:p w14:paraId="2394D096" w14:textId="77777777" w:rsidR="009226BE" w:rsidRDefault="009226BE" w:rsidP="0061776A">
            <w:pPr>
              <w:rPr>
                <w:rFonts w:ascii="Calibri" w:eastAsia="Times New Roman" w:hAnsi="Calibri"/>
                <w:color w:val="000000"/>
              </w:rPr>
            </w:pPr>
            <w:r>
              <w:rPr>
                <w:rFonts w:ascii="Calibri" w:eastAsia="Times New Roman" w:hAnsi="Calibri"/>
                <w:color w:val="000000"/>
              </w:rPr>
              <w:t>Wright 1949;</w:t>
            </w:r>
          </w:p>
          <w:p w14:paraId="1F12BF05" w14:textId="77777777" w:rsidR="009226BE" w:rsidRDefault="009226BE" w:rsidP="0061776A">
            <w:pPr>
              <w:rPr>
                <w:rFonts w:ascii="Calibri" w:eastAsia="Times New Roman" w:hAnsi="Calibri"/>
                <w:color w:val="000000"/>
              </w:rPr>
            </w:pPr>
            <w:r w:rsidRPr="00E0410A">
              <w:rPr>
                <w:rFonts w:ascii="Calibri" w:eastAsia="Times New Roman" w:hAnsi="Calibri"/>
                <w:color w:val="000000"/>
              </w:rPr>
              <w:t>Cockerham 1969</w:t>
            </w:r>
            <w:r>
              <w:rPr>
                <w:rFonts w:ascii="Calibri" w:eastAsia="Times New Roman" w:hAnsi="Calibri"/>
                <w:color w:val="000000"/>
              </w:rPr>
              <w:t>;</w:t>
            </w:r>
          </w:p>
          <w:p w14:paraId="2D36E2F5" w14:textId="77777777" w:rsidR="009226BE" w:rsidRPr="00E0410A" w:rsidRDefault="009226BE" w:rsidP="0061776A">
            <w:pPr>
              <w:rPr>
                <w:rFonts w:ascii="Calibri" w:eastAsia="Times New Roman" w:hAnsi="Calibri"/>
                <w:color w:val="000000"/>
              </w:rPr>
            </w:pPr>
            <w:r>
              <w:rPr>
                <w:rFonts w:ascii="Calibri" w:eastAsia="Times New Roman" w:hAnsi="Calibri"/>
                <w:color w:val="000000"/>
              </w:rPr>
              <w:t>Weir and Cockerham 1984</w:t>
            </w:r>
          </w:p>
          <w:p w14:paraId="2DAD9710" w14:textId="77777777" w:rsidR="009226BE" w:rsidRPr="00E0410A" w:rsidRDefault="009226BE" w:rsidP="0061776A">
            <w:pPr>
              <w:rPr>
                <w:rFonts w:ascii="Calibri" w:eastAsia="Times New Roman" w:hAnsi="Calibri"/>
                <w:color w:val="000000"/>
              </w:rPr>
            </w:pPr>
          </w:p>
        </w:tc>
        <w:tc>
          <w:tcPr>
            <w:tcW w:w="3661" w:type="dxa"/>
            <w:tcBorders>
              <w:top w:val="single" w:sz="4" w:space="0" w:color="auto"/>
              <w:left w:val="nil"/>
              <w:bottom w:val="single" w:sz="4" w:space="0" w:color="auto"/>
              <w:right w:val="single" w:sz="4" w:space="0" w:color="auto"/>
            </w:tcBorders>
            <w:shd w:val="clear" w:color="auto" w:fill="auto"/>
            <w:noWrap/>
            <w:vAlign w:val="center"/>
            <w:hideMark/>
          </w:tcPr>
          <w:p w14:paraId="77891448"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SNPs analyzed were polymorphic in the ancestral population</w:t>
            </w:r>
          </w:p>
          <w:p w14:paraId="60DBF555" w14:textId="77777777" w:rsidR="009226BE" w:rsidRPr="00E0410A" w:rsidRDefault="009226BE" w:rsidP="0061776A">
            <w:pPr>
              <w:rPr>
                <w:rFonts w:ascii="Calibri" w:eastAsia="Times New Roman" w:hAnsi="Calibri"/>
                <w:color w:val="000000"/>
              </w:rPr>
            </w:pPr>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14:paraId="715F9C5C" w14:textId="77777777" w:rsidR="009226BE" w:rsidRPr="00E0410A" w:rsidRDefault="009226BE" w:rsidP="0061776A">
            <w:pPr>
              <w:rPr>
                <w:rFonts w:ascii="Calibri" w:eastAsia="Times New Roman" w:hAnsi="Calibri"/>
                <w:color w:val="000000"/>
              </w:rPr>
            </w:pPr>
            <w:r w:rsidRPr="00023EA2">
              <w:rPr>
                <w:rFonts w:ascii="Calibri" w:eastAsia="Times New Roman" w:hAnsi="Calibri"/>
                <w:i/>
                <w:color w:val="000000"/>
              </w:rPr>
              <w:t>F</w:t>
            </w:r>
            <w:r w:rsidRPr="00023EA2">
              <w:rPr>
                <w:rFonts w:ascii="Calibri" w:eastAsia="Times New Roman" w:hAnsi="Calibri"/>
                <w:color w:val="000000"/>
                <w:vertAlign w:val="subscript"/>
              </w:rPr>
              <w:t>ST</w:t>
            </w:r>
            <w:r w:rsidRPr="00E0410A">
              <w:rPr>
                <w:rFonts w:ascii="Calibri" w:eastAsia="Times New Roman" w:hAnsi="Calibri"/>
                <w:color w:val="000000"/>
              </w:rPr>
              <w:t xml:space="preserve"> </w:t>
            </w:r>
            <w:r>
              <w:rPr>
                <w:rFonts w:ascii="Calibri" w:eastAsia="Times New Roman" w:hAnsi="Calibri"/>
                <w:color w:val="000000"/>
              </w:rPr>
              <w:t>is identical across populations OR E</w:t>
            </w:r>
            <w:r w:rsidRPr="00E0410A">
              <w:rPr>
                <w:rFonts w:ascii="Calibri" w:eastAsia="Times New Roman" w:hAnsi="Calibri"/>
                <w:color w:val="000000"/>
              </w:rPr>
              <w:t>qual sample sizes</w:t>
            </w:r>
            <w:r>
              <w:rPr>
                <w:rFonts w:ascii="Calibri" w:eastAsia="Times New Roman" w:hAnsi="Calibri"/>
                <w:color w:val="000000"/>
              </w:rPr>
              <w:t>*</w:t>
            </w:r>
          </w:p>
          <w:p w14:paraId="7BFE777E" w14:textId="77777777" w:rsidR="009226BE" w:rsidRPr="00E0410A" w:rsidRDefault="009226BE" w:rsidP="0061776A">
            <w:pPr>
              <w:rPr>
                <w:rFonts w:ascii="Calibri" w:eastAsia="Times New Roman" w:hAnsi="Calibri"/>
                <w:color w:val="000000"/>
              </w:rPr>
            </w:pP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6C3B2990" w14:textId="77777777" w:rsidR="009226BE" w:rsidRPr="00E0410A" w:rsidRDefault="009226BE" w:rsidP="0061776A">
            <w:pPr>
              <w:rPr>
                <w:rFonts w:ascii="Calibri" w:eastAsia="Times New Roman" w:hAnsi="Calibri"/>
                <w:color w:val="000000"/>
              </w:rPr>
            </w:pPr>
            <w:proofErr w:type="spellStart"/>
            <w:r w:rsidRPr="00E0410A">
              <w:rPr>
                <w:rFonts w:ascii="Calibri" w:eastAsia="Times New Roman" w:hAnsi="Calibri"/>
                <w:color w:val="000000"/>
              </w:rPr>
              <w:t>No</w:t>
            </w:r>
            <w:r w:rsidRPr="00414C83">
              <w:rPr>
                <w:rFonts w:ascii="Calibri" w:eastAsia="Times New Roman" w:hAnsi="Calibri"/>
                <w:color w:val="000000"/>
                <w:vertAlign w:val="superscript"/>
              </w:rPr>
              <w:t>c</w:t>
            </w:r>
            <w:proofErr w:type="spellEnd"/>
          </w:p>
          <w:p w14:paraId="34B65ED7" w14:textId="77777777" w:rsidR="009226BE" w:rsidRPr="00E0410A" w:rsidRDefault="009226BE" w:rsidP="0061776A">
            <w:pPr>
              <w:rPr>
                <w:rFonts w:ascii="Calibri" w:eastAsia="Times New Roman" w:hAnsi="Calibri"/>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3613CBD"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Yes</w:t>
            </w:r>
            <w:r>
              <w:rPr>
                <w:rFonts w:ascii="Calibri" w:eastAsia="Times New Roman" w:hAnsi="Calibri"/>
                <w:color w:val="000000"/>
              </w:rPr>
              <w:t>*</w:t>
            </w:r>
          </w:p>
          <w:p w14:paraId="5464084F" w14:textId="77777777" w:rsidR="009226BE" w:rsidRPr="00E0410A" w:rsidRDefault="009226BE" w:rsidP="0061776A">
            <w:pPr>
              <w:rPr>
                <w:rFonts w:ascii="Calibri" w:eastAsia="Times New Roman" w:hAnsi="Calibri"/>
                <w:color w:val="000000"/>
              </w:rPr>
            </w:pPr>
          </w:p>
        </w:tc>
      </w:tr>
      <w:tr w:rsidR="009226BE" w:rsidRPr="00E0410A" w14:paraId="53A77444" w14:textId="77777777" w:rsidTr="0061776A">
        <w:trPr>
          <w:trHeight w:val="300"/>
          <w:jc w:val="center"/>
        </w:trPr>
        <w:tc>
          <w:tcPr>
            <w:tcW w:w="3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52704E"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Ratio of gene diversity/heterozygosity</w:t>
            </w:r>
          </w:p>
        </w:tc>
        <w:tc>
          <w:tcPr>
            <w:tcW w:w="2882" w:type="dxa"/>
            <w:tcBorders>
              <w:top w:val="single" w:sz="4" w:space="0" w:color="auto"/>
              <w:left w:val="nil"/>
              <w:bottom w:val="single" w:sz="4" w:space="0" w:color="auto"/>
              <w:right w:val="single" w:sz="4" w:space="0" w:color="auto"/>
            </w:tcBorders>
            <w:shd w:val="clear" w:color="auto" w:fill="auto"/>
            <w:noWrap/>
            <w:vAlign w:val="center"/>
            <w:hideMark/>
          </w:tcPr>
          <w:p w14:paraId="1FAB30E3"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Nei 1973</w:t>
            </w:r>
            <w:r>
              <w:rPr>
                <w:rFonts w:ascii="Calibri" w:eastAsia="Times New Roman" w:hAnsi="Calibri"/>
                <w:color w:val="000000"/>
              </w:rPr>
              <w:t>; Nei 1986</w:t>
            </w:r>
          </w:p>
        </w:tc>
        <w:tc>
          <w:tcPr>
            <w:tcW w:w="3661" w:type="dxa"/>
            <w:tcBorders>
              <w:top w:val="single" w:sz="4" w:space="0" w:color="auto"/>
              <w:left w:val="nil"/>
              <w:bottom w:val="single" w:sz="4" w:space="0" w:color="auto"/>
              <w:right w:val="single" w:sz="4" w:space="0" w:color="auto"/>
            </w:tcBorders>
            <w:shd w:val="clear" w:color="auto" w:fill="auto"/>
            <w:noWrap/>
            <w:vAlign w:val="center"/>
            <w:hideMark/>
          </w:tcPr>
          <w:p w14:paraId="057F320F"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 </w:t>
            </w:r>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14:paraId="7BB028C3"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3018AD56"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Yes</w:t>
            </w:r>
            <w:r>
              <w:rPr>
                <w:rFonts w:ascii="Calibri" w:eastAsia="Times New Roman" w:hAnsi="Calibri"/>
                <w:color w:val="00000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DBE96AE"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r>
      <w:tr w:rsidR="009226BE" w:rsidRPr="00E0410A" w14:paraId="0CBD0E04" w14:textId="77777777" w:rsidTr="0061776A">
        <w:trPr>
          <w:trHeight w:val="300"/>
          <w:jc w:val="center"/>
        </w:trPr>
        <w:tc>
          <w:tcPr>
            <w:tcW w:w="3060" w:type="dxa"/>
            <w:vMerge/>
            <w:tcBorders>
              <w:top w:val="nil"/>
              <w:left w:val="single" w:sz="4" w:space="0" w:color="auto"/>
              <w:bottom w:val="single" w:sz="4" w:space="0" w:color="auto"/>
              <w:right w:val="single" w:sz="4" w:space="0" w:color="auto"/>
            </w:tcBorders>
            <w:vAlign w:val="center"/>
            <w:hideMark/>
          </w:tcPr>
          <w:p w14:paraId="5A24337C" w14:textId="77777777" w:rsidR="009226BE" w:rsidRPr="00E0410A" w:rsidRDefault="009226BE" w:rsidP="0061776A">
            <w:pPr>
              <w:rPr>
                <w:rFonts w:ascii="Calibri" w:eastAsia="Times New Roman" w:hAnsi="Calibri"/>
                <w:color w:val="000000"/>
              </w:rPr>
            </w:pPr>
          </w:p>
        </w:tc>
        <w:tc>
          <w:tcPr>
            <w:tcW w:w="2882" w:type="dxa"/>
            <w:tcBorders>
              <w:top w:val="nil"/>
              <w:left w:val="nil"/>
              <w:bottom w:val="single" w:sz="4" w:space="0" w:color="auto"/>
              <w:right w:val="single" w:sz="4" w:space="0" w:color="auto"/>
            </w:tcBorders>
            <w:shd w:val="clear" w:color="auto" w:fill="auto"/>
            <w:noWrap/>
            <w:vAlign w:val="center"/>
            <w:hideMark/>
          </w:tcPr>
          <w:p w14:paraId="39D813A2"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Hudson 1992</w:t>
            </w:r>
          </w:p>
        </w:tc>
        <w:tc>
          <w:tcPr>
            <w:tcW w:w="3661" w:type="dxa"/>
            <w:tcBorders>
              <w:top w:val="nil"/>
              <w:left w:val="nil"/>
              <w:bottom w:val="single" w:sz="4" w:space="0" w:color="auto"/>
              <w:right w:val="single" w:sz="4" w:space="0" w:color="auto"/>
            </w:tcBorders>
            <w:shd w:val="clear" w:color="auto" w:fill="auto"/>
            <w:noWrap/>
            <w:vAlign w:val="center"/>
            <w:hideMark/>
          </w:tcPr>
          <w:p w14:paraId="317603CC"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 </w:t>
            </w:r>
          </w:p>
        </w:tc>
        <w:tc>
          <w:tcPr>
            <w:tcW w:w="2907" w:type="dxa"/>
            <w:tcBorders>
              <w:top w:val="nil"/>
              <w:left w:val="nil"/>
              <w:bottom w:val="single" w:sz="4" w:space="0" w:color="auto"/>
              <w:right w:val="single" w:sz="4" w:space="0" w:color="auto"/>
            </w:tcBorders>
            <w:shd w:val="clear" w:color="auto" w:fill="auto"/>
            <w:noWrap/>
            <w:vAlign w:val="bottom"/>
            <w:hideMark/>
          </w:tcPr>
          <w:p w14:paraId="177C69B3"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Only if equal sample sizes</w:t>
            </w:r>
            <w:r>
              <w:rPr>
                <w:rFonts w:ascii="Calibri" w:eastAsia="Times New Roman" w:hAnsi="Calibri"/>
                <w:color w:val="000000"/>
              </w:rPr>
              <w:t>*</w:t>
            </w:r>
          </w:p>
        </w:tc>
        <w:tc>
          <w:tcPr>
            <w:tcW w:w="666" w:type="dxa"/>
            <w:tcBorders>
              <w:top w:val="nil"/>
              <w:left w:val="nil"/>
              <w:bottom w:val="single" w:sz="4" w:space="0" w:color="auto"/>
              <w:right w:val="single" w:sz="4" w:space="0" w:color="auto"/>
            </w:tcBorders>
            <w:shd w:val="clear" w:color="auto" w:fill="auto"/>
            <w:noWrap/>
            <w:vAlign w:val="bottom"/>
            <w:hideMark/>
          </w:tcPr>
          <w:p w14:paraId="1AEFC189"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c>
          <w:tcPr>
            <w:tcW w:w="990" w:type="dxa"/>
            <w:tcBorders>
              <w:top w:val="nil"/>
              <w:left w:val="nil"/>
              <w:bottom w:val="single" w:sz="4" w:space="0" w:color="auto"/>
              <w:right w:val="single" w:sz="4" w:space="0" w:color="auto"/>
            </w:tcBorders>
            <w:shd w:val="clear" w:color="auto" w:fill="auto"/>
            <w:noWrap/>
            <w:vAlign w:val="bottom"/>
            <w:hideMark/>
          </w:tcPr>
          <w:p w14:paraId="7AE05F83"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Yes</w:t>
            </w:r>
            <w:r>
              <w:rPr>
                <w:rFonts w:ascii="Calibri" w:eastAsia="Times New Roman" w:hAnsi="Calibri"/>
                <w:color w:val="000000"/>
              </w:rPr>
              <w:t>*</w:t>
            </w:r>
          </w:p>
        </w:tc>
      </w:tr>
      <w:tr w:rsidR="009226BE" w:rsidRPr="00E0410A" w14:paraId="08128ECC" w14:textId="77777777" w:rsidTr="0061776A">
        <w:trPr>
          <w:trHeight w:val="320"/>
          <w:jc w:val="center"/>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BCF78CF"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 xml:space="preserve">Ratio of coalescent </w:t>
            </w:r>
            <w:proofErr w:type="spellStart"/>
            <w:r w:rsidRPr="00E0410A">
              <w:rPr>
                <w:rFonts w:ascii="Calibri" w:eastAsia="Times New Roman" w:hAnsi="Calibri"/>
                <w:color w:val="000000"/>
              </w:rPr>
              <w:t>times</w:t>
            </w:r>
            <w:r w:rsidRPr="00E0410A">
              <w:rPr>
                <w:rFonts w:ascii="Calibri" w:eastAsia="Times New Roman" w:hAnsi="Calibri"/>
                <w:color w:val="000000"/>
                <w:vertAlign w:val="superscript"/>
              </w:rPr>
              <w:t>a</w:t>
            </w:r>
            <w:proofErr w:type="spellEnd"/>
          </w:p>
        </w:tc>
        <w:tc>
          <w:tcPr>
            <w:tcW w:w="2882" w:type="dxa"/>
            <w:tcBorders>
              <w:top w:val="nil"/>
              <w:left w:val="nil"/>
              <w:bottom w:val="single" w:sz="4" w:space="0" w:color="auto"/>
              <w:right w:val="single" w:sz="4" w:space="0" w:color="auto"/>
            </w:tcBorders>
            <w:shd w:val="clear" w:color="auto" w:fill="auto"/>
            <w:noWrap/>
            <w:vAlign w:val="center"/>
            <w:hideMark/>
          </w:tcPr>
          <w:p w14:paraId="715A705E"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Slatkin 1991</w:t>
            </w:r>
          </w:p>
        </w:tc>
        <w:tc>
          <w:tcPr>
            <w:tcW w:w="3661" w:type="dxa"/>
            <w:tcBorders>
              <w:top w:val="nil"/>
              <w:left w:val="nil"/>
              <w:bottom w:val="single" w:sz="4" w:space="0" w:color="auto"/>
              <w:right w:val="single" w:sz="4" w:space="0" w:color="auto"/>
            </w:tcBorders>
            <w:shd w:val="clear" w:color="auto" w:fill="auto"/>
            <w:noWrap/>
            <w:vAlign w:val="center"/>
            <w:hideMark/>
          </w:tcPr>
          <w:p w14:paraId="3595B7D1"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SNPs analyzed were polymorphic in the ancestral population</w:t>
            </w:r>
          </w:p>
        </w:tc>
        <w:tc>
          <w:tcPr>
            <w:tcW w:w="2907" w:type="dxa"/>
            <w:tcBorders>
              <w:top w:val="nil"/>
              <w:left w:val="nil"/>
              <w:bottom w:val="single" w:sz="4" w:space="0" w:color="auto"/>
              <w:right w:val="single" w:sz="4" w:space="0" w:color="auto"/>
            </w:tcBorders>
            <w:shd w:val="clear" w:color="auto" w:fill="auto"/>
            <w:noWrap/>
            <w:vAlign w:val="bottom"/>
            <w:hideMark/>
          </w:tcPr>
          <w:p w14:paraId="4BB99588"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c>
          <w:tcPr>
            <w:tcW w:w="666" w:type="dxa"/>
            <w:tcBorders>
              <w:top w:val="nil"/>
              <w:left w:val="nil"/>
              <w:bottom w:val="single" w:sz="4" w:space="0" w:color="auto"/>
              <w:right w:val="single" w:sz="4" w:space="0" w:color="auto"/>
            </w:tcBorders>
            <w:shd w:val="clear" w:color="auto" w:fill="auto"/>
            <w:noWrap/>
            <w:vAlign w:val="bottom"/>
            <w:hideMark/>
          </w:tcPr>
          <w:p w14:paraId="29AA5C9F" w14:textId="77777777" w:rsidR="009226BE" w:rsidRPr="00E0410A" w:rsidRDefault="009226BE" w:rsidP="0061776A">
            <w:pPr>
              <w:rPr>
                <w:rFonts w:ascii="Calibri" w:eastAsia="Times New Roman" w:hAnsi="Calibri"/>
                <w:color w:val="000000"/>
              </w:rPr>
            </w:pPr>
            <w:r>
              <w:rPr>
                <w:rFonts w:ascii="Calibri" w:eastAsia="Times New Roman" w:hAnsi="Calibri"/>
                <w:color w:val="000000"/>
              </w:rPr>
              <w:t>No</w:t>
            </w:r>
          </w:p>
        </w:tc>
        <w:tc>
          <w:tcPr>
            <w:tcW w:w="990" w:type="dxa"/>
            <w:tcBorders>
              <w:top w:val="nil"/>
              <w:left w:val="nil"/>
              <w:bottom w:val="single" w:sz="4" w:space="0" w:color="auto"/>
              <w:right w:val="single" w:sz="4" w:space="0" w:color="auto"/>
            </w:tcBorders>
            <w:shd w:val="clear" w:color="auto" w:fill="auto"/>
            <w:noWrap/>
            <w:vAlign w:val="bottom"/>
            <w:hideMark/>
          </w:tcPr>
          <w:p w14:paraId="07B00DEA"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r>
      <w:tr w:rsidR="009226BE" w:rsidRPr="00E0410A" w14:paraId="3B7BAAB5" w14:textId="77777777" w:rsidTr="0061776A">
        <w:trPr>
          <w:trHeight w:val="300"/>
          <w:jc w:val="center"/>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AFCD1D8"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Transform of Divergence Time</w:t>
            </w:r>
          </w:p>
        </w:tc>
        <w:tc>
          <w:tcPr>
            <w:tcW w:w="2882" w:type="dxa"/>
            <w:tcBorders>
              <w:top w:val="nil"/>
              <w:left w:val="nil"/>
              <w:bottom w:val="single" w:sz="4" w:space="0" w:color="auto"/>
              <w:right w:val="single" w:sz="4" w:space="0" w:color="auto"/>
            </w:tcBorders>
            <w:shd w:val="clear" w:color="auto" w:fill="auto"/>
            <w:noWrap/>
            <w:vAlign w:val="center"/>
            <w:hideMark/>
          </w:tcPr>
          <w:p w14:paraId="600B2BFA" w14:textId="77777777" w:rsidR="009226BE" w:rsidRDefault="009226BE" w:rsidP="0061776A">
            <w:pPr>
              <w:rPr>
                <w:rFonts w:ascii="Calibri" w:eastAsia="Times New Roman" w:hAnsi="Calibri"/>
                <w:color w:val="000000"/>
              </w:rPr>
            </w:pPr>
            <w:r w:rsidRPr="00E0410A">
              <w:rPr>
                <w:rFonts w:ascii="Calibri" w:eastAsia="Times New Roman" w:hAnsi="Calibri"/>
                <w:color w:val="000000"/>
              </w:rPr>
              <w:t>Cavalli-Sforza and Bodmer 1971</w:t>
            </w:r>
            <w:r>
              <w:rPr>
                <w:rFonts w:ascii="Calibri" w:eastAsia="Times New Roman" w:hAnsi="Calibri"/>
                <w:color w:val="000000"/>
              </w:rPr>
              <w:t>;</w:t>
            </w:r>
          </w:p>
          <w:p w14:paraId="27A2EDDD" w14:textId="77777777" w:rsidR="009226BE" w:rsidRPr="00E0410A" w:rsidRDefault="009226BE" w:rsidP="0061776A">
            <w:pPr>
              <w:rPr>
                <w:rFonts w:ascii="Calibri" w:eastAsia="Times New Roman" w:hAnsi="Calibri"/>
                <w:color w:val="000000"/>
              </w:rPr>
            </w:pPr>
            <w:r>
              <w:rPr>
                <w:rFonts w:ascii="Calibri" w:eastAsia="Times New Roman" w:hAnsi="Calibri"/>
                <w:color w:val="000000"/>
              </w:rPr>
              <w:t>Weir and Hill 2002</w:t>
            </w:r>
          </w:p>
        </w:tc>
        <w:tc>
          <w:tcPr>
            <w:tcW w:w="3661" w:type="dxa"/>
            <w:tcBorders>
              <w:top w:val="nil"/>
              <w:left w:val="nil"/>
              <w:bottom w:val="single" w:sz="4" w:space="0" w:color="auto"/>
              <w:right w:val="single" w:sz="4" w:space="0" w:color="auto"/>
            </w:tcBorders>
            <w:shd w:val="clear" w:color="auto" w:fill="auto"/>
            <w:noWrap/>
            <w:vAlign w:val="center"/>
            <w:hideMark/>
          </w:tcPr>
          <w:p w14:paraId="308BFB2C"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SNPs analyzed were polymorphic in the ancestral population; No migration or admixture</w:t>
            </w:r>
          </w:p>
        </w:tc>
        <w:tc>
          <w:tcPr>
            <w:tcW w:w="2907" w:type="dxa"/>
            <w:tcBorders>
              <w:top w:val="nil"/>
              <w:left w:val="nil"/>
              <w:bottom w:val="single" w:sz="4" w:space="0" w:color="auto"/>
              <w:right w:val="single" w:sz="4" w:space="0" w:color="auto"/>
            </w:tcBorders>
            <w:shd w:val="clear" w:color="auto" w:fill="auto"/>
            <w:noWrap/>
            <w:vAlign w:val="bottom"/>
            <w:hideMark/>
          </w:tcPr>
          <w:p w14:paraId="052F9031"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Only if equal sample sizes</w:t>
            </w:r>
            <w:r>
              <w:rPr>
                <w:rFonts w:ascii="Calibri" w:eastAsia="Times New Roman" w:hAnsi="Calibri"/>
                <w:color w:val="000000"/>
              </w:rPr>
              <w:t>*</w:t>
            </w:r>
          </w:p>
        </w:tc>
        <w:tc>
          <w:tcPr>
            <w:tcW w:w="666" w:type="dxa"/>
            <w:tcBorders>
              <w:top w:val="nil"/>
              <w:left w:val="nil"/>
              <w:bottom w:val="single" w:sz="4" w:space="0" w:color="auto"/>
              <w:right w:val="single" w:sz="4" w:space="0" w:color="auto"/>
            </w:tcBorders>
            <w:shd w:val="clear" w:color="auto" w:fill="auto"/>
            <w:noWrap/>
            <w:vAlign w:val="bottom"/>
            <w:hideMark/>
          </w:tcPr>
          <w:p w14:paraId="0CBB6D0A"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c>
          <w:tcPr>
            <w:tcW w:w="990" w:type="dxa"/>
            <w:tcBorders>
              <w:top w:val="nil"/>
              <w:left w:val="nil"/>
              <w:bottom w:val="single" w:sz="4" w:space="0" w:color="auto"/>
              <w:right w:val="single" w:sz="4" w:space="0" w:color="auto"/>
            </w:tcBorders>
            <w:shd w:val="clear" w:color="auto" w:fill="auto"/>
            <w:noWrap/>
            <w:vAlign w:val="bottom"/>
            <w:hideMark/>
          </w:tcPr>
          <w:p w14:paraId="0D52C5D1"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Yes</w:t>
            </w:r>
            <w:r>
              <w:rPr>
                <w:rFonts w:ascii="Calibri" w:eastAsia="Times New Roman" w:hAnsi="Calibri"/>
                <w:color w:val="000000"/>
              </w:rPr>
              <w:t>*</w:t>
            </w:r>
          </w:p>
        </w:tc>
      </w:tr>
      <w:tr w:rsidR="009226BE" w:rsidRPr="00E0410A" w14:paraId="06955B05" w14:textId="77777777" w:rsidTr="0061776A">
        <w:trPr>
          <w:trHeight w:val="320"/>
          <w:jc w:val="center"/>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250BC0C"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Tran</w:t>
            </w:r>
            <w:r>
              <w:rPr>
                <w:rFonts w:ascii="Calibri" w:eastAsia="Times New Roman" w:hAnsi="Calibri"/>
                <w:color w:val="000000"/>
              </w:rPr>
              <w:t>s</w:t>
            </w:r>
            <w:r w:rsidRPr="00E0410A">
              <w:rPr>
                <w:rFonts w:ascii="Calibri" w:eastAsia="Times New Roman" w:hAnsi="Calibri"/>
                <w:color w:val="000000"/>
              </w:rPr>
              <w:t>form of Migration Rate</w:t>
            </w:r>
          </w:p>
        </w:tc>
        <w:tc>
          <w:tcPr>
            <w:tcW w:w="2882" w:type="dxa"/>
            <w:tcBorders>
              <w:top w:val="nil"/>
              <w:left w:val="nil"/>
              <w:bottom w:val="single" w:sz="4" w:space="0" w:color="auto"/>
              <w:right w:val="single" w:sz="4" w:space="0" w:color="auto"/>
            </w:tcBorders>
            <w:shd w:val="clear" w:color="auto" w:fill="auto"/>
            <w:noWrap/>
            <w:vAlign w:val="center"/>
            <w:hideMark/>
          </w:tcPr>
          <w:p w14:paraId="3E4AC71D"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Wright 1949</w:t>
            </w:r>
          </w:p>
        </w:tc>
        <w:tc>
          <w:tcPr>
            <w:tcW w:w="3661" w:type="dxa"/>
            <w:tcBorders>
              <w:top w:val="nil"/>
              <w:left w:val="nil"/>
              <w:bottom w:val="single" w:sz="4" w:space="0" w:color="auto"/>
              <w:right w:val="single" w:sz="4" w:space="0" w:color="auto"/>
            </w:tcBorders>
            <w:shd w:val="clear" w:color="auto" w:fill="auto"/>
            <w:noWrap/>
            <w:vAlign w:val="center"/>
            <w:hideMark/>
          </w:tcPr>
          <w:p w14:paraId="55C58A90"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 xml:space="preserve">Finite Island </w:t>
            </w:r>
            <w:proofErr w:type="spellStart"/>
            <w:r w:rsidRPr="00E0410A">
              <w:rPr>
                <w:rFonts w:ascii="Calibri" w:eastAsia="Times New Roman" w:hAnsi="Calibri"/>
                <w:color w:val="000000"/>
              </w:rPr>
              <w:t>Model</w:t>
            </w:r>
            <w:r w:rsidRPr="00023EA2">
              <w:rPr>
                <w:rFonts w:ascii="Calibri" w:eastAsia="Times New Roman" w:hAnsi="Calibri"/>
                <w:color w:val="000000"/>
                <w:vertAlign w:val="superscript"/>
              </w:rPr>
              <w:t>b</w:t>
            </w:r>
            <w:proofErr w:type="spellEnd"/>
          </w:p>
        </w:tc>
        <w:tc>
          <w:tcPr>
            <w:tcW w:w="2907" w:type="dxa"/>
            <w:tcBorders>
              <w:top w:val="nil"/>
              <w:left w:val="nil"/>
              <w:bottom w:val="single" w:sz="4" w:space="0" w:color="auto"/>
              <w:right w:val="single" w:sz="4" w:space="0" w:color="auto"/>
            </w:tcBorders>
            <w:shd w:val="clear" w:color="auto" w:fill="auto"/>
            <w:noWrap/>
            <w:vAlign w:val="bottom"/>
            <w:hideMark/>
          </w:tcPr>
          <w:p w14:paraId="166186CA"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Yes</w:t>
            </w:r>
            <w:r>
              <w:rPr>
                <w:rFonts w:ascii="Calibri" w:eastAsia="Times New Roman" w:hAnsi="Calibri"/>
                <w:color w:val="000000"/>
              </w:rPr>
              <w:t>*</w:t>
            </w:r>
          </w:p>
        </w:tc>
        <w:tc>
          <w:tcPr>
            <w:tcW w:w="666" w:type="dxa"/>
            <w:tcBorders>
              <w:top w:val="nil"/>
              <w:left w:val="nil"/>
              <w:bottom w:val="single" w:sz="4" w:space="0" w:color="auto"/>
              <w:right w:val="single" w:sz="4" w:space="0" w:color="auto"/>
            </w:tcBorders>
            <w:shd w:val="clear" w:color="auto" w:fill="auto"/>
            <w:noWrap/>
            <w:vAlign w:val="bottom"/>
            <w:hideMark/>
          </w:tcPr>
          <w:p w14:paraId="367CAA02"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c>
          <w:tcPr>
            <w:tcW w:w="990" w:type="dxa"/>
            <w:tcBorders>
              <w:top w:val="nil"/>
              <w:left w:val="nil"/>
              <w:bottom w:val="single" w:sz="4" w:space="0" w:color="auto"/>
              <w:right w:val="single" w:sz="4" w:space="0" w:color="auto"/>
            </w:tcBorders>
            <w:shd w:val="clear" w:color="auto" w:fill="auto"/>
            <w:noWrap/>
            <w:vAlign w:val="bottom"/>
            <w:hideMark/>
          </w:tcPr>
          <w:p w14:paraId="6792D229" w14:textId="77777777" w:rsidR="009226BE" w:rsidRPr="00E0410A" w:rsidRDefault="009226BE" w:rsidP="0061776A">
            <w:pPr>
              <w:rPr>
                <w:rFonts w:ascii="Calibri" w:eastAsia="Times New Roman" w:hAnsi="Calibri"/>
                <w:color w:val="000000"/>
              </w:rPr>
            </w:pPr>
            <w:r w:rsidRPr="00E0410A">
              <w:rPr>
                <w:rFonts w:ascii="Calibri" w:eastAsia="Times New Roman" w:hAnsi="Calibri"/>
                <w:color w:val="000000"/>
              </w:rPr>
              <w:t>No</w:t>
            </w:r>
          </w:p>
        </w:tc>
      </w:tr>
    </w:tbl>
    <w:p w14:paraId="2AD1866A" w14:textId="77777777" w:rsidR="009226BE" w:rsidRPr="00443CDD" w:rsidRDefault="009226BE" w:rsidP="009226BE">
      <w:pPr>
        <w:rPr>
          <w:sz w:val="20"/>
          <w:szCs w:val="20"/>
        </w:rPr>
      </w:pPr>
      <w:r w:rsidRPr="00443CDD">
        <w:rPr>
          <w:sz w:val="20"/>
          <w:szCs w:val="20"/>
        </w:rPr>
        <w:t xml:space="preserve">* This correspondence is valid subject to the evolutionary assumptions that underlie the conceptual definition. For example, if SNPs analyzed are not polymorphic in the ancestral population, then estimates produced using the </w:t>
      </w:r>
      <w:r>
        <w:rPr>
          <w:sz w:val="20"/>
          <w:szCs w:val="20"/>
        </w:rPr>
        <w:t>WC</w:t>
      </w:r>
      <w:r w:rsidRPr="00443CDD">
        <w:rPr>
          <w:sz w:val="20"/>
          <w:szCs w:val="20"/>
        </w:rPr>
        <w:t xml:space="preserve"> estimator </w:t>
      </w:r>
      <w:r w:rsidRPr="00443CDD">
        <w:rPr>
          <w:i/>
          <w:sz w:val="20"/>
          <w:szCs w:val="20"/>
        </w:rPr>
        <w:t>will not</w:t>
      </w:r>
      <w:r w:rsidRPr="00443CDD">
        <w:rPr>
          <w:sz w:val="20"/>
          <w:szCs w:val="20"/>
        </w:rPr>
        <w:t xml:space="preserve"> be the correlation that </w:t>
      </w:r>
      <w:r w:rsidR="00862942">
        <w:rPr>
          <w:sz w:val="20"/>
          <w:szCs w:val="20"/>
        </w:rPr>
        <w:fldChar w:fldCharType="begin"/>
      </w:r>
      <w:r w:rsidR="00D73545">
        <w:rPr>
          <w:sz w:val="20"/>
          <w:szCs w:val="20"/>
        </w:rPr>
        <w:instrText xml:space="preserve"> ADDIN PAPERS2_CITATIONS &lt;citation&gt;&lt;uuid&gt;87FE71B5-5E24-4BDC-A372-1C27B3B27514&lt;/uuid&gt;&lt;priority&gt;43&lt;/priority&gt;&lt;publications&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gt;&lt;uuid&gt;A280A9AF-E4C3-4607-9716-B36C06FDFA2C&lt;/uuid&gt;&lt;volume&gt;15&lt;/volume&gt;&lt;doi&gt;10.1111/j.1469-1809.1949.tb02451.x&lt;/doi&gt;&lt;startpage&gt;323&lt;/startpage&gt;&lt;publication_date&gt;99194900001200000000200000&lt;/publication_date&gt;&lt;url&gt;http://dx.doi.org/10.1111/j.1469-1809.1949.tb02451.x&lt;/url&gt;&lt;type&gt;400&lt;/type&gt;&lt;title&gt;THE GENETICAL STRUCTURE OF POPULATIONS&lt;/title&gt;&lt;publisher&gt;Blackwell Publishing Ltd&lt;/publisher&gt;&lt;number&gt;1&lt;/number&gt;&lt;subtype&gt;400&lt;/subtype&gt;&lt;endpage&gt;354&lt;/endpage&gt;&lt;bundle&gt;&lt;publication&gt;&lt;title&gt;Annals of Human Genetics&lt;/title&gt;&lt;type&gt;-100&lt;/type&gt;&lt;subtype&gt;-100&lt;/subtype&gt;&lt;uuid&gt;16BFC9C9-094F-4CDA-83B4-0163DB38945B&lt;/uuid&gt;&lt;/publication&gt;&lt;/bundle&gt;&lt;authors&gt;&lt;author&gt;&lt;firstName&gt;Sewall&lt;/firstName&gt;&lt;lastName&gt;Wright&lt;/lastName&gt;&lt;/author&gt;&lt;/authors&gt;&lt;/publication&gt;&lt;publication&gt;&lt;uuid&gt;A2BD23DB-7408-46CB-8B36-215702E5C9CC&lt;/uuid&gt;&lt;volume&gt;23&lt;/volume&gt;&lt;startpage&gt;72&lt;/startpage&gt;&lt;publication_date&gt;99196901011200000000222000&lt;/publication_date&gt;&lt;url&gt;http://www.jstor.org/stable/2406485&lt;/url&gt;&lt;citekey&gt;RefWorks:84&lt;/citekey&gt;&lt;type&gt;400&lt;/type&gt;&lt;title&gt;Variance of Gene Frequencies&lt;/title&gt;&lt;publisher&gt;Society for the Study of Evolution&lt;/publisher&gt;&lt;number&gt;1&lt;/number&gt;&lt;subtype&gt;400&lt;/subtype&gt;&lt;endpage&gt;84&lt;/endpage&gt;&lt;bundle&gt;&lt;publication&gt;&lt;title&gt;Evolution&lt;/title&gt;&lt;type&gt;-100&lt;/type&gt;&lt;subtype&gt;-100&lt;/subtype&gt;&lt;uuid&gt;F0EB598F-EE85-4B9D-B7A6-554C3D5205C2&lt;/uuid&gt;&lt;/publication&gt;&lt;/bundle&gt;&lt;authors&gt;&lt;author&gt;&lt;firstName&gt;C&lt;/firstName&gt;&lt;middleNames&gt;Clark&lt;/middleNames&gt;&lt;lastName&gt;Cockerham&lt;/lastName&gt;&lt;/author&gt;&lt;/authors&gt;&lt;/publication&gt;&lt;/publications&gt;&lt;cites&gt;&lt;/cites&gt;&lt;/citation&gt;</w:instrText>
      </w:r>
      <w:r w:rsidR="00862942">
        <w:rPr>
          <w:sz w:val="20"/>
          <w:szCs w:val="20"/>
        </w:rPr>
        <w:fldChar w:fldCharType="separate"/>
      </w:r>
      <w:r w:rsidR="00D73545">
        <w:rPr>
          <w:rFonts w:cs="Cambria"/>
          <w:sz w:val="20"/>
          <w:szCs w:val="20"/>
        </w:rPr>
        <w:t>(Nei 1986; Wright 1949; Cockerham 1969)</w:t>
      </w:r>
      <w:r w:rsidR="00862942">
        <w:rPr>
          <w:sz w:val="20"/>
          <w:szCs w:val="20"/>
        </w:rPr>
        <w:fldChar w:fldCharType="end"/>
      </w:r>
      <w:r>
        <w:rPr>
          <w:sz w:val="20"/>
          <w:szCs w:val="20"/>
        </w:rPr>
        <w:t xml:space="preserve"> </w:t>
      </w:r>
      <w:r w:rsidRPr="00443CDD">
        <w:rPr>
          <w:sz w:val="20"/>
          <w:szCs w:val="20"/>
        </w:rPr>
        <w:t>described.</w:t>
      </w:r>
    </w:p>
    <w:p w14:paraId="431E61CE" w14:textId="77777777" w:rsidR="009226BE" w:rsidRDefault="003A2591" w:rsidP="009226BE">
      <w:pPr>
        <w:sectPr w:rsidR="009226BE" w:rsidSect="00672606">
          <w:pgSz w:w="15840" w:h="12240" w:orient="landscape"/>
          <w:pgMar w:top="1440" w:right="1440" w:bottom="1800" w:left="1440" w:header="720" w:footer="720" w:gutter="0"/>
          <w:cols w:space="720"/>
          <w:docGrid w:linePitch="360"/>
        </w:sectPr>
      </w:pPr>
      <w:r>
        <w:t>Table S2</w:t>
      </w:r>
      <w:r w:rsidR="009226BE">
        <w:t xml:space="preserve">. </w:t>
      </w:r>
      <w:r w:rsidR="009226BE" w:rsidRPr="0072765D">
        <w:t xml:space="preserve">We describe five conceptual definitions of </w:t>
      </w:r>
      <w:r w:rsidR="009226BE" w:rsidRPr="0072765D">
        <w:rPr>
          <w:i/>
        </w:rPr>
        <w:t>F</w:t>
      </w:r>
      <w:r w:rsidR="009226BE" w:rsidRPr="0072765D">
        <w:rPr>
          <w:vertAlign w:val="subscript"/>
        </w:rPr>
        <w:t>ST</w:t>
      </w:r>
      <w:r w:rsidR="009226BE" w:rsidRPr="0072765D">
        <w:t xml:space="preserve"> and their correspondence with the three </w:t>
      </w:r>
      <w:r w:rsidR="009226BE">
        <w:t xml:space="preserve">moment-based </w:t>
      </w:r>
      <w:r w:rsidR="009226BE" w:rsidRPr="0072765D">
        <w:t xml:space="preserve">estimators studied. This correspondence depends upon a series of assumptions about evolutionary history and sampling that may or may not hold in application to real data. </w:t>
      </w:r>
      <w:r w:rsidR="009226BE">
        <w:t xml:space="preserve">The “Evolutionary Assumptions” are assumptions that must hold for any estimator to correspond to that conceptual definition. The columns labeled “WC”, “Nei” and “Hudson” contain a Yes, No, or “Only if equal sample sizes” for each conceptual definition. This indicates if the estimator and definition correspond, or if sample sizes must be equal for a correspondence. </w:t>
      </w:r>
      <w:r w:rsidR="009226BE" w:rsidRPr="0072765D">
        <w:t xml:space="preserve">(a) We note that Slatkin’s conceptual definition of </w:t>
      </w:r>
      <w:r w:rsidR="009226BE" w:rsidRPr="0072765D">
        <w:rPr>
          <w:i/>
        </w:rPr>
        <w:t>F</w:t>
      </w:r>
      <w:r w:rsidR="009226BE" w:rsidRPr="0072765D">
        <w:rPr>
          <w:vertAlign w:val="subscript"/>
        </w:rPr>
        <w:t xml:space="preserve">ST </w:t>
      </w:r>
      <w:r w:rsidR="009226BE" w:rsidRPr="0072765D">
        <w:t xml:space="preserve">corresponds to Nei’s original estimator of </w:t>
      </w:r>
      <w:r w:rsidR="009226BE" w:rsidRPr="0072765D">
        <w:rPr>
          <w:i/>
        </w:rPr>
        <w:t>F</w:t>
      </w:r>
      <w:r w:rsidR="009226BE" w:rsidRPr="0072765D">
        <w:rPr>
          <w:vertAlign w:val="subscript"/>
        </w:rPr>
        <w:t>ST</w:t>
      </w:r>
      <w:r w:rsidR="009226BE">
        <w:t xml:space="preserve"> </w:t>
      </w:r>
      <w:r w:rsidR="00862942">
        <w:fldChar w:fldCharType="begin"/>
      </w:r>
      <w:r w:rsidR="00D73545">
        <w:instrText xml:space="preserve"> ADDIN PAPERS2_CITATIONS &lt;citation&gt;&lt;uuid&gt;D3F8D4D4-C241-4EE6-A038-AAC756D3449A&lt;/uuid&gt;&lt;priority&gt;44&lt;/priority&gt;&lt;publications&gt;&lt;publication&gt;&lt;uuid&gt;AEE2B738-6911-45BE-B64D-41E75DCCCCB1&lt;/uuid&gt;&lt;volume&gt;5&lt;/volume&gt;&lt;accepted_date&gt;99200905051200000000222000&lt;/accepted_date&gt;&lt;doi&gt;10.1371/journal.pgen.1000505&lt;/doi&gt;&lt;startpage&gt;e1000505&lt;/startpage&gt;&lt;publication_date&gt;99200906001200000000220000&lt;/publication_date&gt;&lt;url&gt;http://eutils.ncbi.nlm.nih.gov/entrez/eutils/elink.fcgi?dbfrom=pubmed&amp;amp;id=19503599&amp;amp;retmode=ref&amp;amp;cmd=prlinks&lt;/url&gt;&lt;citekey&gt;RefWorks:22&lt;/citekey&gt;&lt;type&gt;400&lt;/type&gt;&lt;title&gt;The impact of divergence time on the nature of population structure: an example from Iceland.&lt;/title&gt;&lt;location&gt;200,9,42.3353558,-71.1027118&lt;/location&gt;&lt;submission_date&gt;99200812041200000000222000&lt;/submission_date&gt;&lt;number&gt;6&lt;/number&gt;&lt;institution&gt;Department of Epidemiology, Harvard School of Public Health, Boston, MA, USA. aprice@hsph.harvard.edu&lt;/institution&gt;&lt;subtype&gt;400&lt;/subtype&gt;&lt;bundle&gt;&lt;publication&gt;&lt;title&gt;PLoS Genet&lt;/title&gt;&lt;type&gt;-100&lt;/type&gt;&lt;subtype&gt;-100&lt;/subtype&gt;&lt;uuid&gt;93622753-9CE2-4560-AB34-0DC988E3797B&lt;/uuid&gt;&lt;/publication&gt;&lt;/bundle&gt;&lt;authors&gt;&lt;author&gt;&lt;firstName&gt;Alkes&lt;/firstName&gt;&lt;middleNames&gt;L&lt;/middleNames&gt;&lt;lastName&gt;Price&lt;/lastName&gt;&lt;/author&gt;&lt;author&gt;&lt;firstName&gt;Agnar&lt;/firstName&gt;&lt;lastName&gt;Helgason&lt;/lastName&gt;&lt;/author&gt;&lt;author&gt;&lt;firstName&gt;Snaebjorn&lt;/firstName&gt;&lt;lastName&gt;Palsson&lt;/lastName&gt;&lt;/author&gt;&lt;author&gt;&lt;firstName&gt;Hreinn&lt;/firstName&gt;&lt;lastName&gt;Stefansson&lt;/lastName&gt;&lt;/author&gt;&lt;author&gt;&lt;firstName&gt;David&lt;/firstName&gt;&lt;lastName&gt;St Clair&lt;/lastName&gt;&lt;/author&gt;&lt;author&gt;&lt;firstName&gt;Ole&lt;/firstName&gt;&lt;middleNames&gt;A&lt;/middleNames&gt;&lt;lastName&gt;Andreassen&lt;/lastName&gt;&lt;/author&gt;&lt;author&gt;&lt;firstName&gt;David&lt;/firstName&gt;&lt;lastName&gt;Reich&lt;/lastName&gt;&lt;/author&gt;&lt;author&gt;&lt;firstName&gt;Augustine&lt;/firstName&gt;&lt;lastName&gt;Kong&lt;/lastName&gt;&lt;/author&gt;&lt;author&gt;&lt;firstName&gt;Kari&lt;/firstName&gt;&lt;lastName&gt;Stefansson&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B73D21D6-CD82-4D1E-8E04-529B46DD7932&lt;/uuid&gt;&lt;volume&gt;89&lt;/volume&gt;&lt;accepted_date&gt;99201107291200000000222000&lt;/accepted_date&gt;&lt;doi&gt;10.1016/j.ajhg.2011.07.025&lt;/doi&gt;&lt;startpage&gt;368&lt;/startpage&gt;&lt;revision_date&gt;99201107181200000000222000&lt;/revision_date&gt;&lt;publication_date&gt;99201109091200000000222000&lt;/publication_date&gt;&lt;url&gt;http://eutils.ncbi.nlm.nih.gov/entrez/eutils/elink.fcgi?dbfrom=pubmed&amp;amp;id=21907010&amp;amp;retmode=ref&amp;amp;cmd=prlinks&lt;/url&gt;&lt;citekey&gt;RefWorks:91&lt;/citekey&gt;&lt;type&gt;400&lt;/type&gt;&lt;title&gt;Genome-wide comparison of African-ancestry populations from CARe and other cohorts reveals signals of natural selection.&lt;/title&gt;&lt;location&gt;200,4,42.3736158,-71.1097335&lt;/location&gt;&lt;submission_date&gt;99201105191200000000222000&lt;/submission_date&gt;&lt;number&gt;3&lt;/number&gt;&lt;institution&gt;Harvard- Massachusetts Institute of Technology (MIT) Division of Health, Science and Technology, Cambridge, USA. gbhatia@mit.edu&lt;/institution&gt;&lt;subtype&gt;400&lt;/subtype&gt;&lt;endpage&gt;381&lt;/endpage&gt;&lt;bundle&gt;&lt;publication&gt;&lt;title&gt;American journal of human genetics&lt;/title&gt;&lt;type&gt;-100&lt;/type&gt;&lt;subtype&gt;-100&lt;/subtype&gt;&lt;uuid&gt;7F149FF1-FDF9-49D9-B945-2C5EAD96D91E&lt;/uuid&gt;&lt;/publication&gt;&lt;/bundle&gt;&lt;authors&gt;&lt;author&gt;&lt;firstName&gt;Gaurav&lt;/firstName&gt;&lt;lastName&gt;Bhatia&lt;/lastName&gt;&lt;/author&gt;&lt;author&gt;&lt;firstName&gt;Nick&lt;/firstName&gt;&lt;lastName&gt;Patterson&lt;/lastName&gt;&lt;/author&gt;&lt;author&gt;&lt;firstName&gt;Bogdan&lt;/firstName&gt;&lt;lastName&gt;Pasaniuc&lt;/lastName&gt;&lt;/author&gt;&lt;author&gt;&lt;firstName&gt;Noah&lt;/firstName&gt;&lt;lastName&gt;Zaitlen&lt;/lastName&gt;&lt;/author&gt;&lt;author&gt;&lt;firstName&gt;Giulio&lt;/firstName&gt;&lt;lastName&gt;Genovese&lt;/lastName&gt;&lt;/author&gt;&lt;author&gt;&lt;firstName&gt;Samuela&lt;/firstName&gt;&lt;lastName&gt;Pollack&lt;/lastName&gt;&lt;/author&gt;&lt;author&gt;&lt;firstName&gt;Swapan&lt;/firstName&gt;&lt;lastName&gt;Mallick&lt;/lastName&gt;&lt;/author&gt;&lt;author&gt;&lt;firstName&gt;Simon&lt;/firstName&gt;&lt;lastName&gt;Myers&lt;/lastName&gt;&lt;/author&gt;&lt;author&gt;&lt;firstName&gt;Arti&lt;/firstName&gt;&lt;lastName&gt;Tandon&lt;/lastName&gt;&lt;/author&gt;&lt;author&gt;&lt;firstName&gt;Chris&lt;/firstName&gt;&lt;lastName&gt;Spencer&lt;/lastName&gt;&lt;/author&gt;&lt;author&gt;&lt;firstName&gt;Cameron&lt;/firstName&gt;&lt;middleNames&gt;D&lt;/middleNames&gt;&lt;lastName&gt;Palmer&lt;/lastName&gt;&lt;/author&gt;&lt;author&gt;&lt;firstName&gt;Adebowale&lt;/firstName&gt;&lt;middleNames&gt;A&lt;/middleNames&gt;&lt;lastName&gt;Adeyemo&lt;/lastName&gt;&lt;/author&gt;&lt;author&gt;&lt;firstName&gt;Ermeg&lt;/firstName&gt;&lt;middleNames&gt;L&lt;/middleNames&gt;&lt;lastName&gt;Akylbekova&lt;/lastName&gt;&lt;/author&gt;&lt;author&gt;&lt;firstName&gt;L&lt;/firstName&gt;&lt;middleNames&gt;Adrienne&lt;/middleNames&gt;&lt;lastName&gt;Cupples&lt;/lastName&gt;&lt;/author&gt;&lt;author&gt;&lt;firstName&gt;Jasmin&lt;/firstName&gt;&lt;lastName&gt;Divers&lt;/lastName&gt;&lt;/author&gt;&lt;author&gt;&lt;firstName&gt;Myriam&lt;/firstName&gt;&lt;lastName&gt;Fornage&lt;/lastName&gt;&lt;/author&gt;&lt;author&gt;&lt;firstName&gt;W&lt;/firstName&gt;&lt;middleNames&gt;H Linda&lt;/middleNames&gt;&lt;lastName&gt;Kao&lt;/lastName&gt;&lt;/author&gt;&lt;author&gt;&lt;firstName&gt;Leslie&lt;/firstName&gt;&lt;lastName&gt;Lange&lt;/lastName&gt;&lt;/author&gt;&lt;author&gt;&lt;firstName&gt;Mingyao&lt;/firstName&gt;&lt;lastName&gt;Li&lt;/lastName&gt;&lt;/author&gt;&lt;author&gt;&lt;firstName&gt;Solomon&lt;/firstName&gt;&lt;lastName&gt;Musani&lt;/lastName&gt;&lt;/author&gt;&lt;author&gt;&lt;firstName&gt;Josyf&lt;/firstName&gt;&lt;middleNames&gt;C&lt;/middleNames&gt;&lt;lastName&gt;Mychaleckyj&lt;/lastName&gt;&lt;/author&gt;&lt;author&gt;&lt;firstName&gt;Adesola&lt;/firstName&gt;&lt;lastName&gt;Ogunniyi&lt;/lastName&gt;&lt;/author&gt;&lt;author&gt;&lt;firstName&gt;George&lt;/firstName&gt;&lt;lastName&gt;Papanicolaou&lt;/lastName&gt;&lt;/author&gt;&lt;author&gt;&lt;firstName&gt;Charles&lt;/firstName&gt;&lt;middleNames&gt;N&lt;/middleNames&gt;&lt;lastName&gt;Rotimi&lt;/lastName&gt;&lt;/author&gt;&lt;author&gt;&lt;firstName&gt;Jerome&lt;/firstName&gt;&lt;middleNames&gt;I&lt;/middleNames&gt;&lt;lastName&gt;Rotter&lt;/lastName&gt;&lt;/author&gt;&lt;author&gt;&lt;firstName&gt;Ingo&lt;/firstName&gt;&lt;lastName&gt;Ruczinski&lt;/lastName&gt;&lt;/author&gt;&lt;author&gt;&lt;firstName&gt;Babatunde&lt;/firstName&gt;&lt;lastName&gt;Salako&lt;/lastName&gt;&lt;/author&gt;&lt;author&gt;&lt;firstName&gt;David&lt;/firstName&gt;&lt;middleNames&gt;S&lt;/middleNames&gt;&lt;lastName&gt;Siscovick&lt;/lastName&gt;&lt;/author&gt;&lt;author&gt;&lt;firstName&gt;Bamidele&lt;/firstName&gt;&lt;middleNames&gt;O&lt;/middleNames&gt;&lt;lastName&gt;Tayo&lt;/lastName&gt;&lt;/author&gt;&lt;author&gt;&lt;firstName&gt;Qiong&lt;/firstName&gt;&lt;lastName&gt;Yang&lt;/lastName&gt;&lt;/author&gt;&lt;author&gt;&lt;firstName&gt;Steve&lt;/firstName&gt;&lt;lastName&gt;McCarroll&lt;/lastName&gt;&lt;/author&gt;&lt;author&gt;&lt;firstName&gt;Pardis&lt;/firstName&gt;&lt;lastName&gt;Sabeti&lt;/lastName&gt;&lt;/author&gt;&lt;author&gt;&lt;firstName&gt;Guillaume&lt;/firstName&gt;&lt;lastName&gt;Lettre&lt;/lastName&gt;&lt;/author&gt;&lt;author&gt;&lt;nonDroppingParticle&gt;De&lt;/nonDroppingParticle&gt;&lt;firstName&gt;Phil&lt;/firstName&gt;&lt;lastName&gt;Jager&lt;/lastName&gt;&lt;/author&gt;&lt;author&gt;&lt;firstName&gt;Joel&lt;/firstName&gt;&lt;lastName&gt;Hirschhorn&lt;/lastName&gt;&lt;/author&gt;&lt;author&gt;&lt;firstName&gt;Xiaofeng&lt;/firstName&gt;&lt;lastName&gt;Zhu&lt;/lastName&gt;&lt;/author&gt;&lt;author&gt;&lt;firstName&gt;Richard&lt;/firstName&gt;&lt;lastName&gt;Cooper&lt;/lastName&gt;&lt;/author&gt;&lt;author&gt;&lt;firstName&gt;David&lt;/firstName&gt;&lt;lastName&gt;Reich&lt;/lastName&gt;&lt;/author&gt;&lt;author&gt;&lt;firstName&gt;James&lt;/firstName&gt;&lt;middleNames&gt;G&lt;/middleNames&gt;&lt;lastName&gt;Wilson&lt;/lastName&gt;&lt;/author&gt;&lt;author&gt;&lt;firstName&gt;Alkes&lt;/firstName&gt;&lt;middleNames&gt;L&lt;/middleNames&gt;&lt;lastName&gt;Price&lt;/lastName&gt;&lt;/author&gt;&lt;/authors&gt;&lt;/publication&gt;&lt;/publications&gt;&lt;cites&gt;&lt;/cites&gt;&lt;/citation&gt;</w:instrText>
      </w:r>
      <w:r w:rsidR="00862942">
        <w:fldChar w:fldCharType="separate"/>
      </w:r>
      <w:r w:rsidR="00D73545">
        <w:rPr>
          <w:rFonts w:cs="Cambria"/>
        </w:rPr>
        <w:t>(Price et al. 2009; Nei 1973; Bhatia et al. 2011)</w:t>
      </w:r>
      <w:r w:rsidR="00862942">
        <w:fldChar w:fldCharType="end"/>
      </w:r>
      <w:r w:rsidR="009226BE" w:rsidRPr="0072765D">
        <w:t xml:space="preserve"> but not to Nei’s updated estimator</w:t>
      </w:r>
      <w:r w:rsidR="009226BE">
        <w:t xml:space="preserve"> </w:t>
      </w:r>
      <w:r w:rsidR="00862942">
        <w:fldChar w:fldCharType="begin"/>
      </w:r>
      <w:r w:rsidR="00D73545">
        <w:instrText xml:space="preserve"> ADDIN PAPERS2_CITATIONS &lt;citation&gt;&lt;uuid&gt;2D2A88A9-D2F9-4693-AB3C-40BC06DC6629&lt;/uuid&gt;&lt;priority&gt;45&lt;/priority&gt;&lt;publications&gt;&lt;publication&gt;&lt;uuid&gt;51C4CB25-52B8-4D39-BD2B-A5A229944D8F&lt;/uuid&gt;&lt;volume&gt;132&lt;/volume&gt;&lt;startpage&gt;583&lt;/startpage&gt;&lt;publication_date&gt;99199201011200000000222000&lt;/publication_date&gt;&lt;url&gt;http://www.genetics.org/content/132/2/583.abstract&lt;/url&gt;&lt;citekey&gt;RefWorks:90&lt;/citekey&gt;&lt;type&gt;400&lt;/type&gt;&lt;title&gt;Estimation of levels of gene flow from DNA sequence data.&lt;/title&gt;&lt;location&gt;602,0,0,0&lt;/location&gt;&lt;institution&gt;Department of Ecology and Evolutionary Biology, University of California, Irvine 92717.&lt;/institution&gt;&lt;number&gt;2&lt;/number&gt;&lt;subtype&gt;400&lt;/subtype&gt;&lt;endpage&gt;589&lt;/endpage&gt;&lt;bundle&gt;&lt;publication&gt;&lt;title&gt;Genetics&lt;/title&gt;&lt;type&gt;-100&lt;/type&gt;&lt;subtype&gt;-100&lt;/subtype&gt;&lt;uuid&gt;11DBAA9B-C36A-48C0-9FD0-A64AF5948D71&lt;/uuid&gt;&lt;/publication&gt;&lt;/bundle&gt;&lt;authors&gt;&lt;author&gt;&lt;firstName&gt;R&lt;/firstName&gt;&lt;middleNames&gt;R&lt;/middleNames&gt;&lt;lastName&gt;Hudson&lt;/lastName&gt;&lt;/author&gt;&lt;author&gt;&lt;firstName&gt;M&lt;/firstName&gt;&lt;lastName&gt;Slatkin&lt;/lastName&gt;&lt;/author&gt;&lt;author&gt;&lt;firstName&gt;W&lt;/firstName&gt;&lt;middleNames&gt;P&lt;/middleNames&gt;&lt;lastName&gt;Maddison&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s&gt;&lt;cites&gt;&lt;/cites&gt;&lt;/citation&gt;</w:instrText>
      </w:r>
      <w:r w:rsidR="00862942">
        <w:fldChar w:fldCharType="separate"/>
      </w:r>
      <w:r w:rsidR="00D73545">
        <w:rPr>
          <w:rFonts w:cs="Cambria"/>
        </w:rPr>
        <w:t>(Hudson et al. 1992; Nei 1986)</w:t>
      </w:r>
      <w:r w:rsidR="00862942">
        <w:fldChar w:fldCharType="end"/>
      </w:r>
      <w:r w:rsidR="009226BE" w:rsidRPr="0072765D">
        <w:t xml:space="preserve">, which is what we analyze here. (b) The finite island model is a theoretical model of isolation by distance that includes numerous assumptions including that </w:t>
      </w:r>
      <w:r w:rsidR="009226BE" w:rsidRPr="0072765D">
        <w:rPr>
          <w:i/>
        </w:rPr>
        <w:t>F</w:t>
      </w:r>
      <w:r w:rsidR="009226BE" w:rsidRPr="0072765D">
        <w:rPr>
          <w:vertAlign w:val="subscript"/>
        </w:rPr>
        <w:t>ST</w:t>
      </w:r>
      <w:r w:rsidR="009226BE" w:rsidRPr="0072765D">
        <w:t xml:space="preserve"> (in this case influenced by effective population size and migration rate) is identical across populations. </w:t>
      </w:r>
      <w:r w:rsidR="009226BE">
        <w:t xml:space="preserve">(c) We note that Nei describes his estimator as “equivalent to Wright’s </w:t>
      </w:r>
      <w:r w:rsidR="009226BE" w:rsidRPr="001C257D">
        <w:rPr>
          <w:i/>
        </w:rPr>
        <w:t>F</w:t>
      </w:r>
      <w:r w:rsidR="009226BE" w:rsidRPr="001C257D">
        <w:rPr>
          <w:vertAlign w:val="subscript"/>
        </w:rPr>
        <w:t>ST</w:t>
      </w:r>
      <w:r w:rsidR="009226BE">
        <w:t xml:space="preserve">” </w:t>
      </w:r>
      <w:r w:rsidR="00862942">
        <w:fldChar w:fldCharType="begin"/>
      </w:r>
      <w:r w:rsidR="00D73545">
        <w:instrText xml:space="preserve"> ADDIN PAPERS2_CITATIONS &lt;citation&gt;&lt;uuid&gt;BD875DC9-4248-49D3-A2AF-401C664821F1&lt;/uuid&gt;&lt;priority&gt;46&lt;/priority&gt;&lt;publications&gt;&lt;publication&gt;&lt;uuid&gt;C1A87E52-19BA-4F73-9EC8-0EF58D650680&lt;/uuid&gt;&lt;volume&gt;105&lt;/volume&gt;&lt;startpage&gt;767&lt;/startpage&gt;&lt;publication_date&gt;99198311001200000000220000&lt;/publication_date&gt;&lt;url&gt;http://eutils.ncbi.nlm.nih.gov/entrez/eutils/elink.fcgi?dbfrom=pubmed&amp;amp;id=17246175&amp;amp;retmode=ref&amp;amp;cmd=prlinks&lt;/url&gt;&lt;type&gt;400&lt;/type&gt;&lt;title&gt;Estimation of the coancestry coefficient: basis for a short-term genetic distance.&lt;/title&gt;&lt;location&gt;200,9,35.7873474,-78.6654159&lt;/location&gt;&lt;institution&gt;Department of Statistics, North Carolina State University, Raleigh, North Carolina 27650.&lt;/institution&gt;&lt;number&gt;3&lt;/number&gt;&lt;subtype&gt;400&lt;/subtype&gt;&lt;endpage&gt;779&lt;/endpage&gt;&lt;bundle&gt;&lt;publication&gt;&lt;title&gt;Genetics&lt;/title&gt;&lt;type&gt;-100&lt;/type&gt;&lt;subtype&gt;-100&lt;/subtype&gt;&lt;uuid&gt;11DBAA9B-C36A-48C0-9FD0-A64AF5948D71&lt;/uuid&gt;&lt;/publication&gt;&lt;/bundle&gt;&lt;authors&gt;&lt;author&gt;&lt;firstName&gt;J&lt;/firstName&gt;&lt;lastName&gt;Reynolds&lt;/lastName&gt;&lt;/author&gt;&lt;author&gt;&lt;firstName&gt;B&lt;/firstName&gt;&lt;middleNames&gt;S&lt;/middleNames&gt;&lt;lastName&gt;Weir&lt;/lastName&gt;&lt;/author&gt;&lt;author&gt;&lt;firstName&gt;C&lt;/firstName&gt;&lt;middleNames&gt;C&lt;/middleNames&gt;&lt;lastName&gt;Cockerham&lt;/lastName&gt;&lt;/author&gt;&lt;/authors&gt;&lt;/publication&gt;&lt;publication&gt;&lt;volume&gt;70&lt;/volume&gt;&lt;publication_date&gt;99197301011200000000222000&lt;/publication_date&gt;&lt;number&gt;12&lt;/number&gt;&lt;startpage&gt;3321&lt;/startpage&gt;&lt;title&gt;Analysis of Gene Diversity in Subdivided Populations&lt;/title&gt;&lt;uuid&gt;5B5D3FD9-FFE2-4870-A73D-3AD368EF7D2B&lt;/uuid&gt;&lt;subtype&gt;400&lt;/subtype&gt;&lt;endpage&gt;3323&lt;/endpage&gt;&lt;type&gt;400&lt;/type&gt;&lt;citekey&gt;RefWorks:152&lt;/citekey&gt;&lt;url&gt;http://www.pnas.org/content/70/12/3321.abstract&lt;/url&gt;&lt;bundle&gt;&lt;publication&gt;&lt;url&gt;http://www.pnas.org/&lt;/url&gt;&lt;title&gt;Proceedings of the National Academy of Sciences&lt;/title&gt;&lt;type&gt;-100&lt;/type&gt;&lt;subtype&gt;-100&lt;/subtype&gt;&lt;uuid&gt;5420B5CD-FF03-4C90-911A-EF7B420F7AFD&lt;/uuid&gt;&lt;/publication&gt;&lt;/bundle&gt;&lt;authors&gt;&lt;author&gt;&lt;firstName&gt;Masatoshi&lt;/firstName&gt;&lt;lastName&gt;Nei&lt;/lastName&gt;&lt;/author&gt;&lt;/authors&gt;&lt;/publication&gt;&lt;publication&gt;&lt;uuid&gt;5DCF5442-DD8B-4B02-B17C-AF72EFA1F387&lt;/uuid&gt;&lt;volume&gt;38&lt;/volume&gt;&lt;startpage&gt;1358&lt;/startpage&gt;&lt;publication_date&gt;99198401011200000000222000&lt;/publication_date&gt;&lt;url&gt;http://www.jstor.org/stable/2408641&lt;/url&gt;&lt;citekey&gt;RefWorks:80&lt;/citekey&gt;&lt;type&gt;400&lt;/type&gt;&lt;title&gt;Estimating F-Statistics for the Analysis of Population Structure&lt;/title&gt;&lt;publisher&gt;Society for the Study of Evolution&lt;/publisher&gt;&lt;number&gt;6&lt;/number&gt;&lt;subtype&gt;400&lt;/subtype&gt;&lt;endpage&gt;1370&lt;/endpage&gt;&lt;bundle&gt;&lt;publication&gt;&lt;title&gt;Evolution&lt;/title&gt;&lt;type&gt;-100&lt;/type&gt;&lt;subtype&gt;-100&lt;/subtype&gt;&lt;uuid&gt;F0EB598F-EE85-4B9D-B7A6-554C3D5205C2&lt;/uuid&gt;&lt;/publication&gt;&lt;/bundle&gt;&lt;authors&gt;&lt;author&gt;&lt;firstName&gt;B&lt;/firstName&gt;&lt;middleNames&gt;S&lt;/middleNames&gt;&lt;lastName&gt;Weir&lt;/lastName&gt;&lt;/author&gt;&lt;author&gt;&lt;firstName&gt;C&lt;/firstName&gt;&lt;middleNames&gt;Clark&lt;/middleNames&gt;&lt;lastName&gt;Cockerham&lt;/lastName&gt;&lt;/author&gt;&lt;/authors&gt;&lt;/publication&gt;&lt;/publications&gt;&lt;cites&gt;&lt;/cites&gt;&lt;/citation&gt;</w:instrText>
      </w:r>
      <w:r w:rsidR="00862942">
        <w:fldChar w:fldCharType="separate"/>
      </w:r>
      <w:r w:rsidR="00D73545">
        <w:rPr>
          <w:rFonts w:cs="Cambria"/>
        </w:rPr>
        <w:t>(Reynolds et al. 1983; Nei 1973; Weir and Cockerham 1984)</w:t>
      </w:r>
      <w:r w:rsidR="00862942">
        <w:fldChar w:fldCharType="end"/>
      </w:r>
      <w:r w:rsidR="009226BE">
        <w:t xml:space="preserve">. We do not agree. Specifically, we believe that Nei’s </w:t>
      </w:r>
      <w:r w:rsidR="009226BE" w:rsidRPr="001C257D">
        <w:rPr>
          <w:i/>
        </w:rPr>
        <w:t>F</w:t>
      </w:r>
      <w:r w:rsidR="009226BE" w:rsidRPr="001C257D">
        <w:rPr>
          <w:vertAlign w:val="subscript"/>
        </w:rPr>
        <w:t>ST</w:t>
      </w:r>
      <w:r w:rsidR="009226BE">
        <w:t xml:space="preserve"> estimates properties of the sample as opposed to the ancestral population (see Supplementary Material for details).</w:t>
      </w:r>
    </w:p>
    <w:p w14:paraId="7F9AF8BE" w14:textId="77777777" w:rsidR="009226BE" w:rsidRDefault="009226BE" w:rsidP="00843DE8"/>
    <w:p w14:paraId="77459A37" w14:textId="77777777" w:rsidR="00B01F78" w:rsidRPr="009C656B" w:rsidRDefault="003A2591" w:rsidP="00B01F78">
      <w:pPr>
        <w:pStyle w:val="Heading1"/>
      </w:pPr>
      <w:bookmarkStart w:id="224" w:name="_Toc217045519"/>
      <w:bookmarkStart w:id="225" w:name="_Toc219534431"/>
      <w:bookmarkStart w:id="226" w:name="_Toc219534513"/>
      <w:bookmarkStart w:id="227" w:name="_Toc232440804"/>
      <w:bookmarkStart w:id="228" w:name="_Toc232704471"/>
      <w:bookmarkStart w:id="229" w:name="_Toc232777596"/>
      <w:r>
        <w:t>Table S3</w:t>
      </w:r>
      <w:r w:rsidR="00B01F78" w:rsidRPr="009C656B">
        <w:t xml:space="preserve">. </w:t>
      </w:r>
      <w:r w:rsidR="00B01F78">
        <w:t xml:space="preserve">Estimating </w:t>
      </w:r>
      <w:r w:rsidR="00B01F78" w:rsidRPr="001C257D">
        <w:rPr>
          <w:i/>
        </w:rPr>
        <w:t>F</w:t>
      </w:r>
      <w:r w:rsidR="00B01F78" w:rsidRPr="001C257D">
        <w:rPr>
          <w:vertAlign w:val="subscript"/>
        </w:rPr>
        <w:t>ST</w:t>
      </w:r>
      <w:r w:rsidR="00B01F78">
        <w:t xml:space="preserve"> With Varying Sample Sizes</w:t>
      </w:r>
      <w:bookmarkEnd w:id="224"/>
      <w:bookmarkEnd w:id="225"/>
      <w:bookmarkEnd w:id="226"/>
      <w:bookmarkEnd w:id="227"/>
      <w:bookmarkEnd w:id="228"/>
      <w:bookmarkEnd w:id="229"/>
    </w:p>
    <w:p w14:paraId="443A204C" w14:textId="77777777" w:rsidR="00B01F78" w:rsidRDefault="00B01F78" w:rsidP="00B01F78"/>
    <w:p w14:paraId="04F5E83E" w14:textId="77777777" w:rsidR="00B01F78" w:rsidRDefault="00B01F78" w:rsidP="00B01F78"/>
    <w:tbl>
      <w:tblPr>
        <w:tblW w:w="10400" w:type="dxa"/>
        <w:jc w:val="center"/>
        <w:tblInd w:w="93" w:type="dxa"/>
        <w:tblLook w:val="04A0" w:firstRow="1" w:lastRow="0" w:firstColumn="1" w:lastColumn="0" w:noHBand="0" w:noVBand="1"/>
      </w:tblPr>
      <w:tblGrid>
        <w:gridCol w:w="1300"/>
        <w:gridCol w:w="1300"/>
        <w:gridCol w:w="979"/>
        <w:gridCol w:w="1621"/>
        <w:gridCol w:w="979"/>
        <w:gridCol w:w="1621"/>
        <w:gridCol w:w="979"/>
        <w:gridCol w:w="1621"/>
      </w:tblGrid>
      <w:tr w:rsidR="00B01F78" w:rsidRPr="0075087C" w14:paraId="038083B9" w14:textId="77777777" w:rsidTr="00B01F78">
        <w:trPr>
          <w:trHeight w:val="300"/>
          <w:jc w:val="center"/>
        </w:trPr>
        <w:tc>
          <w:tcPr>
            <w:tcW w:w="1300" w:type="dxa"/>
            <w:tcBorders>
              <w:top w:val="nil"/>
              <w:left w:val="nil"/>
              <w:bottom w:val="single" w:sz="4" w:space="0" w:color="auto"/>
              <w:right w:val="nil"/>
            </w:tcBorders>
            <w:shd w:val="clear" w:color="auto" w:fill="auto"/>
            <w:noWrap/>
            <w:vAlign w:val="bottom"/>
          </w:tcPr>
          <w:p w14:paraId="68DB43D3" w14:textId="77777777" w:rsidR="00B01F78" w:rsidRDefault="00B01F78" w:rsidP="00B01F78">
            <w:pPr>
              <w:rPr>
                <w:rFonts w:ascii="Calibri" w:eastAsia="Times New Roman" w:hAnsi="Calibri"/>
                <w:color w:val="000000"/>
              </w:rPr>
            </w:pPr>
          </w:p>
        </w:tc>
        <w:tc>
          <w:tcPr>
            <w:tcW w:w="1300" w:type="dxa"/>
            <w:tcBorders>
              <w:top w:val="nil"/>
              <w:left w:val="nil"/>
              <w:bottom w:val="single" w:sz="4" w:space="0" w:color="auto"/>
              <w:right w:val="nil"/>
            </w:tcBorders>
            <w:shd w:val="clear" w:color="auto" w:fill="auto"/>
            <w:noWrap/>
            <w:vAlign w:val="bottom"/>
          </w:tcPr>
          <w:p w14:paraId="3EC5E36C" w14:textId="77777777" w:rsidR="00B01F78" w:rsidRDefault="00B01F78" w:rsidP="00B01F78">
            <w:pPr>
              <w:rPr>
                <w:rFonts w:ascii="Calibri" w:eastAsia="Times New Roman" w:hAnsi="Calibri"/>
                <w:color w:val="000000"/>
              </w:rPr>
            </w:pPr>
          </w:p>
        </w:tc>
        <w:tc>
          <w:tcPr>
            <w:tcW w:w="7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8B2840B" w14:textId="77777777" w:rsidR="00B01F78" w:rsidRDefault="00B01F78" w:rsidP="00B01F78">
            <w:pPr>
              <w:jc w:val="center"/>
              <w:rPr>
                <w:rFonts w:ascii="Calibri" w:eastAsia="Times New Roman" w:hAnsi="Calibri"/>
                <w:color w:val="000000"/>
              </w:rPr>
            </w:pPr>
            <w:r w:rsidRPr="001C257D">
              <w:rPr>
                <w:rFonts w:ascii="Calibri" w:eastAsia="Times New Roman" w:hAnsi="Calibri"/>
                <w:i/>
                <w:color w:val="000000"/>
              </w:rPr>
              <w:t>F</w:t>
            </w:r>
            <w:r w:rsidRPr="001C257D">
              <w:rPr>
                <w:rFonts w:ascii="Calibri" w:eastAsia="Times New Roman" w:hAnsi="Calibri"/>
                <w:color w:val="000000"/>
                <w:vertAlign w:val="subscript"/>
              </w:rPr>
              <w:t>ST</w:t>
            </w:r>
            <w:r>
              <w:rPr>
                <w:rFonts w:ascii="Calibri" w:eastAsia="Times New Roman" w:hAnsi="Calibri"/>
                <w:color w:val="000000"/>
              </w:rPr>
              <w:t xml:space="preserve"> Estimator</w:t>
            </w:r>
          </w:p>
        </w:tc>
      </w:tr>
      <w:tr w:rsidR="00B01F78" w:rsidRPr="0075087C" w14:paraId="64C22C2D" w14:textId="77777777" w:rsidTr="00B01F78">
        <w:trPr>
          <w:trHeight w:val="300"/>
          <w:jc w:val="center"/>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4A0EFE" w14:textId="77777777" w:rsidR="00B01F78" w:rsidRDefault="00B01F78" w:rsidP="00B01F78">
            <w:pPr>
              <w:jc w:val="center"/>
              <w:rPr>
                <w:rFonts w:ascii="Calibri" w:eastAsia="Times New Roman" w:hAnsi="Calibri"/>
                <w:color w:val="000000"/>
              </w:rPr>
            </w:pPr>
            <w:r>
              <w:rPr>
                <w:rFonts w:ascii="Calibri" w:eastAsia="Times New Roman" w:hAnsi="Calibri"/>
                <w:color w:val="000000"/>
              </w:rPr>
              <w:t>Sample Sizes</w:t>
            </w:r>
          </w:p>
        </w:tc>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2E2EB7" w14:textId="77777777" w:rsidR="00B01F78" w:rsidRDefault="00B01F78" w:rsidP="00B01F78">
            <w:pPr>
              <w:jc w:val="center"/>
              <w:rPr>
                <w:rFonts w:ascii="Calibri" w:eastAsia="Times New Roman" w:hAnsi="Calibri"/>
                <w:color w:val="000000"/>
              </w:rPr>
            </w:pPr>
            <w:r>
              <w:rPr>
                <w:rFonts w:ascii="Calibri" w:eastAsia="Times New Roman" w:hAnsi="Calibri"/>
                <w:color w:val="000000"/>
              </w:rPr>
              <w:t>WC</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tcPr>
          <w:p w14:paraId="7EC319D6" w14:textId="77777777" w:rsidR="00B01F78" w:rsidRDefault="00B01F78" w:rsidP="00B01F78">
            <w:pPr>
              <w:jc w:val="center"/>
              <w:rPr>
                <w:rFonts w:ascii="Calibri" w:eastAsia="Times New Roman" w:hAnsi="Calibri"/>
                <w:color w:val="000000"/>
              </w:rPr>
            </w:pPr>
            <w:r>
              <w:rPr>
                <w:rFonts w:ascii="Calibri" w:eastAsia="Times New Roman" w:hAnsi="Calibri"/>
                <w:color w:val="000000"/>
              </w:rPr>
              <w:t>Nei</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tcPr>
          <w:p w14:paraId="1DC33482" w14:textId="77777777" w:rsidR="00B01F78" w:rsidRDefault="00B01F78" w:rsidP="00B01F78">
            <w:pPr>
              <w:jc w:val="center"/>
              <w:rPr>
                <w:rFonts w:ascii="Calibri" w:eastAsia="Times New Roman" w:hAnsi="Calibri"/>
                <w:color w:val="000000"/>
              </w:rPr>
            </w:pPr>
            <w:r>
              <w:rPr>
                <w:rFonts w:ascii="Calibri" w:eastAsia="Times New Roman" w:hAnsi="Calibri"/>
                <w:color w:val="000000"/>
              </w:rPr>
              <w:t>Hudson</w:t>
            </w:r>
          </w:p>
        </w:tc>
      </w:tr>
      <w:tr w:rsidR="00B01F78" w:rsidRPr="0075087C" w14:paraId="24A3E835" w14:textId="77777777" w:rsidTr="00B01F7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0825A918" w14:textId="77777777" w:rsidR="00B01F78" w:rsidRDefault="00B01F78" w:rsidP="00B01F78">
            <w:pPr>
              <w:jc w:val="center"/>
              <w:rPr>
                <w:rFonts w:ascii="Calibri" w:eastAsia="Times New Roman" w:hAnsi="Calibri"/>
                <w:color w:val="000000"/>
              </w:rPr>
            </w:pPr>
            <w:r>
              <w:rPr>
                <w:rFonts w:ascii="Calibri" w:eastAsia="Times New Roman" w:hAnsi="Calibri"/>
                <w:color w:val="000000"/>
              </w:rPr>
              <w:t>n</w:t>
            </w:r>
            <w:r w:rsidRPr="00A81CF1">
              <w:rPr>
                <w:rFonts w:ascii="Calibri" w:eastAsia="Times New Roman" w:hAnsi="Calibri"/>
                <w:color w:val="000000"/>
                <w:vertAlign w:val="subscript"/>
              </w:rPr>
              <w:t>1</w:t>
            </w:r>
          </w:p>
        </w:tc>
        <w:tc>
          <w:tcPr>
            <w:tcW w:w="1300" w:type="dxa"/>
            <w:tcBorders>
              <w:top w:val="nil"/>
              <w:left w:val="nil"/>
              <w:bottom w:val="single" w:sz="4" w:space="0" w:color="auto"/>
              <w:right w:val="single" w:sz="4" w:space="0" w:color="auto"/>
            </w:tcBorders>
            <w:shd w:val="clear" w:color="auto" w:fill="auto"/>
            <w:noWrap/>
            <w:vAlign w:val="bottom"/>
          </w:tcPr>
          <w:p w14:paraId="27D4C307" w14:textId="77777777" w:rsidR="00B01F78" w:rsidRDefault="00B01F78" w:rsidP="00B01F78">
            <w:pPr>
              <w:jc w:val="center"/>
              <w:rPr>
                <w:rFonts w:ascii="Calibri" w:eastAsia="Times New Roman" w:hAnsi="Calibri"/>
                <w:color w:val="000000"/>
              </w:rPr>
            </w:pPr>
            <w:r>
              <w:rPr>
                <w:rFonts w:ascii="Calibri" w:eastAsia="Times New Roman" w:hAnsi="Calibri"/>
                <w:color w:val="000000"/>
              </w:rPr>
              <w:t>n</w:t>
            </w:r>
            <w:r w:rsidRPr="00A81CF1">
              <w:rPr>
                <w:rFonts w:ascii="Calibri" w:eastAsia="Times New Roman" w:hAnsi="Calibri"/>
                <w:color w:val="000000"/>
                <w:vertAlign w:val="subscript"/>
              </w:rPr>
              <w:t>2</w:t>
            </w:r>
          </w:p>
        </w:tc>
        <w:tc>
          <w:tcPr>
            <w:tcW w:w="979" w:type="dxa"/>
            <w:tcBorders>
              <w:top w:val="nil"/>
              <w:left w:val="single" w:sz="4" w:space="0" w:color="auto"/>
              <w:bottom w:val="single" w:sz="4" w:space="0" w:color="auto"/>
              <w:right w:val="single" w:sz="4" w:space="0" w:color="auto"/>
            </w:tcBorders>
            <w:shd w:val="clear" w:color="auto" w:fill="auto"/>
            <w:noWrap/>
            <w:vAlign w:val="bottom"/>
          </w:tcPr>
          <w:p w14:paraId="284ABE0F" w14:textId="77777777" w:rsidR="00B01F78" w:rsidRDefault="00B01F78" w:rsidP="00B01F78">
            <w:pPr>
              <w:jc w:val="center"/>
              <w:rPr>
                <w:rFonts w:ascii="Calibri" w:eastAsia="Times New Roman" w:hAnsi="Calibri"/>
                <w:color w:val="000000"/>
              </w:rPr>
            </w:pPr>
            <w:r>
              <w:rPr>
                <w:rFonts w:ascii="Calibri" w:eastAsia="Times New Roman" w:hAnsi="Calibri"/>
                <w:color w:val="000000"/>
              </w:rPr>
              <w:t>Est.</w:t>
            </w:r>
          </w:p>
        </w:tc>
        <w:tc>
          <w:tcPr>
            <w:tcW w:w="1621" w:type="dxa"/>
            <w:tcBorders>
              <w:top w:val="nil"/>
              <w:left w:val="nil"/>
              <w:bottom w:val="single" w:sz="4" w:space="0" w:color="auto"/>
              <w:right w:val="single" w:sz="4" w:space="0" w:color="auto"/>
            </w:tcBorders>
            <w:shd w:val="clear" w:color="auto" w:fill="auto"/>
            <w:noWrap/>
            <w:vAlign w:val="bottom"/>
          </w:tcPr>
          <w:p w14:paraId="566A091C" w14:textId="77777777" w:rsidR="00B01F78" w:rsidRDefault="00B01F78" w:rsidP="00B01F78">
            <w:pPr>
              <w:jc w:val="center"/>
              <w:rPr>
                <w:rFonts w:ascii="Calibri" w:eastAsia="Times New Roman" w:hAnsi="Calibri"/>
                <w:color w:val="000000"/>
              </w:rPr>
            </w:pPr>
            <w:r>
              <w:rPr>
                <w:rFonts w:ascii="Calibri" w:eastAsia="Times New Roman" w:hAnsi="Calibri"/>
                <w:color w:val="000000"/>
              </w:rPr>
              <w:t>Std. Error</w:t>
            </w:r>
          </w:p>
        </w:tc>
        <w:tc>
          <w:tcPr>
            <w:tcW w:w="979" w:type="dxa"/>
            <w:tcBorders>
              <w:top w:val="nil"/>
              <w:left w:val="nil"/>
              <w:bottom w:val="single" w:sz="4" w:space="0" w:color="auto"/>
              <w:right w:val="single" w:sz="4" w:space="0" w:color="auto"/>
            </w:tcBorders>
            <w:shd w:val="clear" w:color="auto" w:fill="auto"/>
            <w:noWrap/>
            <w:vAlign w:val="bottom"/>
          </w:tcPr>
          <w:p w14:paraId="3CEC51D6" w14:textId="77777777" w:rsidR="00B01F78" w:rsidRDefault="00B01F78" w:rsidP="00B01F78">
            <w:pPr>
              <w:jc w:val="center"/>
              <w:rPr>
                <w:rFonts w:ascii="Calibri" w:eastAsia="Times New Roman" w:hAnsi="Calibri"/>
                <w:color w:val="000000"/>
              </w:rPr>
            </w:pPr>
            <w:r>
              <w:rPr>
                <w:rFonts w:ascii="Calibri" w:eastAsia="Times New Roman" w:hAnsi="Calibri"/>
                <w:color w:val="000000"/>
              </w:rPr>
              <w:t>Est.</w:t>
            </w:r>
          </w:p>
        </w:tc>
        <w:tc>
          <w:tcPr>
            <w:tcW w:w="1621" w:type="dxa"/>
            <w:tcBorders>
              <w:top w:val="nil"/>
              <w:left w:val="nil"/>
              <w:bottom w:val="single" w:sz="4" w:space="0" w:color="auto"/>
              <w:right w:val="single" w:sz="4" w:space="0" w:color="auto"/>
            </w:tcBorders>
            <w:shd w:val="clear" w:color="auto" w:fill="auto"/>
            <w:noWrap/>
            <w:vAlign w:val="bottom"/>
          </w:tcPr>
          <w:p w14:paraId="510C5057" w14:textId="77777777" w:rsidR="00B01F78" w:rsidRDefault="00B01F78" w:rsidP="00B01F78">
            <w:pPr>
              <w:jc w:val="center"/>
              <w:rPr>
                <w:rFonts w:ascii="Calibri" w:eastAsia="Times New Roman" w:hAnsi="Calibri"/>
                <w:color w:val="000000"/>
              </w:rPr>
            </w:pPr>
            <w:r>
              <w:rPr>
                <w:rFonts w:ascii="Calibri" w:eastAsia="Times New Roman" w:hAnsi="Calibri"/>
                <w:color w:val="000000"/>
              </w:rPr>
              <w:t>Std. Error</w:t>
            </w:r>
          </w:p>
        </w:tc>
        <w:tc>
          <w:tcPr>
            <w:tcW w:w="979" w:type="dxa"/>
            <w:tcBorders>
              <w:top w:val="nil"/>
              <w:left w:val="nil"/>
              <w:bottom w:val="single" w:sz="4" w:space="0" w:color="auto"/>
              <w:right w:val="single" w:sz="4" w:space="0" w:color="auto"/>
            </w:tcBorders>
            <w:shd w:val="clear" w:color="auto" w:fill="auto"/>
            <w:noWrap/>
            <w:vAlign w:val="bottom"/>
          </w:tcPr>
          <w:p w14:paraId="6072EC06" w14:textId="77777777" w:rsidR="00B01F78" w:rsidRDefault="00B01F78" w:rsidP="00B01F78">
            <w:pPr>
              <w:jc w:val="center"/>
              <w:rPr>
                <w:rFonts w:ascii="Calibri" w:eastAsia="Times New Roman" w:hAnsi="Calibri"/>
                <w:color w:val="000000"/>
              </w:rPr>
            </w:pPr>
            <w:r>
              <w:rPr>
                <w:rFonts w:ascii="Calibri" w:eastAsia="Times New Roman" w:hAnsi="Calibri"/>
                <w:color w:val="000000"/>
              </w:rPr>
              <w:t>Est.</w:t>
            </w:r>
          </w:p>
        </w:tc>
        <w:tc>
          <w:tcPr>
            <w:tcW w:w="1621" w:type="dxa"/>
            <w:tcBorders>
              <w:top w:val="nil"/>
              <w:left w:val="nil"/>
              <w:bottom w:val="single" w:sz="4" w:space="0" w:color="auto"/>
              <w:right w:val="single" w:sz="4" w:space="0" w:color="auto"/>
            </w:tcBorders>
            <w:shd w:val="clear" w:color="auto" w:fill="auto"/>
            <w:noWrap/>
            <w:vAlign w:val="bottom"/>
          </w:tcPr>
          <w:p w14:paraId="33D59AE4" w14:textId="77777777" w:rsidR="00B01F78" w:rsidRDefault="00B01F78" w:rsidP="00B01F78">
            <w:pPr>
              <w:jc w:val="center"/>
              <w:rPr>
                <w:rFonts w:ascii="Calibri" w:eastAsia="Times New Roman" w:hAnsi="Calibri"/>
                <w:color w:val="000000"/>
              </w:rPr>
            </w:pPr>
            <w:r>
              <w:rPr>
                <w:rFonts w:ascii="Calibri" w:eastAsia="Times New Roman" w:hAnsi="Calibri"/>
                <w:color w:val="000000"/>
              </w:rPr>
              <w:t>Std. Error</w:t>
            </w:r>
          </w:p>
        </w:tc>
      </w:tr>
      <w:tr w:rsidR="00B01F78" w:rsidRPr="0075087C" w14:paraId="1DC8D528" w14:textId="77777777" w:rsidTr="00B01F7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3F1008C1" w14:textId="77777777" w:rsidR="00B01F78" w:rsidRDefault="00B01F78" w:rsidP="00B01F78">
            <w:pPr>
              <w:rPr>
                <w:rFonts w:ascii="Calibri" w:eastAsia="Times New Roman" w:hAnsi="Calibri"/>
                <w:color w:val="000000"/>
              </w:rPr>
            </w:pPr>
            <w:r>
              <w:rPr>
                <w:rFonts w:ascii="Calibri" w:eastAsia="Times New Roman" w:hAnsi="Calibri"/>
                <w:color w:val="000000"/>
              </w:rPr>
              <w:t>2500</w:t>
            </w:r>
          </w:p>
        </w:tc>
        <w:tc>
          <w:tcPr>
            <w:tcW w:w="1300" w:type="dxa"/>
            <w:tcBorders>
              <w:top w:val="nil"/>
              <w:left w:val="nil"/>
              <w:bottom w:val="single" w:sz="4" w:space="0" w:color="auto"/>
              <w:right w:val="single" w:sz="4" w:space="0" w:color="auto"/>
            </w:tcBorders>
            <w:shd w:val="clear" w:color="auto" w:fill="auto"/>
            <w:noWrap/>
            <w:vAlign w:val="bottom"/>
          </w:tcPr>
          <w:p w14:paraId="652CA33C" w14:textId="77777777" w:rsidR="00B01F78" w:rsidRDefault="00B01F78" w:rsidP="00B01F78">
            <w:pPr>
              <w:rPr>
                <w:rFonts w:ascii="Calibri" w:eastAsia="Times New Roman" w:hAnsi="Calibri"/>
                <w:color w:val="000000"/>
              </w:rPr>
            </w:pPr>
            <w:r>
              <w:rPr>
                <w:rFonts w:ascii="Calibri" w:eastAsia="Times New Roman" w:hAnsi="Calibri"/>
                <w:color w:val="000000"/>
              </w:rPr>
              <w:t>2500</w:t>
            </w:r>
          </w:p>
        </w:tc>
        <w:tc>
          <w:tcPr>
            <w:tcW w:w="979" w:type="dxa"/>
            <w:tcBorders>
              <w:top w:val="nil"/>
              <w:left w:val="single" w:sz="4" w:space="0" w:color="auto"/>
              <w:bottom w:val="single" w:sz="4" w:space="0" w:color="auto"/>
              <w:right w:val="single" w:sz="4" w:space="0" w:color="auto"/>
            </w:tcBorders>
            <w:shd w:val="clear" w:color="auto" w:fill="auto"/>
            <w:noWrap/>
            <w:vAlign w:val="bottom"/>
          </w:tcPr>
          <w:p w14:paraId="7C7F2DCD" w14:textId="77777777" w:rsidR="00B01F78" w:rsidRDefault="00B01F78" w:rsidP="00B01F78">
            <w:pPr>
              <w:jc w:val="right"/>
              <w:rPr>
                <w:rFonts w:ascii="Calibri" w:eastAsia="Times New Roman" w:hAnsi="Calibri"/>
                <w:color w:val="000000"/>
              </w:rPr>
            </w:pPr>
            <w:r>
              <w:rPr>
                <w:rFonts w:ascii="Calibri" w:eastAsia="Times New Roman" w:hAnsi="Calibri"/>
                <w:color w:val="000000"/>
              </w:rPr>
              <w:t>0.187</w:t>
            </w:r>
          </w:p>
        </w:tc>
        <w:tc>
          <w:tcPr>
            <w:tcW w:w="1621" w:type="dxa"/>
            <w:tcBorders>
              <w:top w:val="nil"/>
              <w:left w:val="nil"/>
              <w:bottom w:val="single" w:sz="4" w:space="0" w:color="auto"/>
              <w:right w:val="single" w:sz="4" w:space="0" w:color="auto"/>
            </w:tcBorders>
            <w:shd w:val="clear" w:color="auto" w:fill="auto"/>
            <w:noWrap/>
            <w:vAlign w:val="bottom"/>
          </w:tcPr>
          <w:p w14:paraId="360D1F17" w14:textId="77777777" w:rsidR="00B01F78" w:rsidRDefault="00B01F78" w:rsidP="00B01F78">
            <w:pPr>
              <w:jc w:val="right"/>
              <w:rPr>
                <w:rFonts w:ascii="Calibri" w:eastAsia="Times New Roman" w:hAnsi="Calibri"/>
                <w:color w:val="000000"/>
              </w:rPr>
            </w:pPr>
            <w:r>
              <w:rPr>
                <w:rFonts w:ascii="Calibri" w:eastAsia="Times New Roman" w:hAnsi="Calibri"/>
                <w:color w:val="000000"/>
              </w:rPr>
              <w:t>4.93E-03</w:t>
            </w:r>
          </w:p>
        </w:tc>
        <w:tc>
          <w:tcPr>
            <w:tcW w:w="979" w:type="dxa"/>
            <w:tcBorders>
              <w:top w:val="nil"/>
              <w:left w:val="nil"/>
              <w:bottom w:val="single" w:sz="4" w:space="0" w:color="auto"/>
              <w:right w:val="single" w:sz="4" w:space="0" w:color="auto"/>
            </w:tcBorders>
            <w:shd w:val="clear" w:color="auto" w:fill="auto"/>
            <w:noWrap/>
            <w:vAlign w:val="bottom"/>
          </w:tcPr>
          <w:p w14:paraId="306E7485" w14:textId="77777777" w:rsidR="00B01F78" w:rsidRDefault="00B01F78" w:rsidP="00B01F78">
            <w:pPr>
              <w:jc w:val="right"/>
              <w:rPr>
                <w:rFonts w:ascii="Calibri" w:eastAsia="Times New Roman" w:hAnsi="Calibri"/>
                <w:color w:val="000000"/>
              </w:rPr>
            </w:pPr>
            <w:r>
              <w:rPr>
                <w:rFonts w:ascii="Calibri" w:eastAsia="Times New Roman" w:hAnsi="Calibri"/>
                <w:color w:val="000000"/>
              </w:rPr>
              <w:t>0.206</w:t>
            </w:r>
          </w:p>
        </w:tc>
        <w:tc>
          <w:tcPr>
            <w:tcW w:w="1621" w:type="dxa"/>
            <w:tcBorders>
              <w:top w:val="nil"/>
              <w:left w:val="nil"/>
              <w:bottom w:val="single" w:sz="4" w:space="0" w:color="auto"/>
              <w:right w:val="single" w:sz="4" w:space="0" w:color="auto"/>
            </w:tcBorders>
            <w:shd w:val="clear" w:color="auto" w:fill="auto"/>
            <w:noWrap/>
            <w:vAlign w:val="bottom"/>
          </w:tcPr>
          <w:p w14:paraId="1878F0E1" w14:textId="77777777" w:rsidR="00B01F78" w:rsidRDefault="00B01F78" w:rsidP="00B01F78">
            <w:pPr>
              <w:jc w:val="right"/>
              <w:rPr>
                <w:rFonts w:ascii="Calibri" w:eastAsia="Times New Roman" w:hAnsi="Calibri"/>
                <w:color w:val="000000"/>
              </w:rPr>
            </w:pPr>
            <w:r>
              <w:rPr>
                <w:rFonts w:ascii="Calibri" w:eastAsia="Times New Roman" w:hAnsi="Calibri"/>
                <w:color w:val="000000"/>
              </w:rPr>
              <w:t>6.00E-03</w:t>
            </w:r>
          </w:p>
        </w:tc>
        <w:tc>
          <w:tcPr>
            <w:tcW w:w="979" w:type="dxa"/>
            <w:tcBorders>
              <w:top w:val="nil"/>
              <w:left w:val="nil"/>
              <w:bottom w:val="single" w:sz="4" w:space="0" w:color="auto"/>
              <w:right w:val="single" w:sz="4" w:space="0" w:color="auto"/>
            </w:tcBorders>
            <w:shd w:val="clear" w:color="auto" w:fill="auto"/>
            <w:noWrap/>
            <w:vAlign w:val="bottom"/>
          </w:tcPr>
          <w:p w14:paraId="72BDA40E" w14:textId="77777777" w:rsidR="00B01F78" w:rsidRDefault="00B01F78" w:rsidP="00B01F78">
            <w:pPr>
              <w:jc w:val="right"/>
              <w:rPr>
                <w:rFonts w:ascii="Calibri" w:eastAsia="Times New Roman" w:hAnsi="Calibri"/>
                <w:color w:val="000000"/>
              </w:rPr>
            </w:pPr>
            <w:r>
              <w:rPr>
                <w:rFonts w:ascii="Calibri" w:eastAsia="Times New Roman" w:hAnsi="Calibri"/>
                <w:color w:val="000000"/>
              </w:rPr>
              <w:t>0.187</w:t>
            </w:r>
          </w:p>
        </w:tc>
        <w:tc>
          <w:tcPr>
            <w:tcW w:w="1621" w:type="dxa"/>
            <w:tcBorders>
              <w:top w:val="nil"/>
              <w:left w:val="nil"/>
              <w:bottom w:val="single" w:sz="4" w:space="0" w:color="auto"/>
              <w:right w:val="single" w:sz="4" w:space="0" w:color="auto"/>
            </w:tcBorders>
            <w:shd w:val="clear" w:color="auto" w:fill="auto"/>
            <w:noWrap/>
            <w:vAlign w:val="bottom"/>
          </w:tcPr>
          <w:p w14:paraId="704B8F64" w14:textId="77777777" w:rsidR="00B01F78" w:rsidRDefault="00B01F78" w:rsidP="00B01F78">
            <w:pPr>
              <w:jc w:val="right"/>
              <w:rPr>
                <w:rFonts w:ascii="Calibri" w:eastAsia="Times New Roman" w:hAnsi="Calibri"/>
                <w:color w:val="000000"/>
              </w:rPr>
            </w:pPr>
            <w:r>
              <w:rPr>
                <w:rFonts w:ascii="Calibri" w:eastAsia="Times New Roman" w:hAnsi="Calibri"/>
                <w:color w:val="000000"/>
              </w:rPr>
              <w:t>4.93E-03</w:t>
            </w:r>
          </w:p>
        </w:tc>
      </w:tr>
      <w:tr w:rsidR="00B01F78" w:rsidRPr="0075087C" w14:paraId="0A6FC88A" w14:textId="77777777" w:rsidTr="00B01F7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3CA633AD" w14:textId="77777777" w:rsidR="00B01F78" w:rsidRDefault="00B01F78" w:rsidP="00B01F78">
            <w:pPr>
              <w:rPr>
                <w:rFonts w:ascii="Calibri" w:eastAsia="Times New Roman" w:hAnsi="Calibri"/>
                <w:color w:val="000000"/>
              </w:rPr>
            </w:pPr>
            <w:r>
              <w:rPr>
                <w:rFonts w:ascii="Calibri" w:eastAsia="Times New Roman" w:hAnsi="Calibri"/>
                <w:color w:val="000000"/>
              </w:rPr>
              <w:t>25</w:t>
            </w:r>
          </w:p>
        </w:tc>
        <w:tc>
          <w:tcPr>
            <w:tcW w:w="1300" w:type="dxa"/>
            <w:tcBorders>
              <w:top w:val="nil"/>
              <w:left w:val="nil"/>
              <w:bottom w:val="single" w:sz="4" w:space="0" w:color="auto"/>
              <w:right w:val="single" w:sz="4" w:space="0" w:color="auto"/>
            </w:tcBorders>
            <w:shd w:val="clear" w:color="auto" w:fill="auto"/>
            <w:noWrap/>
            <w:vAlign w:val="bottom"/>
          </w:tcPr>
          <w:p w14:paraId="4F194D03" w14:textId="77777777" w:rsidR="00B01F78" w:rsidRDefault="00B01F78" w:rsidP="00B01F78">
            <w:pPr>
              <w:rPr>
                <w:rFonts w:ascii="Calibri" w:eastAsia="Times New Roman" w:hAnsi="Calibri"/>
                <w:color w:val="000000"/>
              </w:rPr>
            </w:pPr>
            <w:r>
              <w:rPr>
                <w:rFonts w:ascii="Calibri" w:eastAsia="Times New Roman" w:hAnsi="Calibri"/>
                <w:color w:val="000000"/>
              </w:rPr>
              <w:t>2500</w:t>
            </w:r>
          </w:p>
        </w:tc>
        <w:tc>
          <w:tcPr>
            <w:tcW w:w="979" w:type="dxa"/>
            <w:tcBorders>
              <w:top w:val="nil"/>
              <w:left w:val="single" w:sz="4" w:space="0" w:color="auto"/>
              <w:bottom w:val="single" w:sz="4" w:space="0" w:color="auto"/>
              <w:right w:val="single" w:sz="4" w:space="0" w:color="auto"/>
            </w:tcBorders>
            <w:shd w:val="clear" w:color="auto" w:fill="auto"/>
            <w:noWrap/>
            <w:vAlign w:val="bottom"/>
          </w:tcPr>
          <w:p w14:paraId="18AC4BC7" w14:textId="77777777" w:rsidR="00B01F78" w:rsidRDefault="00B01F78" w:rsidP="00B01F78">
            <w:pPr>
              <w:jc w:val="right"/>
              <w:rPr>
                <w:rFonts w:ascii="Calibri" w:eastAsia="Times New Roman" w:hAnsi="Calibri"/>
                <w:color w:val="000000"/>
              </w:rPr>
            </w:pPr>
            <w:r>
              <w:rPr>
                <w:rFonts w:ascii="Calibri" w:eastAsia="Times New Roman" w:hAnsi="Calibri"/>
                <w:color w:val="000000"/>
              </w:rPr>
              <w:t>0.218</w:t>
            </w:r>
          </w:p>
        </w:tc>
        <w:tc>
          <w:tcPr>
            <w:tcW w:w="1621" w:type="dxa"/>
            <w:tcBorders>
              <w:top w:val="nil"/>
              <w:left w:val="nil"/>
              <w:bottom w:val="single" w:sz="4" w:space="0" w:color="auto"/>
              <w:right w:val="single" w:sz="4" w:space="0" w:color="auto"/>
            </w:tcBorders>
            <w:shd w:val="clear" w:color="auto" w:fill="auto"/>
            <w:noWrap/>
            <w:vAlign w:val="bottom"/>
          </w:tcPr>
          <w:p w14:paraId="24E3C30C" w14:textId="77777777" w:rsidR="00B01F78" w:rsidRDefault="00B01F78" w:rsidP="00B01F78">
            <w:pPr>
              <w:jc w:val="right"/>
              <w:rPr>
                <w:rFonts w:ascii="Calibri" w:eastAsia="Times New Roman" w:hAnsi="Calibri"/>
                <w:color w:val="000000"/>
              </w:rPr>
            </w:pPr>
            <w:r>
              <w:rPr>
                <w:rFonts w:ascii="Calibri" w:eastAsia="Times New Roman" w:hAnsi="Calibri"/>
                <w:color w:val="000000"/>
              </w:rPr>
              <w:t>6.30E-03</w:t>
            </w:r>
          </w:p>
        </w:tc>
        <w:tc>
          <w:tcPr>
            <w:tcW w:w="979" w:type="dxa"/>
            <w:tcBorders>
              <w:top w:val="nil"/>
              <w:left w:val="nil"/>
              <w:bottom w:val="single" w:sz="4" w:space="0" w:color="auto"/>
              <w:right w:val="single" w:sz="4" w:space="0" w:color="auto"/>
            </w:tcBorders>
            <w:shd w:val="clear" w:color="auto" w:fill="auto"/>
            <w:noWrap/>
            <w:vAlign w:val="bottom"/>
          </w:tcPr>
          <w:p w14:paraId="50BE6E36" w14:textId="77777777" w:rsidR="00B01F78" w:rsidRDefault="00B01F78" w:rsidP="00B01F78">
            <w:pPr>
              <w:jc w:val="right"/>
              <w:rPr>
                <w:rFonts w:ascii="Calibri" w:eastAsia="Times New Roman" w:hAnsi="Calibri"/>
                <w:color w:val="000000"/>
              </w:rPr>
            </w:pPr>
            <w:r>
              <w:rPr>
                <w:rFonts w:ascii="Calibri" w:eastAsia="Times New Roman" w:hAnsi="Calibri"/>
                <w:color w:val="000000"/>
              </w:rPr>
              <w:t>0.206</w:t>
            </w:r>
          </w:p>
        </w:tc>
        <w:tc>
          <w:tcPr>
            <w:tcW w:w="1621" w:type="dxa"/>
            <w:tcBorders>
              <w:top w:val="nil"/>
              <w:left w:val="nil"/>
              <w:bottom w:val="single" w:sz="4" w:space="0" w:color="auto"/>
              <w:right w:val="single" w:sz="4" w:space="0" w:color="auto"/>
            </w:tcBorders>
            <w:shd w:val="clear" w:color="auto" w:fill="auto"/>
            <w:noWrap/>
            <w:vAlign w:val="bottom"/>
          </w:tcPr>
          <w:p w14:paraId="3496F911" w14:textId="77777777" w:rsidR="00B01F78" w:rsidRDefault="00B01F78" w:rsidP="00B01F78">
            <w:pPr>
              <w:jc w:val="right"/>
              <w:rPr>
                <w:rFonts w:ascii="Calibri" w:eastAsia="Times New Roman" w:hAnsi="Calibri"/>
                <w:color w:val="000000"/>
              </w:rPr>
            </w:pPr>
            <w:r>
              <w:rPr>
                <w:rFonts w:ascii="Calibri" w:eastAsia="Times New Roman" w:hAnsi="Calibri"/>
                <w:color w:val="000000"/>
              </w:rPr>
              <w:t>7.02E-03</w:t>
            </w:r>
          </w:p>
        </w:tc>
        <w:tc>
          <w:tcPr>
            <w:tcW w:w="979" w:type="dxa"/>
            <w:tcBorders>
              <w:top w:val="nil"/>
              <w:left w:val="nil"/>
              <w:bottom w:val="single" w:sz="4" w:space="0" w:color="auto"/>
              <w:right w:val="single" w:sz="4" w:space="0" w:color="auto"/>
            </w:tcBorders>
            <w:shd w:val="clear" w:color="auto" w:fill="auto"/>
            <w:noWrap/>
            <w:vAlign w:val="bottom"/>
          </w:tcPr>
          <w:p w14:paraId="1EDDC6C9" w14:textId="77777777" w:rsidR="00B01F78" w:rsidRDefault="00B01F78" w:rsidP="00B01F78">
            <w:pPr>
              <w:jc w:val="right"/>
              <w:rPr>
                <w:rFonts w:ascii="Calibri" w:eastAsia="Times New Roman" w:hAnsi="Calibri"/>
                <w:color w:val="000000"/>
              </w:rPr>
            </w:pPr>
            <w:r>
              <w:rPr>
                <w:rFonts w:ascii="Calibri" w:eastAsia="Times New Roman" w:hAnsi="Calibri"/>
                <w:color w:val="000000"/>
              </w:rPr>
              <w:t>0.186</w:t>
            </w:r>
          </w:p>
        </w:tc>
        <w:tc>
          <w:tcPr>
            <w:tcW w:w="1621" w:type="dxa"/>
            <w:tcBorders>
              <w:top w:val="nil"/>
              <w:left w:val="nil"/>
              <w:bottom w:val="single" w:sz="4" w:space="0" w:color="auto"/>
              <w:right w:val="single" w:sz="4" w:space="0" w:color="auto"/>
            </w:tcBorders>
            <w:shd w:val="clear" w:color="auto" w:fill="auto"/>
            <w:noWrap/>
            <w:vAlign w:val="bottom"/>
          </w:tcPr>
          <w:p w14:paraId="3D1FDD0B" w14:textId="77777777" w:rsidR="00B01F78" w:rsidRDefault="00B01F78" w:rsidP="00B01F78">
            <w:pPr>
              <w:jc w:val="right"/>
              <w:rPr>
                <w:rFonts w:ascii="Calibri" w:eastAsia="Times New Roman" w:hAnsi="Calibri"/>
                <w:color w:val="000000"/>
              </w:rPr>
            </w:pPr>
            <w:r>
              <w:rPr>
                <w:rFonts w:ascii="Calibri" w:eastAsia="Times New Roman" w:hAnsi="Calibri"/>
                <w:color w:val="000000"/>
              </w:rPr>
              <w:t>5.75E-03</w:t>
            </w:r>
          </w:p>
        </w:tc>
      </w:tr>
      <w:tr w:rsidR="00B01F78" w:rsidRPr="0075087C" w14:paraId="794CE34A" w14:textId="77777777" w:rsidTr="00B01F78">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7D6D0BEE" w14:textId="77777777" w:rsidR="00B01F78" w:rsidRDefault="00B01F78" w:rsidP="00B01F78">
            <w:pPr>
              <w:rPr>
                <w:rFonts w:ascii="Calibri" w:eastAsia="Times New Roman" w:hAnsi="Calibri"/>
                <w:color w:val="000000"/>
              </w:rPr>
            </w:pPr>
            <w:r>
              <w:rPr>
                <w:rFonts w:ascii="Calibri" w:eastAsia="Times New Roman" w:hAnsi="Calibri"/>
                <w:color w:val="000000"/>
              </w:rPr>
              <w:t>2500</w:t>
            </w:r>
          </w:p>
        </w:tc>
        <w:tc>
          <w:tcPr>
            <w:tcW w:w="1300" w:type="dxa"/>
            <w:tcBorders>
              <w:top w:val="nil"/>
              <w:left w:val="nil"/>
              <w:bottom w:val="single" w:sz="4" w:space="0" w:color="auto"/>
              <w:right w:val="single" w:sz="4" w:space="0" w:color="auto"/>
            </w:tcBorders>
            <w:shd w:val="clear" w:color="auto" w:fill="auto"/>
            <w:noWrap/>
            <w:vAlign w:val="bottom"/>
          </w:tcPr>
          <w:p w14:paraId="5B6F9355" w14:textId="77777777" w:rsidR="00B01F78" w:rsidRDefault="00B01F78" w:rsidP="00B01F78">
            <w:pPr>
              <w:rPr>
                <w:rFonts w:ascii="Calibri" w:eastAsia="Times New Roman" w:hAnsi="Calibri"/>
                <w:color w:val="000000"/>
              </w:rPr>
            </w:pPr>
            <w:r>
              <w:rPr>
                <w:rFonts w:ascii="Calibri" w:eastAsia="Times New Roman" w:hAnsi="Calibri"/>
                <w:color w:val="000000"/>
              </w:rPr>
              <w:t>25</w:t>
            </w:r>
          </w:p>
        </w:tc>
        <w:tc>
          <w:tcPr>
            <w:tcW w:w="979" w:type="dxa"/>
            <w:tcBorders>
              <w:top w:val="nil"/>
              <w:left w:val="single" w:sz="4" w:space="0" w:color="auto"/>
              <w:bottom w:val="single" w:sz="4" w:space="0" w:color="auto"/>
              <w:right w:val="single" w:sz="4" w:space="0" w:color="auto"/>
            </w:tcBorders>
            <w:shd w:val="clear" w:color="auto" w:fill="auto"/>
            <w:noWrap/>
            <w:vAlign w:val="bottom"/>
          </w:tcPr>
          <w:p w14:paraId="6274170B" w14:textId="77777777" w:rsidR="00B01F78" w:rsidRDefault="00B01F78" w:rsidP="00B01F78">
            <w:pPr>
              <w:jc w:val="right"/>
              <w:rPr>
                <w:rFonts w:ascii="Calibri" w:eastAsia="Times New Roman" w:hAnsi="Calibri"/>
                <w:color w:val="000000"/>
              </w:rPr>
            </w:pPr>
            <w:r>
              <w:rPr>
                <w:rFonts w:ascii="Calibri" w:eastAsia="Times New Roman" w:hAnsi="Calibri"/>
                <w:color w:val="000000"/>
              </w:rPr>
              <w:t>0.164</w:t>
            </w:r>
          </w:p>
        </w:tc>
        <w:tc>
          <w:tcPr>
            <w:tcW w:w="1621" w:type="dxa"/>
            <w:tcBorders>
              <w:top w:val="nil"/>
              <w:left w:val="nil"/>
              <w:bottom w:val="single" w:sz="4" w:space="0" w:color="auto"/>
              <w:right w:val="single" w:sz="4" w:space="0" w:color="auto"/>
            </w:tcBorders>
            <w:shd w:val="clear" w:color="auto" w:fill="auto"/>
            <w:noWrap/>
            <w:vAlign w:val="bottom"/>
          </w:tcPr>
          <w:p w14:paraId="1AA4E1CE" w14:textId="77777777" w:rsidR="00B01F78" w:rsidRDefault="00B01F78" w:rsidP="00B01F78">
            <w:pPr>
              <w:jc w:val="right"/>
              <w:rPr>
                <w:rFonts w:ascii="Calibri" w:eastAsia="Times New Roman" w:hAnsi="Calibri"/>
                <w:color w:val="000000"/>
              </w:rPr>
            </w:pPr>
            <w:r>
              <w:rPr>
                <w:rFonts w:ascii="Calibri" w:eastAsia="Times New Roman" w:hAnsi="Calibri"/>
                <w:color w:val="000000"/>
              </w:rPr>
              <w:t>4.95E-03</w:t>
            </w:r>
          </w:p>
        </w:tc>
        <w:tc>
          <w:tcPr>
            <w:tcW w:w="979" w:type="dxa"/>
            <w:tcBorders>
              <w:top w:val="nil"/>
              <w:left w:val="nil"/>
              <w:bottom w:val="single" w:sz="4" w:space="0" w:color="auto"/>
              <w:right w:val="single" w:sz="4" w:space="0" w:color="auto"/>
            </w:tcBorders>
            <w:shd w:val="clear" w:color="auto" w:fill="auto"/>
            <w:noWrap/>
            <w:vAlign w:val="bottom"/>
          </w:tcPr>
          <w:p w14:paraId="42776963" w14:textId="77777777" w:rsidR="00B01F78" w:rsidRDefault="00B01F78" w:rsidP="00B01F78">
            <w:pPr>
              <w:jc w:val="right"/>
              <w:rPr>
                <w:rFonts w:ascii="Calibri" w:eastAsia="Times New Roman" w:hAnsi="Calibri"/>
                <w:color w:val="000000"/>
              </w:rPr>
            </w:pPr>
            <w:r>
              <w:rPr>
                <w:rFonts w:ascii="Calibri" w:eastAsia="Times New Roman" w:hAnsi="Calibri"/>
                <w:color w:val="000000"/>
              </w:rPr>
              <w:t>0.204</w:t>
            </w:r>
          </w:p>
        </w:tc>
        <w:tc>
          <w:tcPr>
            <w:tcW w:w="1621" w:type="dxa"/>
            <w:tcBorders>
              <w:top w:val="nil"/>
              <w:left w:val="nil"/>
              <w:bottom w:val="single" w:sz="4" w:space="0" w:color="auto"/>
              <w:right w:val="single" w:sz="4" w:space="0" w:color="auto"/>
            </w:tcBorders>
            <w:shd w:val="clear" w:color="auto" w:fill="auto"/>
            <w:noWrap/>
            <w:vAlign w:val="bottom"/>
          </w:tcPr>
          <w:p w14:paraId="7A12D4BA" w14:textId="77777777" w:rsidR="00B01F78" w:rsidRDefault="00B01F78" w:rsidP="00B01F78">
            <w:pPr>
              <w:jc w:val="right"/>
              <w:rPr>
                <w:rFonts w:ascii="Calibri" w:eastAsia="Times New Roman" w:hAnsi="Calibri"/>
                <w:color w:val="000000"/>
              </w:rPr>
            </w:pPr>
            <w:r>
              <w:rPr>
                <w:rFonts w:ascii="Calibri" w:eastAsia="Times New Roman" w:hAnsi="Calibri"/>
                <w:color w:val="000000"/>
              </w:rPr>
              <w:t>5.07E-03</w:t>
            </w:r>
          </w:p>
        </w:tc>
        <w:tc>
          <w:tcPr>
            <w:tcW w:w="979" w:type="dxa"/>
            <w:tcBorders>
              <w:top w:val="nil"/>
              <w:left w:val="nil"/>
              <w:bottom w:val="single" w:sz="4" w:space="0" w:color="auto"/>
              <w:right w:val="single" w:sz="4" w:space="0" w:color="auto"/>
            </w:tcBorders>
            <w:shd w:val="clear" w:color="auto" w:fill="auto"/>
            <w:noWrap/>
            <w:vAlign w:val="bottom"/>
          </w:tcPr>
          <w:p w14:paraId="3F77D4A3" w14:textId="77777777" w:rsidR="00B01F78" w:rsidRDefault="00B01F78" w:rsidP="00B01F78">
            <w:pPr>
              <w:jc w:val="right"/>
              <w:rPr>
                <w:rFonts w:ascii="Calibri" w:eastAsia="Times New Roman" w:hAnsi="Calibri"/>
                <w:color w:val="000000"/>
              </w:rPr>
            </w:pPr>
            <w:r>
              <w:rPr>
                <w:rFonts w:ascii="Calibri" w:eastAsia="Times New Roman" w:hAnsi="Calibri"/>
                <w:color w:val="000000"/>
              </w:rPr>
              <w:t>0.185</w:t>
            </w:r>
          </w:p>
        </w:tc>
        <w:tc>
          <w:tcPr>
            <w:tcW w:w="1621" w:type="dxa"/>
            <w:tcBorders>
              <w:top w:val="nil"/>
              <w:left w:val="nil"/>
              <w:bottom w:val="single" w:sz="4" w:space="0" w:color="auto"/>
              <w:right w:val="single" w:sz="4" w:space="0" w:color="auto"/>
            </w:tcBorders>
            <w:shd w:val="clear" w:color="auto" w:fill="auto"/>
            <w:noWrap/>
            <w:vAlign w:val="bottom"/>
          </w:tcPr>
          <w:p w14:paraId="73254ECC" w14:textId="77777777" w:rsidR="00B01F78" w:rsidRDefault="00B01F78" w:rsidP="00B01F78">
            <w:pPr>
              <w:jc w:val="right"/>
              <w:rPr>
                <w:rFonts w:ascii="Calibri" w:eastAsia="Times New Roman" w:hAnsi="Calibri"/>
                <w:color w:val="000000"/>
              </w:rPr>
            </w:pPr>
            <w:r>
              <w:rPr>
                <w:rFonts w:ascii="Calibri" w:eastAsia="Times New Roman" w:hAnsi="Calibri"/>
                <w:color w:val="000000"/>
              </w:rPr>
              <w:t>4.68E-03</w:t>
            </w:r>
          </w:p>
        </w:tc>
      </w:tr>
    </w:tbl>
    <w:p w14:paraId="15B87F67" w14:textId="77777777" w:rsidR="00B01F78" w:rsidRDefault="00B01F78" w:rsidP="00B01F78"/>
    <w:p w14:paraId="61FC4D16" w14:textId="77777777" w:rsidR="00B01F78" w:rsidRDefault="003A2591" w:rsidP="00B01F78">
      <w:r>
        <w:t>Table S3</w:t>
      </w:r>
      <w:r w:rsidR="00B01F78">
        <w:t xml:space="preserve">. Here we assess the effect of sample size and estimator on the resulting genome-wide estimate of </w:t>
      </w:r>
      <w:r w:rsidR="00B01F78" w:rsidRPr="001C257D">
        <w:rPr>
          <w:i/>
        </w:rPr>
        <w:t>F</w:t>
      </w:r>
      <w:r w:rsidR="00B01F78" w:rsidRPr="001C257D">
        <w:rPr>
          <w:vertAlign w:val="subscript"/>
        </w:rPr>
        <w:t>ST</w:t>
      </w:r>
      <w:r w:rsidR="00B01F78">
        <w:t xml:space="preserve">. These estimates should be compared with a value of 0.190 expected given the demographic history specified and a population split 1000 generations ago (see </w:t>
      </w:r>
      <w:r w:rsidR="00DC37DB">
        <w:t>above</w:t>
      </w:r>
      <w:r w:rsidR="00B01F78">
        <w:t xml:space="preserve">). We see that with equal sample sizes, the WC and Hudson estimators result in identical estimates that are in accordance with the expected result. When the sample sizes are altered, the WC estimates become biased, with the direction of bias depending upon the relative sample sizes. While the Nei estimator is insensitive to sample sizes, it consistently produces an upwardly biased estimate of </w:t>
      </w:r>
      <w:r w:rsidR="00B01F78" w:rsidRPr="001C257D">
        <w:rPr>
          <w:i/>
        </w:rPr>
        <w:t>F</w:t>
      </w:r>
      <w:r w:rsidR="00B01F78" w:rsidRPr="001C257D">
        <w:rPr>
          <w:vertAlign w:val="subscript"/>
        </w:rPr>
        <w:t>ST</w:t>
      </w:r>
      <w:r w:rsidR="00B01F78">
        <w:t xml:space="preserve">. </w:t>
      </w:r>
    </w:p>
    <w:p w14:paraId="27262773" w14:textId="77777777" w:rsidR="00B01F78" w:rsidRDefault="00B01F78" w:rsidP="00843DE8"/>
    <w:p w14:paraId="7DC4342D" w14:textId="77777777" w:rsidR="00A3102C" w:rsidRPr="009C656B" w:rsidRDefault="003A2591" w:rsidP="00A3102C">
      <w:pPr>
        <w:pStyle w:val="Heading1"/>
      </w:pPr>
      <w:bookmarkStart w:id="230" w:name="_Toc217045520"/>
      <w:bookmarkStart w:id="231" w:name="_Toc219534432"/>
      <w:bookmarkStart w:id="232" w:name="_Toc219534514"/>
      <w:bookmarkStart w:id="233" w:name="_Toc232440805"/>
      <w:bookmarkStart w:id="234" w:name="_Toc232704472"/>
      <w:bookmarkStart w:id="235" w:name="_Toc232777597"/>
      <w:r>
        <w:t>Table S4</w:t>
      </w:r>
      <w:r w:rsidR="00A3102C" w:rsidRPr="009C656B">
        <w:t xml:space="preserve">. Effects of </w:t>
      </w:r>
      <w:r w:rsidR="00A3102C" w:rsidRPr="009C656B">
        <w:rPr>
          <w:i/>
        </w:rPr>
        <w:t>F</w:t>
      </w:r>
      <w:r w:rsidR="00A3102C" w:rsidRPr="009C656B">
        <w:rPr>
          <w:vertAlign w:val="subscript"/>
        </w:rPr>
        <w:t>ST</w:t>
      </w:r>
      <w:r w:rsidR="00A3102C" w:rsidRPr="009C656B">
        <w:t xml:space="preserve"> </w:t>
      </w:r>
      <w:r w:rsidR="00A3102C">
        <w:t>estimator</w:t>
      </w:r>
      <w:r w:rsidR="00A3102C" w:rsidRPr="009C656B">
        <w:t xml:space="preserve"> in the case of very simple demography</w:t>
      </w:r>
      <w:bookmarkEnd w:id="230"/>
      <w:bookmarkEnd w:id="231"/>
      <w:bookmarkEnd w:id="232"/>
      <w:bookmarkEnd w:id="233"/>
      <w:bookmarkEnd w:id="234"/>
      <w:bookmarkEnd w:id="235"/>
    </w:p>
    <w:p w14:paraId="6B129489" w14:textId="77777777" w:rsidR="00A3102C" w:rsidRDefault="00A3102C" w:rsidP="00A3102C"/>
    <w:tbl>
      <w:tblPr>
        <w:tblpPr w:leftFromText="180" w:rightFromText="180" w:vertAnchor="text" w:horzAnchor="page" w:tblpXSpec="center" w:tblpY="57"/>
        <w:tblW w:w="10400" w:type="dxa"/>
        <w:tblLook w:val="04A0" w:firstRow="1" w:lastRow="0" w:firstColumn="1" w:lastColumn="0" w:noHBand="0" w:noVBand="1"/>
      </w:tblPr>
      <w:tblGrid>
        <w:gridCol w:w="1300"/>
        <w:gridCol w:w="1300"/>
        <w:gridCol w:w="979"/>
        <w:gridCol w:w="1621"/>
        <w:gridCol w:w="979"/>
        <w:gridCol w:w="1621"/>
        <w:gridCol w:w="979"/>
        <w:gridCol w:w="1621"/>
      </w:tblGrid>
      <w:tr w:rsidR="00A3102C" w:rsidRPr="00FF6185" w14:paraId="70DAD6B2" w14:textId="77777777" w:rsidTr="00A3102C">
        <w:trPr>
          <w:trHeight w:val="360"/>
        </w:trPr>
        <w:tc>
          <w:tcPr>
            <w:tcW w:w="1300" w:type="dxa"/>
            <w:tcBorders>
              <w:top w:val="nil"/>
              <w:left w:val="nil"/>
              <w:bottom w:val="single" w:sz="8" w:space="0" w:color="auto"/>
              <w:right w:val="nil"/>
            </w:tcBorders>
            <w:shd w:val="clear" w:color="auto" w:fill="auto"/>
            <w:noWrap/>
            <w:vAlign w:val="center"/>
            <w:hideMark/>
          </w:tcPr>
          <w:p w14:paraId="42D94514" w14:textId="77777777" w:rsidR="00A3102C" w:rsidRPr="005127EC" w:rsidRDefault="00A3102C" w:rsidP="00A3102C">
            <w:pPr>
              <w:rPr>
                <w:rFonts w:ascii="Calibri" w:eastAsia="Times New Roman" w:hAnsi="Calibri"/>
                <w:color w:val="000000"/>
              </w:rPr>
            </w:pPr>
            <w:r w:rsidRPr="005127EC">
              <w:rPr>
                <w:rFonts w:ascii="Calibri" w:eastAsia="Times New Roman" w:hAnsi="Calibri"/>
                <w:color w:val="000000"/>
              </w:rPr>
              <w:t> </w:t>
            </w:r>
          </w:p>
        </w:tc>
        <w:tc>
          <w:tcPr>
            <w:tcW w:w="1300" w:type="dxa"/>
            <w:tcBorders>
              <w:top w:val="nil"/>
              <w:left w:val="nil"/>
              <w:bottom w:val="single" w:sz="8" w:space="0" w:color="auto"/>
              <w:right w:val="nil"/>
            </w:tcBorders>
            <w:shd w:val="clear" w:color="auto" w:fill="auto"/>
            <w:noWrap/>
            <w:vAlign w:val="center"/>
            <w:hideMark/>
          </w:tcPr>
          <w:p w14:paraId="243BED1B" w14:textId="77777777" w:rsidR="00A3102C" w:rsidRPr="005127EC" w:rsidRDefault="00A3102C" w:rsidP="00A3102C">
            <w:pPr>
              <w:rPr>
                <w:rFonts w:ascii="Calibri" w:eastAsia="Times New Roman" w:hAnsi="Calibri"/>
                <w:color w:val="000000"/>
              </w:rPr>
            </w:pPr>
            <w:r w:rsidRPr="005127EC">
              <w:rPr>
                <w:rFonts w:ascii="Calibri" w:eastAsia="Times New Roman" w:hAnsi="Calibri"/>
                <w:color w:val="000000"/>
              </w:rPr>
              <w:t> </w:t>
            </w:r>
          </w:p>
        </w:tc>
        <w:tc>
          <w:tcPr>
            <w:tcW w:w="78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03DA4F" w14:textId="77777777" w:rsidR="00A3102C" w:rsidRPr="005127EC" w:rsidRDefault="00A3102C" w:rsidP="00A3102C">
            <w:pPr>
              <w:jc w:val="center"/>
              <w:rPr>
                <w:rFonts w:ascii="Calibri" w:eastAsia="Times New Roman" w:hAnsi="Calibri"/>
                <w:i/>
                <w:iCs/>
                <w:color w:val="000000"/>
              </w:rPr>
            </w:pPr>
            <w:r w:rsidRPr="005127EC">
              <w:rPr>
                <w:rFonts w:ascii="Calibri" w:eastAsia="Times New Roman" w:hAnsi="Calibri"/>
                <w:i/>
                <w:iCs/>
                <w:color w:val="000000"/>
              </w:rPr>
              <w:t>F</w:t>
            </w:r>
            <w:r w:rsidRPr="005127EC">
              <w:rPr>
                <w:rFonts w:ascii="Calibri" w:eastAsia="Times New Roman" w:hAnsi="Calibri"/>
                <w:color w:val="000000"/>
                <w:vertAlign w:val="subscript"/>
              </w:rPr>
              <w:t>ST</w:t>
            </w:r>
            <w:r w:rsidRPr="005127EC">
              <w:rPr>
                <w:rFonts w:ascii="Calibri" w:eastAsia="Times New Roman" w:hAnsi="Calibri"/>
                <w:color w:val="000000"/>
              </w:rPr>
              <w:t xml:space="preserve"> </w:t>
            </w:r>
            <w:r>
              <w:rPr>
                <w:rFonts w:ascii="Calibri" w:eastAsia="Times New Roman" w:hAnsi="Calibri"/>
                <w:color w:val="000000"/>
              </w:rPr>
              <w:t>Estimator</w:t>
            </w:r>
          </w:p>
        </w:tc>
      </w:tr>
      <w:tr w:rsidR="00A3102C" w:rsidRPr="00FF6185" w14:paraId="6B0BBB8B" w14:textId="77777777" w:rsidTr="00A3102C">
        <w:trPr>
          <w:trHeight w:val="320"/>
        </w:trPr>
        <w:tc>
          <w:tcPr>
            <w:tcW w:w="26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B6E3E"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Sample Sizes</w:t>
            </w:r>
          </w:p>
        </w:tc>
        <w:tc>
          <w:tcPr>
            <w:tcW w:w="2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70F280" w14:textId="77777777" w:rsidR="00A3102C" w:rsidRPr="005127EC" w:rsidRDefault="00A3102C" w:rsidP="00A3102C">
            <w:pPr>
              <w:jc w:val="center"/>
              <w:rPr>
                <w:rFonts w:ascii="Calibri" w:eastAsia="Times New Roman" w:hAnsi="Calibri"/>
                <w:color w:val="000000"/>
              </w:rPr>
            </w:pPr>
            <w:r>
              <w:rPr>
                <w:rFonts w:ascii="Calibri" w:eastAsia="Times New Roman" w:hAnsi="Calibri"/>
                <w:color w:val="000000"/>
              </w:rPr>
              <w:t>WC</w:t>
            </w:r>
          </w:p>
        </w:tc>
        <w:tc>
          <w:tcPr>
            <w:tcW w:w="2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13F842" w14:textId="77777777" w:rsidR="00A3102C" w:rsidRPr="005127EC" w:rsidRDefault="00A3102C" w:rsidP="00A3102C">
            <w:pPr>
              <w:jc w:val="center"/>
              <w:rPr>
                <w:rFonts w:ascii="Calibri" w:eastAsia="Times New Roman" w:hAnsi="Calibri"/>
                <w:color w:val="000000"/>
              </w:rPr>
            </w:pPr>
            <w:r>
              <w:rPr>
                <w:rFonts w:ascii="Calibri" w:eastAsia="Times New Roman" w:hAnsi="Calibri"/>
                <w:color w:val="000000"/>
              </w:rPr>
              <w:t>Nei</w:t>
            </w:r>
          </w:p>
        </w:tc>
        <w:tc>
          <w:tcPr>
            <w:tcW w:w="2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27DB10"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Hudson</w:t>
            </w:r>
          </w:p>
        </w:tc>
      </w:tr>
      <w:tr w:rsidR="00A3102C" w:rsidRPr="00FF6185" w14:paraId="162163EA" w14:textId="77777777" w:rsidTr="00A3102C">
        <w:trPr>
          <w:trHeight w:val="36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C26AF52"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n</w:t>
            </w:r>
            <w:r w:rsidRPr="005127EC">
              <w:rPr>
                <w:rFonts w:ascii="Calibri" w:eastAsia="Times New Roman" w:hAnsi="Calibri"/>
                <w:color w:val="000000"/>
                <w:vertAlign w:val="subscript"/>
              </w:rPr>
              <w:t>1</w:t>
            </w:r>
          </w:p>
        </w:tc>
        <w:tc>
          <w:tcPr>
            <w:tcW w:w="1300" w:type="dxa"/>
            <w:tcBorders>
              <w:top w:val="nil"/>
              <w:left w:val="nil"/>
              <w:bottom w:val="single" w:sz="8" w:space="0" w:color="auto"/>
              <w:right w:val="single" w:sz="8" w:space="0" w:color="auto"/>
            </w:tcBorders>
            <w:shd w:val="clear" w:color="auto" w:fill="auto"/>
            <w:noWrap/>
            <w:vAlign w:val="center"/>
            <w:hideMark/>
          </w:tcPr>
          <w:p w14:paraId="33209EF4"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n</w:t>
            </w:r>
            <w:r w:rsidRPr="005127EC">
              <w:rPr>
                <w:rFonts w:ascii="Calibri" w:eastAsia="Times New Roman" w:hAnsi="Calibri"/>
                <w:color w:val="000000"/>
                <w:vertAlign w:val="subscript"/>
              </w:rPr>
              <w:t>2</w:t>
            </w:r>
          </w:p>
        </w:tc>
        <w:tc>
          <w:tcPr>
            <w:tcW w:w="979" w:type="dxa"/>
            <w:tcBorders>
              <w:top w:val="nil"/>
              <w:left w:val="nil"/>
              <w:bottom w:val="nil"/>
              <w:right w:val="single" w:sz="8" w:space="0" w:color="auto"/>
            </w:tcBorders>
            <w:shd w:val="clear" w:color="auto" w:fill="auto"/>
            <w:noWrap/>
            <w:vAlign w:val="center"/>
            <w:hideMark/>
          </w:tcPr>
          <w:p w14:paraId="057EB908"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Est.</w:t>
            </w:r>
          </w:p>
        </w:tc>
        <w:tc>
          <w:tcPr>
            <w:tcW w:w="1621" w:type="dxa"/>
            <w:tcBorders>
              <w:top w:val="nil"/>
              <w:left w:val="nil"/>
              <w:bottom w:val="nil"/>
              <w:right w:val="single" w:sz="8" w:space="0" w:color="auto"/>
            </w:tcBorders>
            <w:shd w:val="clear" w:color="auto" w:fill="auto"/>
            <w:noWrap/>
            <w:vAlign w:val="center"/>
            <w:hideMark/>
          </w:tcPr>
          <w:p w14:paraId="698D18D5"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Std. Error</w:t>
            </w:r>
          </w:p>
        </w:tc>
        <w:tc>
          <w:tcPr>
            <w:tcW w:w="979" w:type="dxa"/>
            <w:tcBorders>
              <w:top w:val="nil"/>
              <w:left w:val="nil"/>
              <w:bottom w:val="nil"/>
              <w:right w:val="single" w:sz="8" w:space="0" w:color="auto"/>
            </w:tcBorders>
            <w:shd w:val="clear" w:color="auto" w:fill="auto"/>
            <w:noWrap/>
            <w:vAlign w:val="center"/>
            <w:hideMark/>
          </w:tcPr>
          <w:p w14:paraId="64FE94AB"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Est.</w:t>
            </w:r>
          </w:p>
        </w:tc>
        <w:tc>
          <w:tcPr>
            <w:tcW w:w="1621" w:type="dxa"/>
            <w:tcBorders>
              <w:top w:val="nil"/>
              <w:left w:val="nil"/>
              <w:bottom w:val="nil"/>
              <w:right w:val="single" w:sz="8" w:space="0" w:color="auto"/>
            </w:tcBorders>
            <w:shd w:val="clear" w:color="auto" w:fill="auto"/>
            <w:noWrap/>
            <w:vAlign w:val="center"/>
            <w:hideMark/>
          </w:tcPr>
          <w:p w14:paraId="159A568A"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Std. Error</w:t>
            </w:r>
          </w:p>
        </w:tc>
        <w:tc>
          <w:tcPr>
            <w:tcW w:w="979" w:type="dxa"/>
            <w:tcBorders>
              <w:top w:val="nil"/>
              <w:left w:val="nil"/>
              <w:bottom w:val="nil"/>
              <w:right w:val="single" w:sz="8" w:space="0" w:color="auto"/>
            </w:tcBorders>
            <w:shd w:val="clear" w:color="auto" w:fill="auto"/>
            <w:noWrap/>
            <w:vAlign w:val="center"/>
            <w:hideMark/>
          </w:tcPr>
          <w:p w14:paraId="5CF6AD9E"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Est.</w:t>
            </w:r>
          </w:p>
        </w:tc>
        <w:tc>
          <w:tcPr>
            <w:tcW w:w="1621" w:type="dxa"/>
            <w:tcBorders>
              <w:top w:val="nil"/>
              <w:left w:val="nil"/>
              <w:bottom w:val="nil"/>
              <w:right w:val="single" w:sz="8" w:space="0" w:color="auto"/>
            </w:tcBorders>
            <w:shd w:val="clear" w:color="auto" w:fill="auto"/>
            <w:noWrap/>
            <w:vAlign w:val="center"/>
            <w:hideMark/>
          </w:tcPr>
          <w:p w14:paraId="7E6F7D28" w14:textId="77777777" w:rsidR="00A3102C" w:rsidRPr="005127EC" w:rsidRDefault="00A3102C" w:rsidP="00A3102C">
            <w:pPr>
              <w:jc w:val="center"/>
              <w:rPr>
                <w:rFonts w:ascii="Calibri" w:eastAsia="Times New Roman" w:hAnsi="Calibri"/>
                <w:color w:val="000000"/>
              </w:rPr>
            </w:pPr>
            <w:r w:rsidRPr="005127EC">
              <w:rPr>
                <w:rFonts w:ascii="Calibri" w:eastAsia="Times New Roman" w:hAnsi="Calibri"/>
                <w:color w:val="000000"/>
              </w:rPr>
              <w:t>Std. Error</w:t>
            </w:r>
          </w:p>
        </w:tc>
      </w:tr>
      <w:tr w:rsidR="00A3102C" w:rsidRPr="00FF6185" w14:paraId="13B62223" w14:textId="77777777" w:rsidTr="00A3102C">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A02CF91"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2500</w:t>
            </w:r>
          </w:p>
        </w:tc>
        <w:tc>
          <w:tcPr>
            <w:tcW w:w="1300" w:type="dxa"/>
            <w:tcBorders>
              <w:top w:val="nil"/>
              <w:left w:val="nil"/>
              <w:bottom w:val="single" w:sz="8" w:space="0" w:color="auto"/>
              <w:right w:val="nil"/>
            </w:tcBorders>
            <w:shd w:val="clear" w:color="auto" w:fill="auto"/>
            <w:noWrap/>
            <w:vAlign w:val="center"/>
            <w:hideMark/>
          </w:tcPr>
          <w:p w14:paraId="78E1B30E"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2500</w:t>
            </w:r>
          </w:p>
        </w:tc>
        <w:tc>
          <w:tcPr>
            <w:tcW w:w="97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F27EF"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0.183</w:t>
            </w:r>
          </w:p>
        </w:tc>
        <w:tc>
          <w:tcPr>
            <w:tcW w:w="1621" w:type="dxa"/>
            <w:tcBorders>
              <w:top w:val="single" w:sz="8" w:space="0" w:color="auto"/>
              <w:left w:val="nil"/>
              <w:bottom w:val="single" w:sz="8" w:space="0" w:color="auto"/>
              <w:right w:val="single" w:sz="8" w:space="0" w:color="auto"/>
            </w:tcBorders>
            <w:shd w:val="clear" w:color="auto" w:fill="auto"/>
            <w:noWrap/>
            <w:vAlign w:val="bottom"/>
            <w:hideMark/>
          </w:tcPr>
          <w:p w14:paraId="45CBBB70"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3.52E-03</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14:paraId="33E299B2"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0.201</w:t>
            </w:r>
          </w:p>
        </w:tc>
        <w:tc>
          <w:tcPr>
            <w:tcW w:w="1621" w:type="dxa"/>
            <w:tcBorders>
              <w:top w:val="single" w:sz="8" w:space="0" w:color="auto"/>
              <w:left w:val="nil"/>
              <w:bottom w:val="single" w:sz="8" w:space="0" w:color="auto"/>
              <w:right w:val="single" w:sz="8" w:space="0" w:color="auto"/>
            </w:tcBorders>
            <w:shd w:val="clear" w:color="auto" w:fill="auto"/>
            <w:noWrap/>
            <w:vAlign w:val="bottom"/>
            <w:hideMark/>
          </w:tcPr>
          <w:p w14:paraId="172F0B9F"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4.27E-03</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14:paraId="02DD90F5"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0.183</w:t>
            </w:r>
          </w:p>
        </w:tc>
        <w:tc>
          <w:tcPr>
            <w:tcW w:w="1621" w:type="dxa"/>
            <w:tcBorders>
              <w:top w:val="single" w:sz="8" w:space="0" w:color="auto"/>
              <w:left w:val="nil"/>
              <w:bottom w:val="single" w:sz="8" w:space="0" w:color="auto"/>
              <w:right w:val="single" w:sz="8" w:space="0" w:color="auto"/>
            </w:tcBorders>
            <w:shd w:val="clear" w:color="auto" w:fill="auto"/>
            <w:noWrap/>
            <w:vAlign w:val="bottom"/>
            <w:hideMark/>
          </w:tcPr>
          <w:p w14:paraId="090EB158"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3.52E-03</w:t>
            </w:r>
          </w:p>
        </w:tc>
      </w:tr>
      <w:tr w:rsidR="00A3102C" w:rsidRPr="00FF6185" w14:paraId="558979DB" w14:textId="77777777" w:rsidTr="00A3102C">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D4866C8"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w:t>
            </w:r>
          </w:p>
        </w:tc>
        <w:tc>
          <w:tcPr>
            <w:tcW w:w="1300" w:type="dxa"/>
            <w:tcBorders>
              <w:top w:val="nil"/>
              <w:left w:val="nil"/>
              <w:bottom w:val="single" w:sz="8" w:space="0" w:color="auto"/>
              <w:right w:val="single" w:sz="8" w:space="0" w:color="auto"/>
            </w:tcBorders>
            <w:shd w:val="clear" w:color="auto" w:fill="auto"/>
            <w:noWrap/>
            <w:vAlign w:val="center"/>
            <w:hideMark/>
          </w:tcPr>
          <w:p w14:paraId="6D9BDB96"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2500</w:t>
            </w:r>
          </w:p>
        </w:tc>
        <w:tc>
          <w:tcPr>
            <w:tcW w:w="979" w:type="dxa"/>
            <w:tcBorders>
              <w:top w:val="nil"/>
              <w:left w:val="nil"/>
              <w:bottom w:val="single" w:sz="8" w:space="0" w:color="auto"/>
              <w:right w:val="single" w:sz="8" w:space="0" w:color="auto"/>
            </w:tcBorders>
            <w:shd w:val="clear" w:color="auto" w:fill="auto"/>
            <w:noWrap/>
            <w:vAlign w:val="center"/>
            <w:hideMark/>
          </w:tcPr>
          <w:p w14:paraId="0F43F23F"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0.181</w:t>
            </w:r>
          </w:p>
        </w:tc>
        <w:tc>
          <w:tcPr>
            <w:tcW w:w="1621" w:type="dxa"/>
            <w:tcBorders>
              <w:top w:val="nil"/>
              <w:left w:val="nil"/>
              <w:bottom w:val="single" w:sz="8" w:space="0" w:color="auto"/>
              <w:right w:val="single" w:sz="8" w:space="0" w:color="auto"/>
            </w:tcBorders>
            <w:shd w:val="clear" w:color="auto" w:fill="auto"/>
            <w:noWrap/>
            <w:vAlign w:val="center"/>
            <w:hideMark/>
          </w:tcPr>
          <w:p w14:paraId="3CB10BF7"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5.29E-03</w:t>
            </w:r>
          </w:p>
        </w:tc>
        <w:tc>
          <w:tcPr>
            <w:tcW w:w="979" w:type="dxa"/>
            <w:tcBorders>
              <w:top w:val="nil"/>
              <w:left w:val="nil"/>
              <w:bottom w:val="single" w:sz="8" w:space="0" w:color="auto"/>
              <w:right w:val="single" w:sz="8" w:space="0" w:color="auto"/>
            </w:tcBorders>
            <w:shd w:val="clear" w:color="auto" w:fill="auto"/>
            <w:noWrap/>
            <w:vAlign w:val="center"/>
            <w:hideMark/>
          </w:tcPr>
          <w:p w14:paraId="6F24DB98"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0.196</w:t>
            </w:r>
          </w:p>
        </w:tc>
        <w:tc>
          <w:tcPr>
            <w:tcW w:w="1621" w:type="dxa"/>
            <w:tcBorders>
              <w:top w:val="nil"/>
              <w:left w:val="nil"/>
              <w:bottom w:val="single" w:sz="8" w:space="0" w:color="auto"/>
              <w:right w:val="single" w:sz="8" w:space="0" w:color="auto"/>
            </w:tcBorders>
            <w:shd w:val="clear" w:color="auto" w:fill="auto"/>
            <w:noWrap/>
            <w:vAlign w:val="center"/>
            <w:hideMark/>
          </w:tcPr>
          <w:p w14:paraId="74094064"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6.45E-03</w:t>
            </w:r>
          </w:p>
        </w:tc>
        <w:tc>
          <w:tcPr>
            <w:tcW w:w="979" w:type="dxa"/>
            <w:tcBorders>
              <w:top w:val="nil"/>
              <w:left w:val="nil"/>
              <w:bottom w:val="single" w:sz="8" w:space="0" w:color="auto"/>
              <w:right w:val="single" w:sz="8" w:space="0" w:color="auto"/>
            </w:tcBorders>
            <w:shd w:val="clear" w:color="auto" w:fill="auto"/>
            <w:noWrap/>
            <w:vAlign w:val="center"/>
            <w:hideMark/>
          </w:tcPr>
          <w:p w14:paraId="21F82501"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0.177</w:t>
            </w:r>
          </w:p>
        </w:tc>
        <w:tc>
          <w:tcPr>
            <w:tcW w:w="1621" w:type="dxa"/>
            <w:tcBorders>
              <w:top w:val="nil"/>
              <w:left w:val="nil"/>
              <w:bottom w:val="single" w:sz="8" w:space="0" w:color="auto"/>
              <w:right w:val="single" w:sz="8" w:space="0" w:color="auto"/>
            </w:tcBorders>
            <w:shd w:val="clear" w:color="auto" w:fill="auto"/>
            <w:noWrap/>
            <w:vAlign w:val="center"/>
            <w:hideMark/>
          </w:tcPr>
          <w:p w14:paraId="47B067C3"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5.32E-03</w:t>
            </w:r>
          </w:p>
        </w:tc>
      </w:tr>
      <w:tr w:rsidR="00A3102C" w:rsidRPr="00FF6185" w14:paraId="4B9474A4" w14:textId="77777777" w:rsidTr="00A3102C">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614B47B"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2500</w:t>
            </w:r>
          </w:p>
        </w:tc>
        <w:tc>
          <w:tcPr>
            <w:tcW w:w="1300" w:type="dxa"/>
            <w:tcBorders>
              <w:top w:val="nil"/>
              <w:left w:val="nil"/>
              <w:bottom w:val="single" w:sz="8" w:space="0" w:color="auto"/>
              <w:right w:val="single" w:sz="8" w:space="0" w:color="auto"/>
            </w:tcBorders>
            <w:shd w:val="clear" w:color="auto" w:fill="auto"/>
            <w:noWrap/>
            <w:vAlign w:val="center"/>
            <w:hideMark/>
          </w:tcPr>
          <w:p w14:paraId="335C9811"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25</w:t>
            </w:r>
          </w:p>
        </w:tc>
        <w:tc>
          <w:tcPr>
            <w:tcW w:w="979" w:type="dxa"/>
            <w:tcBorders>
              <w:top w:val="nil"/>
              <w:left w:val="nil"/>
              <w:bottom w:val="single" w:sz="8" w:space="0" w:color="auto"/>
              <w:right w:val="single" w:sz="8" w:space="0" w:color="auto"/>
            </w:tcBorders>
            <w:shd w:val="clear" w:color="auto" w:fill="auto"/>
            <w:noWrap/>
            <w:vAlign w:val="center"/>
            <w:hideMark/>
          </w:tcPr>
          <w:p w14:paraId="0242A5A9"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0.179</w:t>
            </w:r>
          </w:p>
        </w:tc>
        <w:tc>
          <w:tcPr>
            <w:tcW w:w="1621" w:type="dxa"/>
            <w:tcBorders>
              <w:top w:val="nil"/>
              <w:left w:val="nil"/>
              <w:bottom w:val="single" w:sz="8" w:space="0" w:color="auto"/>
              <w:right w:val="single" w:sz="8" w:space="0" w:color="auto"/>
            </w:tcBorders>
            <w:shd w:val="clear" w:color="auto" w:fill="auto"/>
            <w:noWrap/>
            <w:vAlign w:val="center"/>
            <w:hideMark/>
          </w:tcPr>
          <w:p w14:paraId="51DA03EF"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4.83E-03</w:t>
            </w:r>
          </w:p>
        </w:tc>
        <w:tc>
          <w:tcPr>
            <w:tcW w:w="979" w:type="dxa"/>
            <w:tcBorders>
              <w:top w:val="nil"/>
              <w:left w:val="nil"/>
              <w:bottom w:val="single" w:sz="8" w:space="0" w:color="auto"/>
              <w:right w:val="single" w:sz="8" w:space="0" w:color="auto"/>
            </w:tcBorders>
            <w:shd w:val="clear" w:color="auto" w:fill="auto"/>
            <w:noWrap/>
            <w:vAlign w:val="center"/>
            <w:hideMark/>
          </w:tcPr>
          <w:p w14:paraId="33D5C2DE"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0.196</w:t>
            </w:r>
          </w:p>
        </w:tc>
        <w:tc>
          <w:tcPr>
            <w:tcW w:w="1621" w:type="dxa"/>
            <w:tcBorders>
              <w:top w:val="nil"/>
              <w:left w:val="nil"/>
              <w:bottom w:val="single" w:sz="8" w:space="0" w:color="auto"/>
              <w:right w:val="single" w:sz="8" w:space="0" w:color="auto"/>
            </w:tcBorders>
            <w:shd w:val="clear" w:color="auto" w:fill="auto"/>
            <w:noWrap/>
            <w:vAlign w:val="center"/>
            <w:hideMark/>
          </w:tcPr>
          <w:p w14:paraId="2AA17D5D"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5.83E-03</w:t>
            </w:r>
          </w:p>
        </w:tc>
        <w:tc>
          <w:tcPr>
            <w:tcW w:w="979" w:type="dxa"/>
            <w:tcBorders>
              <w:top w:val="nil"/>
              <w:left w:val="nil"/>
              <w:bottom w:val="single" w:sz="8" w:space="0" w:color="auto"/>
              <w:right w:val="single" w:sz="8" w:space="0" w:color="auto"/>
            </w:tcBorders>
            <w:shd w:val="clear" w:color="auto" w:fill="auto"/>
            <w:noWrap/>
            <w:vAlign w:val="center"/>
            <w:hideMark/>
          </w:tcPr>
          <w:p w14:paraId="105333E7"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0.179</w:t>
            </w:r>
          </w:p>
        </w:tc>
        <w:tc>
          <w:tcPr>
            <w:tcW w:w="1621" w:type="dxa"/>
            <w:tcBorders>
              <w:top w:val="nil"/>
              <w:left w:val="nil"/>
              <w:bottom w:val="single" w:sz="8" w:space="0" w:color="auto"/>
              <w:right w:val="single" w:sz="8" w:space="0" w:color="auto"/>
            </w:tcBorders>
            <w:shd w:val="clear" w:color="auto" w:fill="auto"/>
            <w:noWrap/>
            <w:vAlign w:val="center"/>
            <w:hideMark/>
          </w:tcPr>
          <w:p w14:paraId="62FAD399" w14:textId="77777777" w:rsidR="00A3102C" w:rsidRPr="005127EC" w:rsidRDefault="00A3102C" w:rsidP="00A3102C">
            <w:pPr>
              <w:jc w:val="right"/>
              <w:rPr>
                <w:rFonts w:ascii="Calibri" w:eastAsia="Times New Roman" w:hAnsi="Calibri"/>
                <w:color w:val="000000"/>
              </w:rPr>
            </w:pPr>
            <w:r w:rsidRPr="005127EC">
              <w:rPr>
                <w:rFonts w:ascii="Calibri" w:eastAsia="Times New Roman" w:hAnsi="Calibri"/>
                <w:color w:val="000000"/>
              </w:rPr>
              <w:t>4.83E-03</w:t>
            </w:r>
          </w:p>
        </w:tc>
      </w:tr>
    </w:tbl>
    <w:p w14:paraId="194B8C2D" w14:textId="77777777" w:rsidR="00A3102C" w:rsidRDefault="00A3102C" w:rsidP="00A3102C">
      <w:r>
        <w:t xml:space="preserve">We assessed the effects of </w:t>
      </w:r>
      <w:r w:rsidRPr="004B5839">
        <w:rPr>
          <w:i/>
        </w:rPr>
        <w:t>F</w:t>
      </w:r>
      <w:r w:rsidRPr="004B5839">
        <w:rPr>
          <w:vertAlign w:val="subscript"/>
        </w:rPr>
        <w:t>ST</w:t>
      </w:r>
      <w:r>
        <w:t xml:space="preserve"> estimator on estimates between populations simulated with simple demographic history (See above). In these instances, and with ascertainment in an out-group, we expect the WC and Hudson estimates to be identical and the Weir estimate to be independent of relative sample size. If the drift time of population 1 is equal to the drift time of population 2 then, the relationship between </w:t>
      </w:r>
      <w:r w:rsidRPr="004B5839">
        <w:rPr>
          <w:i/>
        </w:rPr>
        <w:t>F</w:t>
      </w:r>
      <w:r w:rsidRPr="004B5839">
        <w:rPr>
          <w:vertAlign w:val="subscript"/>
        </w:rPr>
        <w:t>ST</w:t>
      </w:r>
      <w:r>
        <w:t xml:space="preserve"> and divergence time is the same between the WC and Hudson estimators and matches the results reported in </w:t>
      </w:r>
      <w:r w:rsidR="00862942">
        <w:fldChar w:fldCharType="begin"/>
      </w:r>
      <w:r w:rsidR="00D73545">
        <w:instrText xml:space="preserve"> ADDIN PAPERS2_CITATIONS &lt;citation&gt;&lt;uuid&gt;42BFF4D5-E6AD-402A-A58E-08D37F8AA3D7&lt;/uuid&gt;&lt;priority&gt;47&lt;/priority&gt;&lt;publications&gt;&lt;publication&gt;&lt;uuid&gt;CFE09E90-A9BE-4961-8308-6CCA10FD005D&lt;/uuid&gt;&lt;volume&gt;467&lt;/volume&gt;&lt;accepted_date&gt;99201009301200000000222000&lt;/accepted_date&gt;&lt;doi&gt;10.1038/nature09534&lt;/doi&gt;&lt;startpage&gt;1061&lt;/startpage&gt;&lt;publication_date&gt;99201010281200000000222000&lt;/publication_date&gt;&lt;url&gt;http://eutils.ncbi.nlm.nih.gov/entrez/eutils/elink.fcgi?dbfrom=pubmed&amp;amp;id=20981092&amp;amp;retmode=ref&amp;amp;cmd=prlinks&lt;/url&gt;&lt;type&gt;400&lt;/type&gt;&lt;title&gt;A map of human genome variation from population-scale sequencing.&lt;/title&gt;&lt;submission_date&gt;99201007201200000000222000&lt;/submission_date&gt;&lt;number&gt;7319&lt;/number&gt;&lt;subtype&gt;400&lt;/subtype&gt;&lt;endpage&gt;1073&lt;/endpage&gt;&lt;bundle&gt;&lt;publication&gt;&lt;url&gt;http://www.nature.com/nature&lt;/url&gt;&lt;title&gt;Nature&lt;/title&gt;&lt;type&gt;-100&lt;/type&gt;&lt;subtype&gt;-100&lt;/subtype&gt;&lt;uuid&gt;6C310864-49BB-4421-ADF9-18C2D60E193A&lt;/uuid&gt;&lt;/publication&gt;&lt;/bundle&gt;&lt;authors&gt;&lt;author&gt;&lt;lastName&gt;1000 Genomes Project Consortium&lt;/lastName&gt;&lt;/author&gt;&lt;/authors&gt;&lt;/publication&gt;&lt;publication&gt;&lt;location&gt;200,4,37.7749295,-122.4194155&lt;/location&gt;&lt;publication_date&gt;99197100001200000000200000&lt;/publication_date&gt;&lt;title&gt;The genetics of human populations&lt;/title&gt;&lt;uuid&gt;8DC6D8F4-523D-46A7-A035-294B6977A6E0&lt;/uuid&gt;&lt;subtype&gt;0&lt;/subtype&gt;&lt;publisher&gt;W.H. Freeman&lt;/publisher&gt;&lt;type&gt;0&lt;/type&gt;&lt;place&gt;San Francisco&lt;/place&gt;&lt;citekey&gt;RefWorks:155&lt;/citekey&gt;&lt;url&gt;http://www.google.com/search?client=safari&amp;amp;rls=10_7_4&amp;amp;q=The+genetics+of+human+populations&amp;amp;ie=UTF-8&amp;amp;oe=UTF-8&lt;/url&gt;&lt;authors&gt;&lt;author&gt;&lt;firstName&gt;L&lt;/firstName&gt;&lt;middleNames&gt;L&lt;/middleNames&gt;&lt;lastName&gt;Cavalli-Sforza&lt;/lastName&gt;&lt;/author&gt;&lt;author&gt;&lt;firstName&gt;W&lt;/firstName&gt;&lt;middleNames&gt;F&lt;/middleNames&gt;&lt;lastName&gt;Bodmer&lt;/lastName&gt;&lt;/author&gt;&lt;/authors&gt;&lt;/publication&gt;&lt;publication&gt;&lt;uuid&gt;F21BC09C-340F-451C-B892-433AFD6FC666&lt;/uuid&gt;&lt;volume&gt;36&lt;/volume&gt;&lt;doi&gt;10.1146/annurev.genet.36.050802.093940&lt;/doi&gt;&lt;startpage&gt;721&lt;/startpage&gt;&lt;publication_date&gt;99200200001200000000200000&lt;/publication_date&gt;&lt;url&gt;http://eutils.ncbi.nlm.nih.gov/entrez/eutils/elink.fcgi?dbfrom=pubmed&amp;amp;id=12359738&amp;amp;retmode=ref&amp;amp;cmd=prlinks&lt;/url&gt;&lt;citekey&gt;RefWorks:85&lt;/citekey&gt;&lt;type&gt;400&lt;/type&gt;&lt;title&gt;Estimating F-statistics.&lt;/title&gt;&lt;location&gt;200,5,35.8100000,-78.7200000&lt;/location&gt;&lt;institution&gt;Program in Statistical Genetics, Department of Statistics, North Carolina State University, Raleigh, North Carolina 27695-7566, USA.&lt;/institution&gt;&lt;subtype&gt;400&lt;/subtype&gt;&lt;endpage&gt;750&lt;/endpage&gt;&lt;bundle&gt;&lt;publication&gt;&lt;title&gt;Annual review of genetics&lt;/title&gt;&lt;type&gt;-100&lt;/type&gt;&lt;subtype&gt;-100&lt;/subtype&gt;&lt;uuid&gt;902E8C5A-8604-4114-849C-82C2CC53F0F0&lt;/uuid&gt;&lt;/publication&gt;&lt;/bundle&gt;&lt;authors&gt;&lt;author&gt;&lt;firstName&gt;B&lt;/firstName&gt;&lt;middleNames&gt;S&lt;/middleNames&gt;&lt;lastName&gt;Weir&lt;/lastName&gt;&lt;/author&gt;&lt;author&gt;&lt;firstName&gt;W&lt;/firstName&gt;&lt;middleNames&gt;G&lt;/middleNames&gt;&lt;lastName&gt;Hill&lt;/lastName&gt;&lt;/author&gt;&lt;/authors&gt;&lt;/publication&gt;&lt;/publications&gt;&lt;cites&gt;&lt;/cites&gt;&lt;/citation&gt;</w:instrText>
      </w:r>
      <w:r w:rsidR="00862942">
        <w:fldChar w:fldCharType="separate"/>
      </w:r>
      <w:r w:rsidR="00D73545">
        <w:rPr>
          <w:rFonts w:cs="Cambria"/>
        </w:rPr>
        <w:t>(1000 Genomes Project Consortium 2010; Cavalli-Sforza and Bodmer 1971; Weir and Hill 2002)</w:t>
      </w:r>
      <w:r w:rsidR="00862942">
        <w:fldChar w:fldCharType="end"/>
      </w:r>
      <w:r>
        <w:t xml:space="preserve">. The estimator of Nei </w:t>
      </w:r>
      <w:r w:rsidR="00862942">
        <w:fldChar w:fldCharType="begin"/>
      </w:r>
      <w:r w:rsidR="00D73545">
        <w:instrText xml:space="preserve"> ADDIN PAPERS2_CITATIONS &lt;citation&gt;&lt;uuid&gt;4D8C6647-4430-4CD7-8A48-8DADE26298A1&lt;/uuid&gt;&lt;priority&gt;48&lt;/priority&gt;&lt;publications&gt;&lt;publication&gt;&lt;uuid&gt;643DE6D4-BE5D-4243-AE73-F73F11A626FF&lt;/uuid&gt;&lt;volume&gt;467&lt;/volume&gt;&lt;accepted_date&gt;99201006211200000000222000&lt;/accepted_date&gt;&lt;doi&gt;10.1038/nature09298&lt;/doi&gt;&lt;startpage&gt;52&lt;/startpage&gt;&lt;publication_date&gt;99201009021200000000222000&lt;/publication_date&gt;&lt;url&gt;http://eutils.ncbi.nlm.nih.gov/entrez/eutils/elink.fcgi?dbfrom=pubmed&amp;amp;id=20811451&amp;amp;retmode=ref&amp;amp;cmd=prlinks&lt;/url&gt;&lt;citekey&gt;RefWorks:41&lt;/citekey&gt;&lt;type&gt;400&lt;/type&gt;&lt;title&gt;Integrating common and rare genetic variation in diverse human populations.&lt;/title&gt;&lt;location&gt;200,5,42.3803274,-71.1389101&lt;/location&gt;&lt;submission_date&gt;99200911101200000000222000&lt;/submission_date&gt;&lt;number&gt;7311&lt;/number&gt;&lt;institution&gt;Broad Institute, 7 Cambridge Center, Cambridge, Massachusetts 02138, USA. altshuler@molbio.mgh.harvard.edu&lt;/institution&gt;&lt;subtype&gt;400&lt;/subtype&gt;&lt;endpage&gt;58&lt;/endpage&gt;&lt;bundle&gt;&lt;publication&gt;&lt;url&gt;http://www.nature.com/nature&lt;/url&gt;&lt;title&gt;Nature&lt;/title&gt;&lt;type&gt;-100&lt;/type&gt;&lt;subtype&gt;-100&lt;/subtype&gt;&lt;uuid&gt;6C310864-49BB-4421-ADF9-18C2D60E193A&lt;/uuid&gt;&lt;/publication&gt;&lt;/bundle&gt;&lt;authors&gt;&lt;author&gt;&lt;lastName&gt;International HapMap 3 Consortium&lt;/lastName&gt;&lt;/author&gt;&lt;/authors&gt;&lt;/publication&gt;&lt;publication&gt;&lt;uuid&gt;A761DD48-9AC7-4DC1-84D2-D3BF2FF8699F&lt;/uuid&gt;&lt;volume&gt;40&lt;/volume&gt;&lt;startpage&gt;643&lt;/startpage&gt;&lt;publication_date&gt;99198601011200000000222000&lt;/publication_date&gt;&lt;url&gt;http://www.jstor.org/stable/2408586&lt;/url&gt;&lt;citekey&gt;RefWorks:150&lt;/citekey&gt;&lt;type&gt;400&lt;/type&gt;&lt;title&gt;Definition and Estimation of Fixation Indices&lt;/title&gt;&lt;publisher&gt;Society for the Study of Evolution&lt;/publisher&gt;&lt;number&gt;3&lt;/number&gt;&lt;subtype&gt;400&lt;/subtype&gt;&lt;endpage&gt;645&lt;/endpage&gt;&lt;bundle&gt;&lt;publication&gt;&lt;title&gt;Evolution&lt;/title&gt;&lt;type&gt;-100&lt;/type&gt;&lt;subtype&gt;-100&lt;/subtype&gt;&lt;uuid&gt;F0EB598F-EE85-4B9D-B7A6-554C3D5205C2&lt;/uuid&gt;&lt;/publication&gt;&lt;/bundle&gt;&lt;authors&gt;&lt;author&gt;&lt;firstName&gt;Masatoshi&lt;/firstName&gt;&lt;lastName&gt;Nei&lt;/lastName&gt;&lt;/author&gt;&lt;/authors&gt;&lt;/publication&gt;&lt;/publications&gt;&lt;cites&gt;&lt;/cites&gt;&lt;/citation&gt;</w:instrText>
      </w:r>
      <w:r w:rsidR="00862942">
        <w:fldChar w:fldCharType="separate"/>
      </w:r>
      <w:r w:rsidR="00D73545">
        <w:rPr>
          <w:rFonts w:cs="Cambria"/>
        </w:rPr>
        <w:t>(International HapMap 3 Consortium 2010; Nei 1986)</w:t>
      </w:r>
      <w:r w:rsidR="00862942">
        <w:fldChar w:fldCharType="end"/>
      </w:r>
      <w:r>
        <w:t xml:space="preserve"> remains elevated relative to the others though, and continues to be independent of sample size. In the </w:t>
      </w:r>
      <w:r w:rsidR="003A2591">
        <w:t>above simulations</w:t>
      </w:r>
      <w:r>
        <w:t>, we focused on a more complex demographic scenario to illustrate properties of rare variants.</w:t>
      </w:r>
    </w:p>
    <w:p w14:paraId="024D509A" w14:textId="77777777" w:rsidR="00A3102C" w:rsidRPr="009C656B" w:rsidRDefault="003A2591" w:rsidP="00A3102C">
      <w:pPr>
        <w:pStyle w:val="Heading1"/>
      </w:pPr>
      <w:bookmarkStart w:id="236" w:name="_Toc217045521"/>
      <w:bookmarkStart w:id="237" w:name="_Toc219534433"/>
      <w:bookmarkStart w:id="238" w:name="_Toc219534515"/>
      <w:bookmarkStart w:id="239" w:name="_Toc232440806"/>
      <w:bookmarkStart w:id="240" w:name="_Toc232704473"/>
      <w:bookmarkStart w:id="241" w:name="_Toc232777598"/>
      <w:r>
        <w:t>Table S5</w:t>
      </w:r>
      <w:r w:rsidR="00A3102C" w:rsidRPr="009C656B">
        <w:t>. Effects of averaging and ascertainment in the case of very simple demography</w:t>
      </w:r>
      <w:bookmarkEnd w:id="236"/>
      <w:bookmarkEnd w:id="237"/>
      <w:bookmarkEnd w:id="238"/>
      <w:bookmarkEnd w:id="239"/>
      <w:bookmarkEnd w:id="240"/>
      <w:bookmarkEnd w:id="241"/>
    </w:p>
    <w:p w14:paraId="6B19C489" w14:textId="77777777" w:rsidR="00A3102C" w:rsidRDefault="00A3102C" w:rsidP="00A3102C">
      <w:pPr>
        <w:outlineLvl w:val="0"/>
      </w:pPr>
    </w:p>
    <w:tbl>
      <w:tblPr>
        <w:tblW w:w="7100" w:type="dxa"/>
        <w:jc w:val="center"/>
        <w:tblInd w:w="93" w:type="dxa"/>
        <w:tblLook w:val="04A0" w:firstRow="1" w:lastRow="0" w:firstColumn="1" w:lastColumn="0" w:noHBand="0" w:noVBand="1"/>
      </w:tblPr>
      <w:tblGrid>
        <w:gridCol w:w="1900"/>
        <w:gridCol w:w="1024"/>
        <w:gridCol w:w="1576"/>
        <w:gridCol w:w="1024"/>
        <w:gridCol w:w="1576"/>
      </w:tblGrid>
      <w:tr w:rsidR="00A3102C" w:rsidRPr="00FF6185" w14:paraId="5FFD0735" w14:textId="77777777" w:rsidTr="00A3102C">
        <w:trPr>
          <w:trHeight w:val="320"/>
          <w:jc w:val="center"/>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95BC7F"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Polymorphic In</w:t>
            </w:r>
          </w:p>
        </w:tc>
        <w:tc>
          <w:tcPr>
            <w:tcW w:w="26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96D474D" w14:textId="77777777" w:rsidR="00A3102C" w:rsidRPr="001D693F" w:rsidRDefault="00A3102C" w:rsidP="00A3102C">
            <w:pPr>
              <w:jc w:val="center"/>
              <w:rPr>
                <w:rFonts w:ascii="Calibri" w:eastAsia="Times New Roman" w:hAnsi="Calibri"/>
                <w:color w:val="000000"/>
              </w:rPr>
            </w:pPr>
            <w:r>
              <w:rPr>
                <w:rFonts w:ascii="Calibri" w:eastAsia="Times New Roman" w:hAnsi="Calibri"/>
                <w:color w:val="000000"/>
              </w:rPr>
              <w:t>Ratio of Averages</w:t>
            </w:r>
          </w:p>
        </w:tc>
        <w:tc>
          <w:tcPr>
            <w:tcW w:w="26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005535C9" w14:textId="77777777" w:rsidR="00A3102C" w:rsidRPr="001D693F" w:rsidRDefault="00A3102C" w:rsidP="00A3102C">
            <w:pPr>
              <w:jc w:val="center"/>
              <w:rPr>
                <w:rFonts w:ascii="Calibri" w:eastAsia="Times New Roman" w:hAnsi="Calibri"/>
                <w:color w:val="000000"/>
              </w:rPr>
            </w:pPr>
            <w:r>
              <w:rPr>
                <w:rFonts w:ascii="Calibri" w:eastAsia="Times New Roman" w:hAnsi="Calibri"/>
                <w:color w:val="000000"/>
              </w:rPr>
              <w:t>Average of Ratios</w:t>
            </w:r>
          </w:p>
        </w:tc>
      </w:tr>
      <w:tr w:rsidR="00A3102C" w:rsidRPr="00FF6185" w14:paraId="1FB28D2B" w14:textId="77777777" w:rsidTr="00A3102C">
        <w:trPr>
          <w:trHeight w:val="320"/>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090A5606"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OUTGROUP</w:t>
            </w:r>
          </w:p>
        </w:tc>
        <w:tc>
          <w:tcPr>
            <w:tcW w:w="1024" w:type="dxa"/>
            <w:tcBorders>
              <w:top w:val="nil"/>
              <w:left w:val="nil"/>
              <w:bottom w:val="single" w:sz="8" w:space="0" w:color="auto"/>
              <w:right w:val="single" w:sz="8" w:space="0" w:color="auto"/>
            </w:tcBorders>
            <w:shd w:val="clear" w:color="auto" w:fill="auto"/>
            <w:noWrap/>
            <w:vAlign w:val="bottom"/>
            <w:hideMark/>
          </w:tcPr>
          <w:p w14:paraId="6C92D6E7"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0.183</w:t>
            </w:r>
          </w:p>
        </w:tc>
        <w:tc>
          <w:tcPr>
            <w:tcW w:w="1576" w:type="dxa"/>
            <w:tcBorders>
              <w:top w:val="nil"/>
              <w:left w:val="nil"/>
              <w:bottom w:val="single" w:sz="8" w:space="0" w:color="auto"/>
              <w:right w:val="single" w:sz="8" w:space="0" w:color="auto"/>
            </w:tcBorders>
            <w:shd w:val="clear" w:color="auto" w:fill="auto"/>
            <w:noWrap/>
            <w:vAlign w:val="bottom"/>
            <w:hideMark/>
          </w:tcPr>
          <w:p w14:paraId="584B5AFF"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3.52E-03</w:t>
            </w:r>
          </w:p>
        </w:tc>
        <w:tc>
          <w:tcPr>
            <w:tcW w:w="1024" w:type="dxa"/>
            <w:tcBorders>
              <w:top w:val="nil"/>
              <w:left w:val="nil"/>
              <w:bottom w:val="single" w:sz="8" w:space="0" w:color="auto"/>
              <w:right w:val="single" w:sz="8" w:space="0" w:color="auto"/>
            </w:tcBorders>
            <w:shd w:val="clear" w:color="auto" w:fill="auto"/>
            <w:noWrap/>
            <w:vAlign w:val="bottom"/>
            <w:hideMark/>
          </w:tcPr>
          <w:p w14:paraId="5DEEC4DF"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0.139</w:t>
            </w:r>
          </w:p>
        </w:tc>
        <w:tc>
          <w:tcPr>
            <w:tcW w:w="1576" w:type="dxa"/>
            <w:tcBorders>
              <w:top w:val="nil"/>
              <w:left w:val="nil"/>
              <w:bottom w:val="single" w:sz="8" w:space="0" w:color="auto"/>
              <w:right w:val="single" w:sz="8" w:space="0" w:color="auto"/>
            </w:tcBorders>
            <w:shd w:val="clear" w:color="auto" w:fill="auto"/>
            <w:noWrap/>
            <w:vAlign w:val="bottom"/>
            <w:hideMark/>
          </w:tcPr>
          <w:p w14:paraId="2C038FDB"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2.15E-03</w:t>
            </w:r>
          </w:p>
        </w:tc>
      </w:tr>
      <w:tr w:rsidR="00A3102C" w:rsidRPr="00FF6185" w14:paraId="6350BCAE" w14:textId="77777777" w:rsidTr="00A3102C">
        <w:trPr>
          <w:trHeight w:val="320"/>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1FDE5E79"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POP1</w:t>
            </w:r>
          </w:p>
        </w:tc>
        <w:tc>
          <w:tcPr>
            <w:tcW w:w="1024" w:type="dxa"/>
            <w:tcBorders>
              <w:top w:val="nil"/>
              <w:left w:val="nil"/>
              <w:bottom w:val="single" w:sz="8" w:space="0" w:color="auto"/>
              <w:right w:val="single" w:sz="8" w:space="0" w:color="auto"/>
            </w:tcBorders>
            <w:shd w:val="clear" w:color="auto" w:fill="auto"/>
            <w:noWrap/>
            <w:vAlign w:val="bottom"/>
            <w:hideMark/>
          </w:tcPr>
          <w:p w14:paraId="30DB161C"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0.167</w:t>
            </w:r>
          </w:p>
        </w:tc>
        <w:tc>
          <w:tcPr>
            <w:tcW w:w="1576" w:type="dxa"/>
            <w:tcBorders>
              <w:top w:val="nil"/>
              <w:left w:val="nil"/>
              <w:bottom w:val="single" w:sz="8" w:space="0" w:color="auto"/>
              <w:right w:val="single" w:sz="8" w:space="0" w:color="auto"/>
            </w:tcBorders>
            <w:shd w:val="clear" w:color="auto" w:fill="auto"/>
            <w:noWrap/>
            <w:vAlign w:val="bottom"/>
            <w:hideMark/>
          </w:tcPr>
          <w:p w14:paraId="5FEBF4F4"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2.64E-03</w:t>
            </w:r>
          </w:p>
        </w:tc>
        <w:tc>
          <w:tcPr>
            <w:tcW w:w="1024" w:type="dxa"/>
            <w:tcBorders>
              <w:top w:val="nil"/>
              <w:left w:val="nil"/>
              <w:bottom w:val="single" w:sz="8" w:space="0" w:color="auto"/>
              <w:right w:val="single" w:sz="8" w:space="0" w:color="auto"/>
            </w:tcBorders>
            <w:shd w:val="clear" w:color="auto" w:fill="auto"/>
            <w:noWrap/>
            <w:vAlign w:val="bottom"/>
            <w:hideMark/>
          </w:tcPr>
          <w:p w14:paraId="7A212B19"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0.052</w:t>
            </w:r>
          </w:p>
        </w:tc>
        <w:tc>
          <w:tcPr>
            <w:tcW w:w="1576" w:type="dxa"/>
            <w:tcBorders>
              <w:top w:val="nil"/>
              <w:left w:val="nil"/>
              <w:bottom w:val="single" w:sz="8" w:space="0" w:color="auto"/>
              <w:right w:val="single" w:sz="8" w:space="0" w:color="auto"/>
            </w:tcBorders>
            <w:shd w:val="clear" w:color="auto" w:fill="auto"/>
            <w:noWrap/>
            <w:vAlign w:val="bottom"/>
            <w:hideMark/>
          </w:tcPr>
          <w:p w14:paraId="657F64F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5.94E-04</w:t>
            </w:r>
          </w:p>
        </w:tc>
      </w:tr>
      <w:tr w:rsidR="00A3102C" w:rsidRPr="00FF6185" w14:paraId="696E8E8C" w14:textId="77777777" w:rsidTr="00A3102C">
        <w:trPr>
          <w:trHeight w:val="320"/>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2B634976"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POP2</w:t>
            </w:r>
          </w:p>
        </w:tc>
        <w:tc>
          <w:tcPr>
            <w:tcW w:w="1024" w:type="dxa"/>
            <w:tcBorders>
              <w:top w:val="nil"/>
              <w:left w:val="nil"/>
              <w:bottom w:val="single" w:sz="8" w:space="0" w:color="auto"/>
              <w:right w:val="single" w:sz="8" w:space="0" w:color="auto"/>
            </w:tcBorders>
            <w:shd w:val="clear" w:color="auto" w:fill="auto"/>
            <w:noWrap/>
            <w:vAlign w:val="bottom"/>
            <w:hideMark/>
          </w:tcPr>
          <w:p w14:paraId="1B05FD1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0.169</w:t>
            </w:r>
          </w:p>
        </w:tc>
        <w:tc>
          <w:tcPr>
            <w:tcW w:w="1576" w:type="dxa"/>
            <w:tcBorders>
              <w:top w:val="nil"/>
              <w:left w:val="nil"/>
              <w:bottom w:val="single" w:sz="8" w:space="0" w:color="auto"/>
              <w:right w:val="single" w:sz="8" w:space="0" w:color="auto"/>
            </w:tcBorders>
            <w:shd w:val="clear" w:color="auto" w:fill="auto"/>
            <w:noWrap/>
            <w:vAlign w:val="bottom"/>
            <w:hideMark/>
          </w:tcPr>
          <w:p w14:paraId="4FCA872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2.77E-03</w:t>
            </w:r>
          </w:p>
        </w:tc>
        <w:tc>
          <w:tcPr>
            <w:tcW w:w="1024" w:type="dxa"/>
            <w:tcBorders>
              <w:top w:val="nil"/>
              <w:left w:val="nil"/>
              <w:bottom w:val="single" w:sz="8" w:space="0" w:color="auto"/>
              <w:right w:val="single" w:sz="8" w:space="0" w:color="auto"/>
            </w:tcBorders>
            <w:shd w:val="clear" w:color="auto" w:fill="auto"/>
            <w:noWrap/>
            <w:vAlign w:val="bottom"/>
            <w:hideMark/>
          </w:tcPr>
          <w:p w14:paraId="27AF1D4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0.052</w:t>
            </w:r>
          </w:p>
        </w:tc>
        <w:tc>
          <w:tcPr>
            <w:tcW w:w="1576" w:type="dxa"/>
            <w:tcBorders>
              <w:top w:val="nil"/>
              <w:left w:val="nil"/>
              <w:bottom w:val="single" w:sz="8" w:space="0" w:color="auto"/>
              <w:right w:val="single" w:sz="8" w:space="0" w:color="auto"/>
            </w:tcBorders>
            <w:shd w:val="clear" w:color="auto" w:fill="auto"/>
            <w:noWrap/>
            <w:vAlign w:val="bottom"/>
            <w:hideMark/>
          </w:tcPr>
          <w:p w14:paraId="04025B20"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6.02E-04</w:t>
            </w:r>
          </w:p>
        </w:tc>
      </w:tr>
      <w:tr w:rsidR="00A3102C" w:rsidRPr="00FF6185" w14:paraId="391289B6" w14:textId="77777777" w:rsidTr="00A3102C">
        <w:trPr>
          <w:trHeight w:val="320"/>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515F8C57"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POP1 AND POP2</w:t>
            </w:r>
          </w:p>
        </w:tc>
        <w:tc>
          <w:tcPr>
            <w:tcW w:w="1024" w:type="dxa"/>
            <w:tcBorders>
              <w:top w:val="nil"/>
              <w:left w:val="nil"/>
              <w:bottom w:val="single" w:sz="8" w:space="0" w:color="auto"/>
              <w:right w:val="single" w:sz="8" w:space="0" w:color="auto"/>
            </w:tcBorders>
            <w:shd w:val="clear" w:color="auto" w:fill="auto"/>
            <w:noWrap/>
            <w:vAlign w:val="bottom"/>
            <w:hideMark/>
          </w:tcPr>
          <w:p w14:paraId="5997CCA1"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0.168</w:t>
            </w:r>
          </w:p>
        </w:tc>
        <w:tc>
          <w:tcPr>
            <w:tcW w:w="1576" w:type="dxa"/>
            <w:tcBorders>
              <w:top w:val="nil"/>
              <w:left w:val="nil"/>
              <w:bottom w:val="single" w:sz="8" w:space="0" w:color="auto"/>
              <w:right w:val="single" w:sz="8" w:space="0" w:color="auto"/>
            </w:tcBorders>
            <w:shd w:val="clear" w:color="auto" w:fill="auto"/>
            <w:noWrap/>
            <w:vAlign w:val="bottom"/>
            <w:hideMark/>
          </w:tcPr>
          <w:p w14:paraId="2F92335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3.21E-03</w:t>
            </w:r>
          </w:p>
        </w:tc>
        <w:tc>
          <w:tcPr>
            <w:tcW w:w="1024" w:type="dxa"/>
            <w:tcBorders>
              <w:top w:val="nil"/>
              <w:left w:val="nil"/>
              <w:bottom w:val="single" w:sz="8" w:space="0" w:color="auto"/>
              <w:right w:val="single" w:sz="8" w:space="0" w:color="auto"/>
            </w:tcBorders>
            <w:shd w:val="clear" w:color="auto" w:fill="auto"/>
            <w:noWrap/>
            <w:vAlign w:val="bottom"/>
            <w:hideMark/>
          </w:tcPr>
          <w:p w14:paraId="16C7D424"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0.130</w:t>
            </w:r>
          </w:p>
        </w:tc>
        <w:tc>
          <w:tcPr>
            <w:tcW w:w="1576" w:type="dxa"/>
            <w:tcBorders>
              <w:top w:val="nil"/>
              <w:left w:val="nil"/>
              <w:bottom w:val="single" w:sz="8" w:space="0" w:color="auto"/>
              <w:right w:val="single" w:sz="8" w:space="0" w:color="auto"/>
            </w:tcBorders>
            <w:shd w:val="clear" w:color="auto" w:fill="auto"/>
            <w:noWrap/>
            <w:vAlign w:val="bottom"/>
            <w:hideMark/>
          </w:tcPr>
          <w:p w14:paraId="0B222C84"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1.27E-03</w:t>
            </w:r>
          </w:p>
        </w:tc>
      </w:tr>
      <w:tr w:rsidR="00A3102C" w:rsidRPr="00FF6185" w14:paraId="439737D3" w14:textId="77777777" w:rsidTr="00A3102C">
        <w:trPr>
          <w:trHeight w:val="320"/>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1739E915" w14:textId="77777777" w:rsidR="00A3102C" w:rsidRPr="001D693F" w:rsidRDefault="00A3102C" w:rsidP="00A3102C">
            <w:pPr>
              <w:rPr>
                <w:rFonts w:ascii="Calibri" w:eastAsia="Times New Roman" w:hAnsi="Calibri"/>
                <w:color w:val="000000"/>
              </w:rPr>
            </w:pPr>
            <w:r w:rsidRPr="001D693F">
              <w:rPr>
                <w:rFonts w:ascii="Calibri" w:eastAsia="Times New Roman" w:hAnsi="Calibri"/>
                <w:color w:val="000000"/>
              </w:rPr>
              <w:t>POP1 OR POP2</w:t>
            </w:r>
          </w:p>
        </w:tc>
        <w:tc>
          <w:tcPr>
            <w:tcW w:w="1024" w:type="dxa"/>
            <w:tcBorders>
              <w:top w:val="nil"/>
              <w:left w:val="nil"/>
              <w:bottom w:val="single" w:sz="8" w:space="0" w:color="auto"/>
              <w:right w:val="single" w:sz="8" w:space="0" w:color="auto"/>
            </w:tcBorders>
            <w:shd w:val="clear" w:color="auto" w:fill="auto"/>
            <w:noWrap/>
            <w:vAlign w:val="bottom"/>
            <w:hideMark/>
          </w:tcPr>
          <w:p w14:paraId="23AF7591"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0.169</w:t>
            </w:r>
          </w:p>
        </w:tc>
        <w:tc>
          <w:tcPr>
            <w:tcW w:w="1576" w:type="dxa"/>
            <w:tcBorders>
              <w:top w:val="nil"/>
              <w:left w:val="nil"/>
              <w:bottom w:val="single" w:sz="8" w:space="0" w:color="auto"/>
              <w:right w:val="single" w:sz="8" w:space="0" w:color="auto"/>
            </w:tcBorders>
            <w:shd w:val="clear" w:color="auto" w:fill="auto"/>
            <w:noWrap/>
            <w:vAlign w:val="bottom"/>
            <w:hideMark/>
          </w:tcPr>
          <w:p w14:paraId="1D3DF23A"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2.46E-03</w:t>
            </w:r>
          </w:p>
        </w:tc>
        <w:tc>
          <w:tcPr>
            <w:tcW w:w="1024" w:type="dxa"/>
            <w:tcBorders>
              <w:top w:val="nil"/>
              <w:left w:val="nil"/>
              <w:bottom w:val="single" w:sz="8" w:space="0" w:color="auto"/>
              <w:right w:val="single" w:sz="8" w:space="0" w:color="auto"/>
            </w:tcBorders>
            <w:shd w:val="clear" w:color="auto" w:fill="auto"/>
            <w:noWrap/>
            <w:vAlign w:val="bottom"/>
            <w:hideMark/>
          </w:tcPr>
          <w:p w14:paraId="6C825789"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0.041</w:t>
            </w:r>
          </w:p>
        </w:tc>
        <w:tc>
          <w:tcPr>
            <w:tcW w:w="1576" w:type="dxa"/>
            <w:tcBorders>
              <w:top w:val="nil"/>
              <w:left w:val="nil"/>
              <w:bottom w:val="single" w:sz="8" w:space="0" w:color="auto"/>
              <w:right w:val="single" w:sz="8" w:space="0" w:color="auto"/>
            </w:tcBorders>
            <w:shd w:val="clear" w:color="auto" w:fill="auto"/>
            <w:noWrap/>
            <w:vAlign w:val="bottom"/>
            <w:hideMark/>
          </w:tcPr>
          <w:p w14:paraId="5F651303" w14:textId="77777777" w:rsidR="00A3102C" w:rsidRPr="001D693F" w:rsidRDefault="00A3102C" w:rsidP="00A3102C">
            <w:pPr>
              <w:jc w:val="right"/>
              <w:rPr>
                <w:rFonts w:ascii="Calibri" w:eastAsia="Times New Roman" w:hAnsi="Calibri"/>
                <w:color w:val="000000"/>
              </w:rPr>
            </w:pPr>
            <w:r w:rsidRPr="001D693F">
              <w:rPr>
                <w:rFonts w:ascii="Calibri" w:eastAsia="Times New Roman" w:hAnsi="Calibri"/>
                <w:color w:val="000000"/>
              </w:rPr>
              <w:t>4.38E-04</w:t>
            </w:r>
          </w:p>
        </w:tc>
      </w:tr>
    </w:tbl>
    <w:p w14:paraId="1B457C69" w14:textId="77777777" w:rsidR="00A3102C" w:rsidRDefault="00A3102C" w:rsidP="00A3102C"/>
    <w:p w14:paraId="53C28B0E" w14:textId="77777777" w:rsidR="00A3102C" w:rsidRDefault="00A3102C" w:rsidP="00A3102C">
      <w:r>
        <w:t xml:space="preserve">Here we vary both the ascertainment and averaging method in the case of very simple demography. Here it becomes clear that ascertainment in the populations studied results in an exclusion of some of the most diverged SNPs and a smaller </w:t>
      </w:r>
      <w:r w:rsidRPr="004B5839">
        <w:rPr>
          <w:i/>
        </w:rPr>
        <w:t>F</w:t>
      </w:r>
      <w:r w:rsidRPr="004B5839">
        <w:rPr>
          <w:vertAlign w:val="subscript"/>
        </w:rPr>
        <w:t>ST</w:t>
      </w:r>
      <w:r>
        <w:t xml:space="preserve"> estimate. As </w:t>
      </w:r>
      <w:r w:rsidRPr="004B5839">
        <w:rPr>
          <w:i/>
        </w:rPr>
        <w:t>F</w:t>
      </w:r>
      <w:r w:rsidRPr="004B5839">
        <w:rPr>
          <w:vertAlign w:val="subscript"/>
        </w:rPr>
        <w:t>ST</w:t>
      </w:r>
      <w:r>
        <w:t xml:space="preserve"> can be estimated from any set of SNPs, we do not view this as incorrect, but motivating for future publications of </w:t>
      </w:r>
      <w:r w:rsidRPr="004B5839">
        <w:rPr>
          <w:i/>
        </w:rPr>
        <w:t>F</w:t>
      </w:r>
      <w:r w:rsidRPr="004B5839">
        <w:rPr>
          <w:vertAlign w:val="subscript"/>
        </w:rPr>
        <w:t>ST</w:t>
      </w:r>
      <w:r>
        <w:t xml:space="preserve"> estimates to include details of ascertainment scheme. When using an average of ratios, we see large reductions in </w:t>
      </w:r>
      <w:r w:rsidRPr="004B5839">
        <w:rPr>
          <w:i/>
        </w:rPr>
        <w:t>F</w:t>
      </w:r>
      <w:r w:rsidRPr="004B5839">
        <w:rPr>
          <w:vertAlign w:val="subscript"/>
        </w:rPr>
        <w:t>ST</w:t>
      </w:r>
      <w:r>
        <w:t xml:space="preserve"> for all ascertainment schemes and a large variation between different ascertainment schemes. Indeed, if for a permissive ascertainment scheme (POP1 or POP2) an estimate of 0.169 from a ratio of averages drops more than four-fold when using an average of ratios. The large variation between estimates from an average of ratios suggests that these estimates are essentially unrelated to the population demographic history, and that an average of ratios should be avoided in even the simplest demographic scenarios.</w:t>
      </w:r>
    </w:p>
    <w:p w14:paraId="695D79CA" w14:textId="77777777" w:rsidR="00A3102C" w:rsidRDefault="00A3102C" w:rsidP="008F1F46">
      <w:pPr>
        <w:pStyle w:val="Heading1"/>
      </w:pPr>
    </w:p>
    <w:p w14:paraId="42163531" w14:textId="77777777" w:rsidR="008F1F46" w:rsidRPr="009C656B" w:rsidRDefault="003A2591" w:rsidP="008F1F46">
      <w:pPr>
        <w:pStyle w:val="Heading1"/>
      </w:pPr>
      <w:bookmarkStart w:id="242" w:name="_Toc217045522"/>
      <w:bookmarkStart w:id="243" w:name="_Toc219534434"/>
      <w:bookmarkStart w:id="244" w:name="_Toc219534516"/>
      <w:bookmarkStart w:id="245" w:name="_Toc232440807"/>
      <w:bookmarkStart w:id="246" w:name="_Toc232704474"/>
      <w:bookmarkStart w:id="247" w:name="_Toc232777599"/>
      <w:r>
        <w:t>Table S6</w:t>
      </w:r>
      <w:r w:rsidR="008F1F46" w:rsidRPr="009C656B">
        <w:t>. Effects</w:t>
      </w:r>
      <w:r w:rsidR="008F1F46">
        <w:t xml:space="preserve"> of averaging and ascertainment</w:t>
      </w:r>
      <w:bookmarkEnd w:id="242"/>
      <w:bookmarkEnd w:id="243"/>
      <w:bookmarkEnd w:id="244"/>
      <w:bookmarkEnd w:id="245"/>
      <w:bookmarkEnd w:id="246"/>
      <w:bookmarkEnd w:id="247"/>
    </w:p>
    <w:p w14:paraId="69036779" w14:textId="77777777" w:rsidR="008F1F46" w:rsidRDefault="008F1F46" w:rsidP="00843DE8"/>
    <w:p w14:paraId="42A58285" w14:textId="77777777" w:rsidR="00FD1B7E" w:rsidRDefault="00FD1B7E" w:rsidP="00843DE8"/>
    <w:tbl>
      <w:tblPr>
        <w:tblW w:w="709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024"/>
        <w:gridCol w:w="1576"/>
        <w:gridCol w:w="1024"/>
        <w:gridCol w:w="1576"/>
      </w:tblGrid>
      <w:tr w:rsidR="008F1F46" w:rsidRPr="0075087C" w14:paraId="09B095C7" w14:textId="77777777" w:rsidTr="00B01F78">
        <w:trPr>
          <w:trHeight w:val="320"/>
          <w:jc w:val="center"/>
        </w:trPr>
        <w:tc>
          <w:tcPr>
            <w:tcW w:w="1892" w:type="dxa"/>
            <w:shd w:val="clear" w:color="auto" w:fill="auto"/>
            <w:noWrap/>
            <w:vAlign w:val="center"/>
          </w:tcPr>
          <w:p w14:paraId="628D01EE" w14:textId="77777777" w:rsidR="008F1F46" w:rsidRPr="007356D3" w:rsidRDefault="008F1F46" w:rsidP="00B01F78">
            <w:pPr>
              <w:rPr>
                <w:rFonts w:ascii="Calibri" w:eastAsia="Times New Roman" w:hAnsi="Calibri"/>
                <w:color w:val="000000"/>
              </w:rPr>
            </w:pPr>
            <w:r w:rsidRPr="007356D3">
              <w:rPr>
                <w:rFonts w:ascii="Calibri" w:eastAsia="Times New Roman" w:hAnsi="Calibri"/>
                <w:color w:val="000000"/>
              </w:rPr>
              <w:t>Polymorphic In</w:t>
            </w:r>
          </w:p>
        </w:tc>
        <w:tc>
          <w:tcPr>
            <w:tcW w:w="2600" w:type="dxa"/>
            <w:gridSpan w:val="2"/>
            <w:shd w:val="clear" w:color="auto" w:fill="auto"/>
            <w:noWrap/>
            <w:vAlign w:val="center"/>
          </w:tcPr>
          <w:p w14:paraId="568FEA97" w14:textId="77777777" w:rsidR="008F1F46" w:rsidRPr="007356D3" w:rsidRDefault="008F1F46" w:rsidP="00B01F78">
            <w:pPr>
              <w:jc w:val="center"/>
              <w:rPr>
                <w:rFonts w:ascii="Calibri" w:eastAsia="Times New Roman" w:hAnsi="Calibri"/>
                <w:color w:val="000000"/>
              </w:rPr>
            </w:pPr>
            <w:r>
              <w:rPr>
                <w:rFonts w:ascii="Calibri" w:eastAsia="Times New Roman" w:hAnsi="Calibri"/>
                <w:color w:val="000000"/>
              </w:rPr>
              <w:t>Ratio of Averages</w:t>
            </w:r>
          </w:p>
        </w:tc>
        <w:tc>
          <w:tcPr>
            <w:tcW w:w="2600" w:type="dxa"/>
            <w:gridSpan w:val="2"/>
            <w:shd w:val="clear" w:color="auto" w:fill="auto"/>
            <w:noWrap/>
            <w:vAlign w:val="center"/>
          </w:tcPr>
          <w:p w14:paraId="6A27889B" w14:textId="77777777" w:rsidR="008F1F46" w:rsidRPr="007356D3" w:rsidRDefault="008F1F46" w:rsidP="00B01F78">
            <w:pPr>
              <w:jc w:val="center"/>
              <w:rPr>
                <w:rFonts w:ascii="Calibri" w:eastAsia="Times New Roman" w:hAnsi="Calibri"/>
                <w:color w:val="000000"/>
              </w:rPr>
            </w:pPr>
            <w:r>
              <w:rPr>
                <w:rFonts w:ascii="Calibri" w:eastAsia="Times New Roman" w:hAnsi="Calibri"/>
                <w:color w:val="000000"/>
              </w:rPr>
              <w:t>Average of Ratios</w:t>
            </w:r>
          </w:p>
        </w:tc>
      </w:tr>
      <w:tr w:rsidR="008F1F46" w:rsidRPr="0075087C" w14:paraId="14F47070" w14:textId="77777777" w:rsidTr="00B01F78">
        <w:trPr>
          <w:trHeight w:val="320"/>
          <w:jc w:val="center"/>
        </w:trPr>
        <w:tc>
          <w:tcPr>
            <w:tcW w:w="1892" w:type="dxa"/>
            <w:shd w:val="clear" w:color="auto" w:fill="auto"/>
            <w:noWrap/>
            <w:vAlign w:val="center"/>
          </w:tcPr>
          <w:p w14:paraId="566EA33F" w14:textId="77777777" w:rsidR="008F1F46" w:rsidRPr="007356D3" w:rsidRDefault="008F1F46" w:rsidP="00B01F78">
            <w:pPr>
              <w:rPr>
                <w:rFonts w:ascii="Calibri" w:eastAsia="Times New Roman" w:hAnsi="Calibri"/>
                <w:color w:val="000000"/>
              </w:rPr>
            </w:pPr>
            <w:r w:rsidRPr="007356D3">
              <w:rPr>
                <w:rFonts w:ascii="Calibri" w:eastAsia="Times New Roman" w:hAnsi="Calibri"/>
                <w:color w:val="000000"/>
              </w:rPr>
              <w:t>POP1</w:t>
            </w:r>
          </w:p>
        </w:tc>
        <w:tc>
          <w:tcPr>
            <w:tcW w:w="1024" w:type="dxa"/>
            <w:shd w:val="clear" w:color="auto" w:fill="auto"/>
            <w:noWrap/>
            <w:vAlign w:val="center"/>
          </w:tcPr>
          <w:p w14:paraId="6D798B50"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0.172</w:t>
            </w:r>
          </w:p>
        </w:tc>
        <w:tc>
          <w:tcPr>
            <w:tcW w:w="1576" w:type="dxa"/>
            <w:shd w:val="clear" w:color="auto" w:fill="auto"/>
            <w:noWrap/>
            <w:vAlign w:val="center"/>
          </w:tcPr>
          <w:p w14:paraId="6AE27DB0"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3.05E-03</w:t>
            </w:r>
          </w:p>
        </w:tc>
        <w:tc>
          <w:tcPr>
            <w:tcW w:w="1024" w:type="dxa"/>
            <w:shd w:val="clear" w:color="auto" w:fill="auto"/>
            <w:noWrap/>
            <w:vAlign w:val="center"/>
          </w:tcPr>
          <w:p w14:paraId="0DFCAC12"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0.018</w:t>
            </w:r>
          </w:p>
        </w:tc>
        <w:tc>
          <w:tcPr>
            <w:tcW w:w="1576" w:type="dxa"/>
            <w:shd w:val="clear" w:color="auto" w:fill="auto"/>
            <w:noWrap/>
            <w:vAlign w:val="center"/>
          </w:tcPr>
          <w:p w14:paraId="3161EE01"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2.96E-04</w:t>
            </w:r>
          </w:p>
        </w:tc>
      </w:tr>
      <w:tr w:rsidR="008F1F46" w:rsidRPr="0075087C" w14:paraId="139850B4" w14:textId="77777777" w:rsidTr="00B01F78">
        <w:trPr>
          <w:trHeight w:val="320"/>
          <w:jc w:val="center"/>
        </w:trPr>
        <w:tc>
          <w:tcPr>
            <w:tcW w:w="1892" w:type="dxa"/>
            <w:shd w:val="clear" w:color="auto" w:fill="auto"/>
            <w:noWrap/>
            <w:vAlign w:val="center"/>
          </w:tcPr>
          <w:p w14:paraId="008A2486" w14:textId="77777777" w:rsidR="008F1F46" w:rsidRPr="007356D3" w:rsidRDefault="008F1F46" w:rsidP="00B01F78">
            <w:pPr>
              <w:rPr>
                <w:rFonts w:ascii="Calibri" w:eastAsia="Times New Roman" w:hAnsi="Calibri"/>
                <w:color w:val="000000"/>
              </w:rPr>
            </w:pPr>
            <w:r w:rsidRPr="007356D3">
              <w:rPr>
                <w:rFonts w:ascii="Calibri" w:eastAsia="Times New Roman" w:hAnsi="Calibri"/>
                <w:color w:val="000000"/>
              </w:rPr>
              <w:t>POP2</w:t>
            </w:r>
          </w:p>
        </w:tc>
        <w:tc>
          <w:tcPr>
            <w:tcW w:w="1024" w:type="dxa"/>
            <w:shd w:val="clear" w:color="auto" w:fill="auto"/>
            <w:noWrap/>
            <w:vAlign w:val="center"/>
          </w:tcPr>
          <w:p w14:paraId="4EA7E61F"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0.185</w:t>
            </w:r>
          </w:p>
        </w:tc>
        <w:tc>
          <w:tcPr>
            <w:tcW w:w="1576" w:type="dxa"/>
            <w:shd w:val="clear" w:color="auto" w:fill="auto"/>
            <w:noWrap/>
            <w:vAlign w:val="center"/>
          </w:tcPr>
          <w:p w14:paraId="1A340B02"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2.05E-03</w:t>
            </w:r>
          </w:p>
        </w:tc>
        <w:tc>
          <w:tcPr>
            <w:tcW w:w="1024" w:type="dxa"/>
            <w:shd w:val="clear" w:color="auto" w:fill="auto"/>
            <w:noWrap/>
            <w:vAlign w:val="center"/>
          </w:tcPr>
          <w:p w14:paraId="5996FF33"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0.115</w:t>
            </w:r>
          </w:p>
        </w:tc>
        <w:tc>
          <w:tcPr>
            <w:tcW w:w="1576" w:type="dxa"/>
            <w:shd w:val="clear" w:color="auto" w:fill="auto"/>
            <w:noWrap/>
            <w:vAlign w:val="center"/>
          </w:tcPr>
          <w:p w14:paraId="10C93F91"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7.45E-04</w:t>
            </w:r>
          </w:p>
        </w:tc>
      </w:tr>
      <w:tr w:rsidR="008F1F46" w:rsidRPr="0075087C" w14:paraId="32692421" w14:textId="77777777" w:rsidTr="00B01F78">
        <w:trPr>
          <w:trHeight w:val="320"/>
          <w:jc w:val="center"/>
        </w:trPr>
        <w:tc>
          <w:tcPr>
            <w:tcW w:w="1892" w:type="dxa"/>
            <w:shd w:val="clear" w:color="auto" w:fill="auto"/>
            <w:noWrap/>
            <w:vAlign w:val="center"/>
          </w:tcPr>
          <w:p w14:paraId="555CD79D" w14:textId="77777777" w:rsidR="008F1F46" w:rsidRPr="007356D3" w:rsidRDefault="008F1F46" w:rsidP="00B01F78">
            <w:pPr>
              <w:rPr>
                <w:rFonts w:ascii="Calibri" w:eastAsia="Times New Roman" w:hAnsi="Calibri"/>
                <w:color w:val="000000"/>
              </w:rPr>
            </w:pPr>
            <w:r w:rsidRPr="007356D3">
              <w:rPr>
                <w:rFonts w:ascii="Calibri" w:eastAsia="Times New Roman" w:hAnsi="Calibri"/>
                <w:color w:val="000000"/>
              </w:rPr>
              <w:t>POP1 AND POP2</w:t>
            </w:r>
          </w:p>
        </w:tc>
        <w:tc>
          <w:tcPr>
            <w:tcW w:w="1024" w:type="dxa"/>
            <w:shd w:val="clear" w:color="auto" w:fill="auto"/>
            <w:noWrap/>
            <w:vAlign w:val="center"/>
          </w:tcPr>
          <w:p w14:paraId="65C89426"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0.176</w:t>
            </w:r>
          </w:p>
        </w:tc>
        <w:tc>
          <w:tcPr>
            <w:tcW w:w="1576" w:type="dxa"/>
            <w:shd w:val="clear" w:color="auto" w:fill="auto"/>
            <w:noWrap/>
            <w:vAlign w:val="center"/>
          </w:tcPr>
          <w:p w14:paraId="5AE86825"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3.16E-03</w:t>
            </w:r>
          </w:p>
        </w:tc>
        <w:tc>
          <w:tcPr>
            <w:tcW w:w="1024" w:type="dxa"/>
            <w:shd w:val="clear" w:color="auto" w:fill="auto"/>
            <w:noWrap/>
            <w:vAlign w:val="center"/>
          </w:tcPr>
          <w:p w14:paraId="20F03453"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0.138</w:t>
            </w:r>
          </w:p>
        </w:tc>
        <w:tc>
          <w:tcPr>
            <w:tcW w:w="1576" w:type="dxa"/>
            <w:shd w:val="clear" w:color="auto" w:fill="auto"/>
            <w:noWrap/>
            <w:vAlign w:val="center"/>
          </w:tcPr>
          <w:p w14:paraId="3A1428AC"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9.18E-04</w:t>
            </w:r>
          </w:p>
        </w:tc>
      </w:tr>
      <w:tr w:rsidR="008F1F46" w:rsidRPr="0075087C" w14:paraId="33705FB4" w14:textId="77777777" w:rsidTr="00B01F78">
        <w:trPr>
          <w:trHeight w:val="320"/>
          <w:jc w:val="center"/>
        </w:trPr>
        <w:tc>
          <w:tcPr>
            <w:tcW w:w="1892" w:type="dxa"/>
            <w:shd w:val="clear" w:color="auto" w:fill="auto"/>
            <w:noWrap/>
            <w:vAlign w:val="center"/>
          </w:tcPr>
          <w:p w14:paraId="069BD112" w14:textId="77777777" w:rsidR="008F1F46" w:rsidRPr="007356D3" w:rsidRDefault="008F1F46" w:rsidP="00B01F78">
            <w:pPr>
              <w:rPr>
                <w:rFonts w:ascii="Calibri" w:eastAsia="Times New Roman" w:hAnsi="Calibri"/>
                <w:color w:val="000000"/>
              </w:rPr>
            </w:pPr>
            <w:r w:rsidRPr="007356D3">
              <w:rPr>
                <w:rFonts w:ascii="Calibri" w:eastAsia="Times New Roman" w:hAnsi="Calibri"/>
                <w:color w:val="000000"/>
              </w:rPr>
              <w:t>POP1 OR POP2</w:t>
            </w:r>
          </w:p>
        </w:tc>
        <w:tc>
          <w:tcPr>
            <w:tcW w:w="1024" w:type="dxa"/>
            <w:shd w:val="clear" w:color="auto" w:fill="auto"/>
            <w:noWrap/>
            <w:vAlign w:val="center"/>
          </w:tcPr>
          <w:p w14:paraId="22B0532B"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0.180</w:t>
            </w:r>
          </w:p>
        </w:tc>
        <w:tc>
          <w:tcPr>
            <w:tcW w:w="1576" w:type="dxa"/>
            <w:shd w:val="clear" w:color="auto" w:fill="auto"/>
            <w:noWrap/>
            <w:vAlign w:val="center"/>
          </w:tcPr>
          <w:p w14:paraId="617351DD"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3.02E-03</w:t>
            </w:r>
          </w:p>
        </w:tc>
        <w:tc>
          <w:tcPr>
            <w:tcW w:w="1024" w:type="dxa"/>
            <w:shd w:val="clear" w:color="auto" w:fill="auto"/>
            <w:noWrap/>
            <w:vAlign w:val="center"/>
          </w:tcPr>
          <w:p w14:paraId="201882CC"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0.020</w:t>
            </w:r>
          </w:p>
        </w:tc>
        <w:tc>
          <w:tcPr>
            <w:tcW w:w="1576" w:type="dxa"/>
            <w:shd w:val="clear" w:color="auto" w:fill="auto"/>
            <w:noWrap/>
            <w:vAlign w:val="center"/>
          </w:tcPr>
          <w:p w14:paraId="675E9B15" w14:textId="77777777" w:rsidR="008F1F46" w:rsidRPr="007356D3" w:rsidRDefault="008F1F46" w:rsidP="00B01F78">
            <w:pPr>
              <w:jc w:val="right"/>
              <w:rPr>
                <w:rFonts w:ascii="Calibri" w:eastAsia="Times New Roman" w:hAnsi="Calibri"/>
                <w:color w:val="000000"/>
              </w:rPr>
            </w:pPr>
            <w:r w:rsidRPr="007356D3">
              <w:rPr>
                <w:rFonts w:ascii="Calibri" w:eastAsia="Times New Roman" w:hAnsi="Calibri"/>
                <w:color w:val="000000"/>
              </w:rPr>
              <w:t>3.30E-04</w:t>
            </w:r>
          </w:p>
        </w:tc>
      </w:tr>
    </w:tbl>
    <w:p w14:paraId="79144584" w14:textId="77777777" w:rsidR="008F1F46" w:rsidRDefault="008F1F46" w:rsidP="008F1F46"/>
    <w:p w14:paraId="19BBE3F3" w14:textId="77777777" w:rsidR="008F1F46" w:rsidRDefault="003A2591" w:rsidP="008F1F46">
      <w:r>
        <w:t>Table S6</w:t>
      </w:r>
      <w:r w:rsidR="008F1F46">
        <w:t xml:space="preserve">. We compare different ascertainment schemes and combination methods under a scenario of differing demography. In this simulation population 1 was subject to a recent expansion and population 2 was subject to a recent bottleneck. These estimates should be compared with a value of 0.190 expected given the demography specified (see </w:t>
      </w:r>
      <w:r w:rsidR="00F95202">
        <w:t>above</w:t>
      </w:r>
      <w:r w:rsidR="008F1F46">
        <w:t xml:space="preserve">), a population split 1000 generations ago, and ascertainment in an out-group population. It is clear that the effect of ascertainment depends on the demographic history of the populations studied. While the effect of ascertainment when using a ratio of averages is statistically significant, we observe a much larger effect due to ascertainment when using an average of ratios. Specifically, because of the recent expansion of population 1, it contains many rare, recent variants with low </w:t>
      </w:r>
      <w:r w:rsidR="008F1F46" w:rsidRPr="001C257D">
        <w:rPr>
          <w:i/>
        </w:rPr>
        <w:t>F</w:t>
      </w:r>
      <w:r w:rsidR="008F1F46" w:rsidRPr="001C257D">
        <w:rPr>
          <w:vertAlign w:val="subscript"/>
        </w:rPr>
        <w:t>ST</w:t>
      </w:r>
      <w:r w:rsidR="008F1F46">
        <w:t xml:space="preserve">. Inclusion of these variants in an average of ratios produces a dramatically reduced genome-wide </w:t>
      </w:r>
      <w:r w:rsidR="008F1F46" w:rsidRPr="001C257D">
        <w:rPr>
          <w:i/>
        </w:rPr>
        <w:t>F</w:t>
      </w:r>
      <w:r w:rsidR="008F1F46" w:rsidRPr="001C257D">
        <w:rPr>
          <w:vertAlign w:val="subscript"/>
        </w:rPr>
        <w:t>ST</w:t>
      </w:r>
      <w:r w:rsidR="008F1F46">
        <w:t xml:space="preserve"> estimate.</w:t>
      </w:r>
    </w:p>
    <w:p w14:paraId="582492A7" w14:textId="77777777" w:rsidR="008F1F46" w:rsidRDefault="008F1F46" w:rsidP="00843DE8"/>
    <w:p w14:paraId="0E1B0569" w14:textId="77777777" w:rsidR="00632633" w:rsidRPr="00066EBF" w:rsidRDefault="00632633" w:rsidP="00F613A2">
      <w:pPr>
        <w:pStyle w:val="Heading1"/>
      </w:pPr>
      <w:bookmarkStart w:id="248" w:name="_Toc206060921"/>
      <w:bookmarkStart w:id="249" w:name="_Toc206151611"/>
      <w:bookmarkStart w:id="250" w:name="_Toc210982975"/>
      <w:bookmarkStart w:id="251" w:name="_Toc211282965"/>
      <w:bookmarkStart w:id="252" w:name="_Toc214442425"/>
      <w:bookmarkStart w:id="253" w:name="_Toc214967481"/>
      <w:bookmarkStart w:id="254" w:name="_Toc214970909"/>
      <w:bookmarkStart w:id="255" w:name="_Toc217045525"/>
      <w:bookmarkStart w:id="256" w:name="_Toc219534519"/>
      <w:bookmarkStart w:id="257" w:name="_Toc232440810"/>
      <w:bookmarkStart w:id="258" w:name="_Toc232704475"/>
      <w:bookmarkStart w:id="259" w:name="_Toc232777600"/>
      <w:r w:rsidRPr="00066EBF">
        <w:t>References</w:t>
      </w:r>
      <w:bookmarkEnd w:id="248"/>
      <w:bookmarkEnd w:id="249"/>
      <w:bookmarkEnd w:id="250"/>
      <w:bookmarkEnd w:id="251"/>
      <w:bookmarkEnd w:id="252"/>
      <w:bookmarkEnd w:id="253"/>
      <w:bookmarkEnd w:id="254"/>
      <w:bookmarkEnd w:id="255"/>
      <w:bookmarkEnd w:id="256"/>
      <w:bookmarkEnd w:id="257"/>
      <w:bookmarkEnd w:id="258"/>
      <w:bookmarkEnd w:id="259"/>
    </w:p>
    <w:p w14:paraId="3DAB4079" w14:textId="77777777" w:rsidR="00D73545" w:rsidRDefault="00862942"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fldChar w:fldCharType="begin"/>
      </w:r>
      <w:r w:rsidR="00632633">
        <w:instrText xml:space="preserve"> ADDIN PAPERS2_CITATIONS &lt;papers2_bibliography/&gt;</w:instrText>
      </w:r>
      <w:r>
        <w:fldChar w:fldCharType="separate"/>
      </w:r>
      <w:r w:rsidR="00D73545">
        <w:rPr>
          <w:rFonts w:cs="Cambria"/>
        </w:rPr>
        <w:t xml:space="preserve">1000 Genomes Project Consortium. 2010. A map of human genome variation from population-scale sequencing. </w:t>
      </w:r>
      <w:r w:rsidR="00D73545">
        <w:rPr>
          <w:rFonts w:cs="Cambria"/>
          <w:i/>
          <w:iCs/>
        </w:rPr>
        <w:t>Nature</w:t>
      </w:r>
      <w:r w:rsidR="00D73545">
        <w:rPr>
          <w:rFonts w:cs="Cambria"/>
        </w:rPr>
        <w:t xml:space="preserve"> </w:t>
      </w:r>
      <w:r w:rsidR="00D73545">
        <w:rPr>
          <w:rFonts w:cs="Cambria"/>
          <w:b/>
          <w:bCs/>
        </w:rPr>
        <w:t>467</w:t>
      </w:r>
      <w:r w:rsidR="00D73545">
        <w:rPr>
          <w:rFonts w:cs="Cambria"/>
        </w:rPr>
        <w:t>: 1061–1073.</w:t>
      </w:r>
    </w:p>
    <w:p w14:paraId="6DD525B1"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Akey JM. 2009. Constructing genomic maps of positive selection in humans: where do we go from here? </w:t>
      </w:r>
      <w:r>
        <w:rPr>
          <w:rFonts w:cs="Cambria"/>
          <w:i/>
          <w:iCs/>
        </w:rPr>
        <w:t>Genome Res</w:t>
      </w:r>
      <w:r>
        <w:rPr>
          <w:rFonts w:cs="Cambria"/>
        </w:rPr>
        <w:t xml:space="preserve"> </w:t>
      </w:r>
      <w:r>
        <w:rPr>
          <w:rFonts w:cs="Cambria"/>
          <w:b/>
          <w:bCs/>
        </w:rPr>
        <w:t>19</w:t>
      </w:r>
      <w:r>
        <w:rPr>
          <w:rFonts w:cs="Cambria"/>
        </w:rPr>
        <w:t>: 711–722.</w:t>
      </w:r>
    </w:p>
    <w:p w14:paraId="2513D8EF"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Albrechtsen A, Nielsen FC, Nielsen R. 2010. Ascertainment biases in SNP chips affect measures of population divergence. </w:t>
      </w:r>
      <w:r>
        <w:rPr>
          <w:rFonts w:cs="Cambria"/>
          <w:i/>
          <w:iCs/>
        </w:rPr>
        <w:t>Molecular biology and evolution</w:t>
      </w:r>
      <w:r>
        <w:rPr>
          <w:rFonts w:cs="Cambria"/>
        </w:rPr>
        <w:t xml:space="preserve"> </w:t>
      </w:r>
      <w:r>
        <w:rPr>
          <w:rFonts w:cs="Cambria"/>
          <w:b/>
          <w:bCs/>
        </w:rPr>
        <w:t>27</w:t>
      </w:r>
      <w:r>
        <w:rPr>
          <w:rFonts w:cs="Cambria"/>
        </w:rPr>
        <w:t>: 2534–2547.</w:t>
      </w:r>
    </w:p>
    <w:p w14:paraId="05761661"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Balding DJ. 2003. Likelihood-based inference for genetic correlation coefficients. </w:t>
      </w:r>
      <w:r>
        <w:rPr>
          <w:rFonts w:cs="Cambria"/>
          <w:i/>
          <w:iCs/>
        </w:rPr>
        <w:t>Theor Popul Biol</w:t>
      </w:r>
      <w:r>
        <w:rPr>
          <w:rFonts w:cs="Cambria"/>
        </w:rPr>
        <w:t xml:space="preserve"> </w:t>
      </w:r>
      <w:r>
        <w:rPr>
          <w:rFonts w:cs="Cambria"/>
          <w:b/>
          <w:bCs/>
        </w:rPr>
        <w:t>63</w:t>
      </w:r>
      <w:r>
        <w:rPr>
          <w:rFonts w:cs="Cambria"/>
        </w:rPr>
        <w:t>: 221–230.</w:t>
      </w:r>
    </w:p>
    <w:p w14:paraId="1E453AA4"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Balding DJ, Nichols RA. 1995. A method for quantifying differentiation between populations at multi-allelic loci and its implications for investigating identity and paternity. </w:t>
      </w:r>
      <w:r>
        <w:rPr>
          <w:rFonts w:cs="Cambria"/>
          <w:i/>
          <w:iCs/>
        </w:rPr>
        <w:t>Genetica</w:t>
      </w:r>
      <w:r>
        <w:rPr>
          <w:rFonts w:cs="Cambria"/>
        </w:rPr>
        <w:t xml:space="preserve"> </w:t>
      </w:r>
      <w:r>
        <w:rPr>
          <w:rFonts w:cs="Cambria"/>
          <w:b/>
          <w:bCs/>
        </w:rPr>
        <w:t>96</w:t>
      </w:r>
      <w:r>
        <w:rPr>
          <w:rFonts w:cs="Cambria"/>
        </w:rPr>
        <w:t>: 3–12.</w:t>
      </w:r>
    </w:p>
    <w:p w14:paraId="60E77048"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Barreiro LB, Laval G, Quach H, Patin E, Quintana-Murci L. 2008. Natural selection has driven population differentiation in modern humans. </w:t>
      </w:r>
      <w:r>
        <w:rPr>
          <w:rFonts w:cs="Cambria"/>
          <w:i/>
          <w:iCs/>
        </w:rPr>
        <w:t>Nature genetics</w:t>
      </w:r>
      <w:r>
        <w:rPr>
          <w:rFonts w:cs="Cambria"/>
        </w:rPr>
        <w:t xml:space="preserve"> </w:t>
      </w:r>
      <w:r>
        <w:rPr>
          <w:rFonts w:cs="Cambria"/>
          <w:b/>
          <w:bCs/>
        </w:rPr>
        <w:t>40</w:t>
      </w:r>
      <w:r>
        <w:rPr>
          <w:rFonts w:cs="Cambria"/>
        </w:rPr>
        <w:t>: 340–345.</w:t>
      </w:r>
    </w:p>
    <w:p w14:paraId="29CB57AB"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Beaumont MA, Balding DJ. 2004. Identifying adaptive genetic divergence among populations from genome scans. </w:t>
      </w:r>
      <w:r>
        <w:rPr>
          <w:rFonts w:cs="Cambria"/>
          <w:i/>
          <w:iCs/>
        </w:rPr>
        <w:t>Mol Ecol</w:t>
      </w:r>
      <w:r>
        <w:rPr>
          <w:rFonts w:cs="Cambria"/>
        </w:rPr>
        <w:t xml:space="preserve"> </w:t>
      </w:r>
      <w:r>
        <w:rPr>
          <w:rFonts w:cs="Cambria"/>
          <w:b/>
          <w:bCs/>
        </w:rPr>
        <w:t>13</w:t>
      </w:r>
      <w:r>
        <w:rPr>
          <w:rFonts w:cs="Cambria"/>
        </w:rPr>
        <w:t>: 969–980.</w:t>
      </w:r>
    </w:p>
    <w:p w14:paraId="78EF08F8"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Bhatia G, Patterson N, Pasaniuc B, Zaitlen N, Genovese G, Pollack S, Mallick S, Myers S, Tandon A, Spencer C, et al. 2011. Genome-wide comparison of African-ancestry populations from CARe and other cohorts reveals signals of natural selection. </w:t>
      </w:r>
      <w:r>
        <w:rPr>
          <w:rFonts w:cs="Cambria"/>
          <w:i/>
          <w:iCs/>
        </w:rPr>
        <w:t>Am J Hum Genet</w:t>
      </w:r>
      <w:r>
        <w:rPr>
          <w:rFonts w:cs="Cambria"/>
        </w:rPr>
        <w:t xml:space="preserve"> </w:t>
      </w:r>
      <w:r>
        <w:rPr>
          <w:rFonts w:cs="Cambria"/>
          <w:b/>
          <w:bCs/>
        </w:rPr>
        <w:t>89</w:t>
      </w:r>
      <w:r>
        <w:rPr>
          <w:rFonts w:cs="Cambria"/>
        </w:rPr>
        <w:t>: 368–381.</w:t>
      </w:r>
    </w:p>
    <w:p w14:paraId="053807BC"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Bickel PJ, Doksum KA. 2006. </w:t>
      </w:r>
      <w:r>
        <w:rPr>
          <w:rFonts w:cs="Cambria"/>
          <w:i/>
          <w:iCs/>
        </w:rPr>
        <w:t>Mathematical Statistics, Basic Ideas and Selected Topics, Vol. 1</w:t>
      </w:r>
      <w:r>
        <w:rPr>
          <w:rFonts w:cs="Cambria"/>
        </w:rPr>
        <w:t>. 2nd ed. Prentice Hall.</w:t>
      </w:r>
    </w:p>
    <w:p w14:paraId="518D71AA"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Cavalli-Sforza LL, Bodmer WF. 1971. </w:t>
      </w:r>
      <w:r>
        <w:rPr>
          <w:rFonts w:cs="Cambria"/>
          <w:i/>
          <w:iCs/>
        </w:rPr>
        <w:t>The genetics of human populations</w:t>
      </w:r>
      <w:r>
        <w:rPr>
          <w:rFonts w:cs="Cambria"/>
        </w:rPr>
        <w:t>. W.H. Freeman, San Francisco.</w:t>
      </w:r>
    </w:p>
    <w:p w14:paraId="3A4E73B4"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Clark AG, Hubisz MJ, Bustamante CD, Williamson SH, Nielsen R. 2005. Ascertainment bias in studies of human genome-wide polymorphism. </w:t>
      </w:r>
      <w:r>
        <w:rPr>
          <w:rFonts w:cs="Cambria"/>
          <w:i/>
          <w:iCs/>
        </w:rPr>
        <w:t>Genome research</w:t>
      </w:r>
      <w:r>
        <w:rPr>
          <w:rFonts w:cs="Cambria"/>
        </w:rPr>
        <w:t xml:space="preserve"> </w:t>
      </w:r>
      <w:r>
        <w:rPr>
          <w:rFonts w:cs="Cambria"/>
          <w:b/>
          <w:bCs/>
        </w:rPr>
        <w:t>15</w:t>
      </w:r>
      <w:r>
        <w:rPr>
          <w:rFonts w:cs="Cambria"/>
        </w:rPr>
        <w:t>: 1496–1502.</w:t>
      </w:r>
    </w:p>
    <w:p w14:paraId="6EB99E46"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Cockerham CC. 1969. Variance of Gene Frequencies. </w:t>
      </w:r>
      <w:r>
        <w:rPr>
          <w:rFonts w:cs="Cambria"/>
          <w:i/>
          <w:iCs/>
        </w:rPr>
        <w:t>Evolution</w:t>
      </w:r>
      <w:r>
        <w:rPr>
          <w:rFonts w:cs="Cambria"/>
        </w:rPr>
        <w:t xml:space="preserve"> </w:t>
      </w:r>
      <w:r>
        <w:rPr>
          <w:rFonts w:cs="Cambria"/>
          <w:b/>
          <w:bCs/>
        </w:rPr>
        <w:t>23</w:t>
      </w:r>
      <w:r>
        <w:rPr>
          <w:rFonts w:cs="Cambria"/>
        </w:rPr>
        <w:t>: 72–84.</w:t>
      </w:r>
    </w:p>
    <w:p w14:paraId="61F9D41F"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Cockerham CC, Weir BS. 1986. Estimation of inbreeding parameters in stratified populations. </w:t>
      </w:r>
      <w:r>
        <w:rPr>
          <w:rFonts w:cs="Cambria"/>
          <w:i/>
          <w:iCs/>
        </w:rPr>
        <w:t>Ann Hum Genet</w:t>
      </w:r>
      <w:r>
        <w:rPr>
          <w:rFonts w:cs="Cambria"/>
        </w:rPr>
        <w:t xml:space="preserve"> </w:t>
      </w:r>
      <w:r>
        <w:rPr>
          <w:rFonts w:cs="Cambria"/>
          <w:b/>
          <w:bCs/>
        </w:rPr>
        <w:t>50</w:t>
      </w:r>
      <w:r>
        <w:rPr>
          <w:rFonts w:cs="Cambria"/>
        </w:rPr>
        <w:t>: 271–281.</w:t>
      </w:r>
    </w:p>
    <w:p w14:paraId="484B8A4B"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Edelaar P, Alonso D, Lagerveld S, Senar JC, Björklund M. 2012. Population differentiation and restricted gene flow in Spanish crossbills: not isolation-by-distance but isolation-by-ecology. </w:t>
      </w:r>
      <w:r>
        <w:rPr>
          <w:rFonts w:cs="Cambria"/>
          <w:i/>
          <w:iCs/>
        </w:rPr>
        <w:t>Journal of Evolutionary Biology</w:t>
      </w:r>
      <w:r>
        <w:rPr>
          <w:rFonts w:cs="Cambria"/>
        </w:rPr>
        <w:t xml:space="preserve"> </w:t>
      </w:r>
      <w:r>
        <w:rPr>
          <w:rFonts w:cs="Cambria"/>
          <w:b/>
          <w:bCs/>
        </w:rPr>
        <w:t>25</w:t>
      </w:r>
      <w:r>
        <w:rPr>
          <w:rFonts w:cs="Cambria"/>
        </w:rPr>
        <w:t>: 417–430.</w:t>
      </w:r>
    </w:p>
    <w:p w14:paraId="150541B4"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Ellstrand NC, Elam DR. 1993. Population Genetic Consequences of Small Population Size: Implications for Plant Conservation. </w:t>
      </w:r>
      <w:r>
        <w:rPr>
          <w:rFonts w:cs="Cambria"/>
          <w:i/>
          <w:iCs/>
        </w:rPr>
        <w:t>Annual Review of Ecology and Systematics</w:t>
      </w:r>
      <w:r>
        <w:rPr>
          <w:rFonts w:cs="Cambria"/>
        </w:rPr>
        <w:t xml:space="preserve"> </w:t>
      </w:r>
      <w:r>
        <w:rPr>
          <w:rFonts w:cs="Cambria"/>
          <w:b/>
          <w:bCs/>
        </w:rPr>
        <w:t>24 IS -</w:t>
      </w:r>
      <w:r>
        <w:rPr>
          <w:rFonts w:cs="Cambria"/>
        </w:rPr>
        <w:t>: 217–242.</w:t>
      </w:r>
    </w:p>
    <w:p w14:paraId="05B663CC"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Foll M, Gaggiotti O. 2008. A genome-scan method to identify selected loci appropriate for both dominant and codominant markers: a Bayesian perspective. </w:t>
      </w:r>
      <w:r>
        <w:rPr>
          <w:rFonts w:cs="Cambria"/>
          <w:i/>
          <w:iCs/>
        </w:rPr>
        <w:t>Genetics</w:t>
      </w:r>
      <w:r>
        <w:rPr>
          <w:rFonts w:cs="Cambria"/>
        </w:rPr>
        <w:t xml:space="preserve"> </w:t>
      </w:r>
      <w:r>
        <w:rPr>
          <w:rFonts w:cs="Cambria"/>
          <w:b/>
          <w:bCs/>
        </w:rPr>
        <w:t>180</w:t>
      </w:r>
      <w:r>
        <w:rPr>
          <w:rFonts w:cs="Cambria"/>
        </w:rPr>
        <w:t>: 977–993.</w:t>
      </w:r>
    </w:p>
    <w:p w14:paraId="411F2E93"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Guries RP, Ledig FT. 1982. Genetic Diversity and Population Structure in Pitch Pine (Pinus rigida Mill.). </w:t>
      </w:r>
      <w:r>
        <w:rPr>
          <w:rFonts w:cs="Cambria"/>
          <w:i/>
          <w:iCs/>
        </w:rPr>
        <w:t>Evolution</w:t>
      </w:r>
      <w:r>
        <w:rPr>
          <w:rFonts w:cs="Cambria"/>
        </w:rPr>
        <w:t xml:space="preserve"> </w:t>
      </w:r>
      <w:r>
        <w:rPr>
          <w:rFonts w:cs="Cambria"/>
          <w:b/>
          <w:bCs/>
        </w:rPr>
        <w:t>36</w:t>
      </w:r>
      <w:r>
        <w:rPr>
          <w:rFonts w:cs="Cambria"/>
        </w:rPr>
        <w:t>: 387–402.</w:t>
      </w:r>
    </w:p>
    <w:p w14:paraId="644A9059"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Hangartner S, Laurila A, Räsänen K. 2012. Adaptive divergence in moor frog (Rana arvalis) populations along an acidification gradient: inferences from Q(st) -F(st) correlations. </w:t>
      </w:r>
      <w:r>
        <w:rPr>
          <w:rFonts w:cs="Cambria"/>
          <w:i/>
          <w:iCs/>
        </w:rPr>
        <w:t>Evolution</w:t>
      </w:r>
      <w:r>
        <w:rPr>
          <w:rFonts w:cs="Cambria"/>
        </w:rPr>
        <w:t xml:space="preserve"> </w:t>
      </w:r>
      <w:r>
        <w:rPr>
          <w:rFonts w:cs="Cambria"/>
          <w:b/>
          <w:bCs/>
        </w:rPr>
        <w:t>66</w:t>
      </w:r>
      <w:r>
        <w:rPr>
          <w:rFonts w:cs="Cambria"/>
        </w:rPr>
        <w:t>: 867–881.</w:t>
      </w:r>
    </w:p>
    <w:p w14:paraId="1B908319"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Hernandez RD, Kelley JL, Elyashiv E, Melton SC, Auton A, McVean G, 1000 Genomes Project, Sella G, Przeworski M. 2011. Classic selective sweeps were rare in recent human evolution. </w:t>
      </w:r>
      <w:r>
        <w:rPr>
          <w:rFonts w:cs="Cambria"/>
          <w:i/>
          <w:iCs/>
        </w:rPr>
        <w:t>Science</w:t>
      </w:r>
      <w:r>
        <w:rPr>
          <w:rFonts w:cs="Cambria"/>
        </w:rPr>
        <w:t xml:space="preserve"> </w:t>
      </w:r>
      <w:r>
        <w:rPr>
          <w:rFonts w:cs="Cambria"/>
          <w:b/>
          <w:bCs/>
        </w:rPr>
        <w:t>331</w:t>
      </w:r>
      <w:r>
        <w:rPr>
          <w:rFonts w:cs="Cambria"/>
        </w:rPr>
        <w:t>: 920–924.</w:t>
      </w:r>
    </w:p>
    <w:p w14:paraId="1202049E"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Holsinger KE. 1999. Analysis of Genetic Diversity in Geographically Structured Populations: A Bayesian Perspective. </w:t>
      </w:r>
      <w:r>
        <w:rPr>
          <w:rFonts w:cs="Cambria"/>
          <w:i/>
          <w:iCs/>
        </w:rPr>
        <w:t>Hereditas</w:t>
      </w:r>
      <w:r>
        <w:rPr>
          <w:rFonts w:cs="Cambria"/>
        </w:rPr>
        <w:t xml:space="preserve"> </w:t>
      </w:r>
      <w:r>
        <w:rPr>
          <w:rFonts w:cs="Cambria"/>
          <w:b/>
          <w:bCs/>
        </w:rPr>
        <w:t>130</w:t>
      </w:r>
      <w:r>
        <w:rPr>
          <w:rFonts w:cs="Cambria"/>
        </w:rPr>
        <w:t>: 245–255.</w:t>
      </w:r>
    </w:p>
    <w:p w14:paraId="7277CD27"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Holsinger KE, Weir BS. 2009. Genetics in geographically structured populations: defining, estimating and interpreting F(ST). </w:t>
      </w:r>
      <w:r>
        <w:rPr>
          <w:rFonts w:cs="Cambria"/>
          <w:i/>
          <w:iCs/>
        </w:rPr>
        <w:t>Nature reviews Genetics</w:t>
      </w:r>
      <w:r>
        <w:rPr>
          <w:rFonts w:cs="Cambria"/>
        </w:rPr>
        <w:t xml:space="preserve"> </w:t>
      </w:r>
      <w:r>
        <w:rPr>
          <w:rFonts w:cs="Cambria"/>
          <w:b/>
          <w:bCs/>
        </w:rPr>
        <w:t>10</w:t>
      </w:r>
      <w:r>
        <w:rPr>
          <w:rFonts w:cs="Cambria"/>
        </w:rPr>
        <w:t>: 639–650.</w:t>
      </w:r>
    </w:p>
    <w:p w14:paraId="7906545D"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Hudson RR, Slatkin M, Maddison WP. 1992. Estimation of levels of gene flow from DNA sequence data. </w:t>
      </w:r>
      <w:r>
        <w:rPr>
          <w:rFonts w:cs="Cambria"/>
          <w:i/>
          <w:iCs/>
        </w:rPr>
        <w:t>Genetics</w:t>
      </w:r>
      <w:r>
        <w:rPr>
          <w:rFonts w:cs="Cambria"/>
        </w:rPr>
        <w:t xml:space="preserve"> </w:t>
      </w:r>
      <w:r>
        <w:rPr>
          <w:rFonts w:cs="Cambria"/>
          <w:b/>
          <w:bCs/>
        </w:rPr>
        <w:t>132</w:t>
      </w:r>
      <w:r>
        <w:rPr>
          <w:rFonts w:cs="Cambria"/>
        </w:rPr>
        <w:t>: 583–589.</w:t>
      </w:r>
    </w:p>
    <w:p w14:paraId="02DF7617"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International HapMap 3 Consortium. 2010. Integrating common and rare genetic variation in diverse human populations. </w:t>
      </w:r>
      <w:r>
        <w:rPr>
          <w:rFonts w:cs="Cambria"/>
          <w:i/>
          <w:iCs/>
        </w:rPr>
        <w:t>Nature</w:t>
      </w:r>
      <w:r>
        <w:rPr>
          <w:rFonts w:cs="Cambria"/>
        </w:rPr>
        <w:t xml:space="preserve"> </w:t>
      </w:r>
      <w:r>
        <w:rPr>
          <w:rFonts w:cs="Cambria"/>
          <w:b/>
          <w:bCs/>
        </w:rPr>
        <w:t>467</w:t>
      </w:r>
      <w:r>
        <w:rPr>
          <w:rFonts w:cs="Cambria"/>
        </w:rPr>
        <w:t>: 52–58.</w:t>
      </w:r>
    </w:p>
    <w:p w14:paraId="51C1FF09"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International HapMap Consortium. 2007. A second generation human haplotype map of over 3.1 million SNPs. </w:t>
      </w:r>
      <w:r>
        <w:rPr>
          <w:rFonts w:cs="Cambria"/>
          <w:i/>
          <w:iCs/>
        </w:rPr>
        <w:t>Nature</w:t>
      </w:r>
      <w:r>
        <w:rPr>
          <w:rFonts w:cs="Cambria"/>
        </w:rPr>
        <w:t xml:space="preserve"> </w:t>
      </w:r>
      <w:r>
        <w:rPr>
          <w:rFonts w:cs="Cambria"/>
          <w:b/>
          <w:bCs/>
        </w:rPr>
        <w:t>449</w:t>
      </w:r>
      <w:r>
        <w:rPr>
          <w:rFonts w:cs="Cambria"/>
        </w:rPr>
        <w:t>: 851–861.</w:t>
      </w:r>
    </w:p>
    <w:p w14:paraId="1A61DC55"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Jin W, Xu S, Wang H, Yu Y, Shen Y, Wu B, Jin L. 2012. Genome-wide detection of natural selection in African Americans pre- and post-admixture. </w:t>
      </w:r>
      <w:r>
        <w:rPr>
          <w:rFonts w:cs="Cambria"/>
          <w:i/>
          <w:iCs/>
        </w:rPr>
        <w:t>Genome Res</w:t>
      </w:r>
      <w:r>
        <w:rPr>
          <w:rFonts w:cs="Cambria"/>
        </w:rPr>
        <w:t xml:space="preserve"> </w:t>
      </w:r>
      <w:r>
        <w:rPr>
          <w:rFonts w:cs="Cambria"/>
          <w:b/>
          <w:bCs/>
        </w:rPr>
        <w:t>22</w:t>
      </w:r>
      <w:r>
        <w:rPr>
          <w:rFonts w:cs="Cambria"/>
        </w:rPr>
        <w:t>: 519–527.</w:t>
      </w:r>
    </w:p>
    <w:p w14:paraId="374E6E1D"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Jost L. 2008. GST and its relatives do not measure differentiation. </w:t>
      </w:r>
      <w:r>
        <w:rPr>
          <w:rFonts w:cs="Cambria"/>
          <w:i/>
          <w:iCs/>
        </w:rPr>
        <w:t>Mol Ecol</w:t>
      </w:r>
      <w:r>
        <w:rPr>
          <w:rFonts w:cs="Cambria"/>
        </w:rPr>
        <w:t xml:space="preserve"> </w:t>
      </w:r>
      <w:r>
        <w:rPr>
          <w:rFonts w:cs="Cambria"/>
          <w:b/>
          <w:bCs/>
        </w:rPr>
        <w:t>17</w:t>
      </w:r>
      <w:r>
        <w:rPr>
          <w:rFonts w:cs="Cambria"/>
        </w:rPr>
        <w:t>: 4015–4026.</w:t>
      </w:r>
    </w:p>
    <w:p w14:paraId="56E32214"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Keinan A, Mullikin JC, Patterson N, Reich D. 2007. Measurement of the human allele frequency spectrum demonstrates greater genetic drift in East Asians than in Europeans. </w:t>
      </w:r>
      <w:r>
        <w:rPr>
          <w:rFonts w:cs="Cambria"/>
          <w:i/>
          <w:iCs/>
        </w:rPr>
        <w:t>Nature genetics</w:t>
      </w:r>
      <w:r>
        <w:rPr>
          <w:rFonts w:cs="Cambria"/>
        </w:rPr>
        <w:t xml:space="preserve"> </w:t>
      </w:r>
      <w:r>
        <w:rPr>
          <w:rFonts w:cs="Cambria"/>
          <w:b/>
          <w:bCs/>
        </w:rPr>
        <w:t>39</w:t>
      </w:r>
      <w:r>
        <w:rPr>
          <w:rFonts w:cs="Cambria"/>
        </w:rPr>
        <w:t>: 1251–1255.</w:t>
      </w:r>
    </w:p>
    <w:p w14:paraId="629F4769"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Lewontin RC, Krakauer J. 1973. Distribution of gene frequency as a test of the theory of the selective neutrality of polymorphisms. </w:t>
      </w:r>
      <w:r>
        <w:rPr>
          <w:rFonts w:cs="Cambria"/>
          <w:i/>
          <w:iCs/>
        </w:rPr>
        <w:t>Genetics</w:t>
      </w:r>
      <w:r>
        <w:rPr>
          <w:rFonts w:cs="Cambria"/>
        </w:rPr>
        <w:t xml:space="preserve"> </w:t>
      </w:r>
      <w:r>
        <w:rPr>
          <w:rFonts w:cs="Cambria"/>
          <w:b/>
          <w:bCs/>
        </w:rPr>
        <w:t>74</w:t>
      </w:r>
      <w:r>
        <w:rPr>
          <w:rFonts w:cs="Cambria"/>
        </w:rPr>
        <w:t>: 175–195.</w:t>
      </w:r>
    </w:p>
    <w:p w14:paraId="13836170"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Li JZ, Absher DM, Tang H, Southwick AM, Casto AM, Ramachandran S, Cann HM, Barsh GS, Feldman M, Cavalli-Sforza LL, et al. 2008. Worldwide human relationships inferred from genome-wide patterns of variation. </w:t>
      </w:r>
      <w:r>
        <w:rPr>
          <w:rFonts w:cs="Cambria"/>
          <w:i/>
          <w:iCs/>
        </w:rPr>
        <w:t>Science</w:t>
      </w:r>
      <w:r>
        <w:rPr>
          <w:rFonts w:cs="Cambria"/>
        </w:rPr>
        <w:t xml:space="preserve"> </w:t>
      </w:r>
      <w:r>
        <w:rPr>
          <w:rFonts w:cs="Cambria"/>
          <w:b/>
          <w:bCs/>
        </w:rPr>
        <w:t>319</w:t>
      </w:r>
      <w:r>
        <w:rPr>
          <w:rFonts w:cs="Cambria"/>
        </w:rPr>
        <w:t>: 1100–1104.</w:t>
      </w:r>
    </w:p>
    <w:p w14:paraId="323DB472"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Liang L, Zöllner S, Abecasis GR. 2007. GENOME: a rapid coalescent-based whole genome simulator. </w:t>
      </w:r>
      <w:r>
        <w:rPr>
          <w:rFonts w:cs="Cambria"/>
          <w:i/>
          <w:iCs/>
        </w:rPr>
        <w:t>Bioinformatics</w:t>
      </w:r>
      <w:r>
        <w:rPr>
          <w:rFonts w:cs="Cambria"/>
        </w:rPr>
        <w:t xml:space="preserve"> </w:t>
      </w:r>
      <w:r>
        <w:rPr>
          <w:rFonts w:cs="Cambria"/>
          <w:b/>
          <w:bCs/>
        </w:rPr>
        <w:t>23</w:t>
      </w:r>
      <w:r>
        <w:rPr>
          <w:rFonts w:cs="Cambria"/>
        </w:rPr>
        <w:t>: 1565–1567.</w:t>
      </w:r>
    </w:p>
    <w:p w14:paraId="04403A15"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Malécot G. 1948. Les mathématiques de l'hérédié. </w:t>
      </w:r>
      <w:r>
        <w:rPr>
          <w:rFonts w:cs="Cambria"/>
          <w:i/>
          <w:iCs/>
        </w:rPr>
        <w:t>Masson</w:t>
      </w:r>
      <w:r>
        <w:rPr>
          <w:rFonts w:cs="Cambria"/>
        </w:rPr>
        <w:t>.</w:t>
      </w:r>
    </w:p>
    <w:p w14:paraId="2F00E1BD"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McEvoy BP, Montgomery GW, McRae AF, Ripatti S, Perola M, Spector TD, Cherkas L, Ahmadi KR, Boomsma D, Willemsen G, et al. 2009. Geographical structure and differential natural selection among North European populations. </w:t>
      </w:r>
      <w:r>
        <w:rPr>
          <w:rFonts w:cs="Cambria"/>
          <w:i/>
          <w:iCs/>
        </w:rPr>
        <w:t>Genome Res</w:t>
      </w:r>
      <w:r>
        <w:rPr>
          <w:rFonts w:cs="Cambria"/>
        </w:rPr>
        <w:t xml:space="preserve"> </w:t>
      </w:r>
      <w:r>
        <w:rPr>
          <w:rFonts w:cs="Cambria"/>
          <w:b/>
          <w:bCs/>
        </w:rPr>
        <w:t>19</w:t>
      </w:r>
      <w:r>
        <w:rPr>
          <w:rFonts w:cs="Cambria"/>
        </w:rPr>
        <w:t>: 804–814.</w:t>
      </w:r>
    </w:p>
    <w:p w14:paraId="4FE0ECA5"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McVicker G, Gordon D, Davis C, Green P. 2009. Widespread genomic signatures of natural selection in hominid evolution. </w:t>
      </w:r>
      <w:r>
        <w:rPr>
          <w:rFonts w:cs="Cambria"/>
          <w:i/>
          <w:iCs/>
        </w:rPr>
        <w:t>PLoS Genet</w:t>
      </w:r>
      <w:r>
        <w:rPr>
          <w:rFonts w:cs="Cambria"/>
        </w:rPr>
        <w:t xml:space="preserve"> </w:t>
      </w:r>
      <w:r>
        <w:rPr>
          <w:rFonts w:cs="Cambria"/>
          <w:b/>
          <w:bCs/>
        </w:rPr>
        <w:t>5</w:t>
      </w:r>
      <w:r>
        <w:rPr>
          <w:rFonts w:cs="Cambria"/>
        </w:rPr>
        <w:t>: e1000471.</w:t>
      </w:r>
    </w:p>
    <w:p w14:paraId="02E35FBF"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Nei M. 1973. Analysis of Gene Diversity in Subdivided Populations. </w:t>
      </w:r>
      <w:r>
        <w:rPr>
          <w:rFonts w:cs="Cambria"/>
          <w:i/>
          <w:iCs/>
        </w:rPr>
        <w:t>Proceedings of the National Academy of Sciences</w:t>
      </w:r>
      <w:r>
        <w:rPr>
          <w:rFonts w:cs="Cambria"/>
        </w:rPr>
        <w:t xml:space="preserve"> </w:t>
      </w:r>
      <w:r>
        <w:rPr>
          <w:rFonts w:cs="Cambria"/>
          <w:b/>
          <w:bCs/>
        </w:rPr>
        <w:t>70</w:t>
      </w:r>
      <w:r>
        <w:rPr>
          <w:rFonts w:cs="Cambria"/>
        </w:rPr>
        <w:t>: 3321–3323.</w:t>
      </w:r>
    </w:p>
    <w:p w14:paraId="67DCC1C8"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Nei M. 1986. Definition and Estimation of Fixation Indices. </w:t>
      </w:r>
      <w:r>
        <w:rPr>
          <w:rFonts w:cs="Cambria"/>
          <w:i/>
          <w:iCs/>
        </w:rPr>
        <w:t>Evolution</w:t>
      </w:r>
      <w:r>
        <w:rPr>
          <w:rFonts w:cs="Cambria"/>
        </w:rPr>
        <w:t xml:space="preserve"> </w:t>
      </w:r>
      <w:r>
        <w:rPr>
          <w:rFonts w:cs="Cambria"/>
          <w:b/>
          <w:bCs/>
        </w:rPr>
        <w:t>40</w:t>
      </w:r>
      <w:r>
        <w:rPr>
          <w:rFonts w:cs="Cambria"/>
        </w:rPr>
        <w:t>: 643–645.</w:t>
      </w:r>
    </w:p>
    <w:p w14:paraId="1B02F39F"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Nei M, Chesser RK. 1983. Estimation of fixation indices and gene diversities. </w:t>
      </w:r>
      <w:r>
        <w:rPr>
          <w:rFonts w:cs="Cambria"/>
          <w:i/>
          <w:iCs/>
        </w:rPr>
        <w:t>Ann Hum Genet</w:t>
      </w:r>
      <w:r>
        <w:rPr>
          <w:rFonts w:cs="Cambria"/>
        </w:rPr>
        <w:t xml:space="preserve"> </w:t>
      </w:r>
      <w:r>
        <w:rPr>
          <w:rFonts w:cs="Cambria"/>
          <w:b/>
          <w:bCs/>
        </w:rPr>
        <w:t>47</w:t>
      </w:r>
      <w:r>
        <w:rPr>
          <w:rFonts w:cs="Cambria"/>
        </w:rPr>
        <w:t>: 253–259.</w:t>
      </w:r>
    </w:p>
    <w:p w14:paraId="5B48DCB3"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Nicholson G, Smith AV, Jonsson F, Gústafsson Ó, Stefansson K, Donnelly P. 2002. Assessing population differentiation and isolation from single-nucleotide polymorphism data. </w:t>
      </w:r>
      <w:r>
        <w:rPr>
          <w:rFonts w:cs="Cambria"/>
          <w:i/>
          <w:iCs/>
        </w:rPr>
        <w:t>Journal of the Royal Statistical Society: Series B (Statistical Methodology)</w:t>
      </w:r>
      <w:r>
        <w:rPr>
          <w:rFonts w:cs="Cambria"/>
        </w:rPr>
        <w:t xml:space="preserve"> </w:t>
      </w:r>
      <w:r>
        <w:rPr>
          <w:rFonts w:cs="Cambria"/>
          <w:b/>
          <w:bCs/>
        </w:rPr>
        <w:t>64</w:t>
      </w:r>
      <w:r>
        <w:rPr>
          <w:rFonts w:cs="Cambria"/>
        </w:rPr>
        <w:t>: 695–715.</w:t>
      </w:r>
    </w:p>
    <w:p w14:paraId="154792E0"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Palumbi SR, Baker CS. 1994. Contrasting population structure from nuclear intron sequences and mtDNA of humpback whales. </w:t>
      </w:r>
      <w:r>
        <w:rPr>
          <w:rFonts w:cs="Cambria"/>
          <w:i/>
          <w:iCs/>
        </w:rPr>
        <w:t>Molecular biology and evolution</w:t>
      </w:r>
      <w:r>
        <w:rPr>
          <w:rFonts w:cs="Cambria"/>
        </w:rPr>
        <w:t xml:space="preserve"> </w:t>
      </w:r>
      <w:r>
        <w:rPr>
          <w:rFonts w:cs="Cambria"/>
          <w:b/>
          <w:bCs/>
        </w:rPr>
        <w:t>11</w:t>
      </w:r>
      <w:r>
        <w:rPr>
          <w:rFonts w:cs="Cambria"/>
        </w:rPr>
        <w:t>: 426–435.</w:t>
      </w:r>
    </w:p>
    <w:p w14:paraId="75DA58AA"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Pickrell JK, Coop G, Novembre J, Kudaravalli S, Li JZ, Absher D, Srinivasan BS, Barsh GS, Myers RM, Feldman MW, et al. 2009. Signals of recent positive selection in a worldwide sample of human populations. </w:t>
      </w:r>
      <w:r>
        <w:rPr>
          <w:rFonts w:cs="Cambria"/>
          <w:i/>
          <w:iCs/>
        </w:rPr>
        <w:t>Genome Res</w:t>
      </w:r>
      <w:r>
        <w:rPr>
          <w:rFonts w:cs="Cambria"/>
        </w:rPr>
        <w:t xml:space="preserve"> </w:t>
      </w:r>
      <w:r>
        <w:rPr>
          <w:rFonts w:cs="Cambria"/>
          <w:b/>
          <w:bCs/>
        </w:rPr>
        <w:t>19</w:t>
      </w:r>
      <w:r>
        <w:rPr>
          <w:rFonts w:cs="Cambria"/>
        </w:rPr>
        <w:t>: 826–837.</w:t>
      </w:r>
    </w:p>
    <w:p w14:paraId="548861ED"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Price AL, Helgason A, Palsson S, Stefansson H, St Clair D, Andreassen OA, Reich D, Kong A, Stefansson K. 2009. The impact of divergence time on the nature of population structure: an example from Iceland. </w:t>
      </w:r>
      <w:r>
        <w:rPr>
          <w:rFonts w:cs="Cambria"/>
          <w:i/>
          <w:iCs/>
        </w:rPr>
        <w:t>PLoS Genet</w:t>
      </w:r>
      <w:r>
        <w:rPr>
          <w:rFonts w:cs="Cambria"/>
        </w:rPr>
        <w:t xml:space="preserve"> </w:t>
      </w:r>
      <w:r>
        <w:rPr>
          <w:rFonts w:cs="Cambria"/>
          <w:b/>
          <w:bCs/>
        </w:rPr>
        <w:t>5</w:t>
      </w:r>
      <w:r>
        <w:rPr>
          <w:rFonts w:cs="Cambria"/>
        </w:rPr>
        <w:t>: e1000505.</w:t>
      </w:r>
    </w:p>
    <w:p w14:paraId="0F2197CB"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Ramírez-Soriano A, Calafell F. 2008. FABSIM: a software for generating FST distributions with various ascertainment biases. </w:t>
      </w:r>
      <w:r>
        <w:rPr>
          <w:rFonts w:cs="Cambria"/>
          <w:i/>
          <w:iCs/>
        </w:rPr>
        <w:t>Bioinformatics</w:t>
      </w:r>
      <w:r>
        <w:rPr>
          <w:rFonts w:cs="Cambria"/>
        </w:rPr>
        <w:t xml:space="preserve"> </w:t>
      </w:r>
      <w:r>
        <w:rPr>
          <w:rFonts w:cs="Cambria"/>
          <w:b/>
          <w:bCs/>
        </w:rPr>
        <w:t>24</w:t>
      </w:r>
      <w:r>
        <w:rPr>
          <w:rFonts w:cs="Cambria"/>
        </w:rPr>
        <w:t>: 2790–2791.</w:t>
      </w:r>
    </w:p>
    <w:p w14:paraId="16C9004B"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Reich D, Thangaraj K, Patterson N, Price AL, Singh L. 2009. Reconstructing Indian population history. </w:t>
      </w:r>
      <w:r>
        <w:rPr>
          <w:rFonts w:cs="Cambria"/>
          <w:i/>
          <w:iCs/>
        </w:rPr>
        <w:t>Nature</w:t>
      </w:r>
      <w:r>
        <w:rPr>
          <w:rFonts w:cs="Cambria"/>
        </w:rPr>
        <w:t xml:space="preserve"> </w:t>
      </w:r>
      <w:r>
        <w:rPr>
          <w:rFonts w:cs="Cambria"/>
          <w:b/>
          <w:bCs/>
        </w:rPr>
        <w:t>461</w:t>
      </w:r>
      <w:r>
        <w:rPr>
          <w:rFonts w:cs="Cambria"/>
        </w:rPr>
        <w:t>: 489–494.</w:t>
      </w:r>
    </w:p>
    <w:p w14:paraId="381D03E7"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Reynolds J, Weir BS, Cockerham CC. 1983. Estimation of the coancestry coefficient: basis for a short-term genetic distance. </w:t>
      </w:r>
      <w:r>
        <w:rPr>
          <w:rFonts w:cs="Cambria"/>
          <w:i/>
          <w:iCs/>
        </w:rPr>
        <w:t>Genetics</w:t>
      </w:r>
      <w:r>
        <w:rPr>
          <w:rFonts w:cs="Cambria"/>
        </w:rPr>
        <w:t xml:space="preserve"> </w:t>
      </w:r>
      <w:r>
        <w:rPr>
          <w:rFonts w:cs="Cambria"/>
          <w:b/>
          <w:bCs/>
        </w:rPr>
        <w:t>105</w:t>
      </w:r>
      <w:r>
        <w:rPr>
          <w:rFonts w:cs="Cambria"/>
        </w:rPr>
        <w:t>: 767–779.</w:t>
      </w:r>
    </w:p>
    <w:p w14:paraId="4C2B99C5"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Ryman N, Leimar O. 2009. G(ST) is still a useful measure of genetic differentiation - a comment on Jost's D. </w:t>
      </w:r>
      <w:r>
        <w:rPr>
          <w:rFonts w:cs="Cambria"/>
          <w:i/>
          <w:iCs/>
        </w:rPr>
        <w:t>Mol Ecol</w:t>
      </w:r>
      <w:r>
        <w:rPr>
          <w:rFonts w:cs="Cambria"/>
        </w:rPr>
        <w:t xml:space="preserve"> </w:t>
      </w:r>
      <w:r>
        <w:rPr>
          <w:rFonts w:cs="Cambria"/>
          <w:b/>
          <w:bCs/>
        </w:rPr>
        <w:t>18</w:t>
      </w:r>
      <w:r>
        <w:rPr>
          <w:rFonts w:cs="Cambria"/>
        </w:rPr>
        <w:t>: 2084–7– discussion 2088–91.</w:t>
      </w:r>
    </w:p>
    <w:p w14:paraId="3FB70723"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Schaffner SF, Foo C, Gabriel S, Reich D, Daly MJ, Altshuler D. 2005. Calibrating a coalescent simulation of human genome sequence variation. </w:t>
      </w:r>
      <w:r>
        <w:rPr>
          <w:rFonts w:cs="Cambria"/>
          <w:i/>
          <w:iCs/>
        </w:rPr>
        <w:t>Genome Res</w:t>
      </w:r>
      <w:r>
        <w:rPr>
          <w:rFonts w:cs="Cambria"/>
        </w:rPr>
        <w:t xml:space="preserve"> </w:t>
      </w:r>
      <w:r>
        <w:rPr>
          <w:rFonts w:cs="Cambria"/>
          <w:b/>
          <w:bCs/>
        </w:rPr>
        <w:t>15</w:t>
      </w:r>
      <w:r>
        <w:rPr>
          <w:rFonts w:cs="Cambria"/>
        </w:rPr>
        <w:t>: 1576–1583.</w:t>
      </w:r>
    </w:p>
    <w:p w14:paraId="6B99AB1F"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Selander RK, Hudson RO. 1976. Animal Population Structure Under Close Inbreeding: The Land Snail Rumina in Southern France. </w:t>
      </w:r>
      <w:r>
        <w:rPr>
          <w:rFonts w:cs="Cambria"/>
          <w:i/>
          <w:iCs/>
        </w:rPr>
        <w:t>The American Naturalist</w:t>
      </w:r>
      <w:r>
        <w:rPr>
          <w:rFonts w:cs="Cambria"/>
        </w:rPr>
        <w:t xml:space="preserve"> </w:t>
      </w:r>
      <w:r>
        <w:rPr>
          <w:rFonts w:cs="Cambria"/>
          <w:b/>
          <w:bCs/>
        </w:rPr>
        <w:t>110</w:t>
      </w:r>
      <w:r>
        <w:rPr>
          <w:rFonts w:cs="Cambria"/>
        </w:rPr>
        <w:t>: 695–718.</w:t>
      </w:r>
    </w:p>
    <w:p w14:paraId="0146A333"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Slatkin M. 1991. Inbreeding coefficients and coalescence times. </w:t>
      </w:r>
      <w:r>
        <w:rPr>
          <w:rFonts w:cs="Cambria"/>
          <w:i/>
          <w:iCs/>
        </w:rPr>
        <w:t>Genetics Research</w:t>
      </w:r>
      <w:r>
        <w:rPr>
          <w:rFonts w:cs="Cambria"/>
        </w:rPr>
        <w:t xml:space="preserve"> </w:t>
      </w:r>
      <w:r>
        <w:rPr>
          <w:rFonts w:cs="Cambria"/>
          <w:b/>
          <w:bCs/>
        </w:rPr>
        <w:t>58</w:t>
      </w:r>
      <w:r>
        <w:rPr>
          <w:rFonts w:cs="Cambria"/>
        </w:rPr>
        <w:t>: 167.</w:t>
      </w:r>
    </w:p>
    <w:p w14:paraId="0DEF9467"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Teo Y-Y, Sim X, Ong RTH, Tan AKS, Chen J, Tantoso E, Small KS, Ku C-S, Lee EJD, Seielstad M, et al. 2009. Singapore Genome Variation Project: a haplotype map of three Southeast Asian populations. </w:t>
      </w:r>
      <w:r>
        <w:rPr>
          <w:rFonts w:cs="Cambria"/>
          <w:i/>
          <w:iCs/>
        </w:rPr>
        <w:t>Genome Res</w:t>
      </w:r>
      <w:r>
        <w:rPr>
          <w:rFonts w:cs="Cambria"/>
        </w:rPr>
        <w:t xml:space="preserve"> </w:t>
      </w:r>
      <w:r>
        <w:rPr>
          <w:rFonts w:cs="Cambria"/>
          <w:b/>
          <w:bCs/>
        </w:rPr>
        <w:t>19</w:t>
      </w:r>
      <w:r>
        <w:rPr>
          <w:rFonts w:cs="Cambria"/>
        </w:rPr>
        <w:t>: 2154–2162.</w:t>
      </w:r>
    </w:p>
    <w:p w14:paraId="3B1CE1BA"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Weir BS, Cardon LR, Anderson AD, Nielsen DM, Hill WG. 2005. Measures of human population structure show heterogeneity among genomic regions. </w:t>
      </w:r>
      <w:r>
        <w:rPr>
          <w:rFonts w:cs="Cambria"/>
          <w:i/>
          <w:iCs/>
        </w:rPr>
        <w:t>Genome Res</w:t>
      </w:r>
      <w:r>
        <w:rPr>
          <w:rFonts w:cs="Cambria"/>
        </w:rPr>
        <w:t xml:space="preserve"> </w:t>
      </w:r>
      <w:r>
        <w:rPr>
          <w:rFonts w:cs="Cambria"/>
          <w:b/>
          <w:bCs/>
        </w:rPr>
        <w:t>15</w:t>
      </w:r>
      <w:r>
        <w:rPr>
          <w:rFonts w:cs="Cambria"/>
        </w:rPr>
        <w:t>: 1468–1476.</w:t>
      </w:r>
    </w:p>
    <w:p w14:paraId="5E0C6549"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Weir BS, Cockerham CC. 1984. Estimating F-Statistics for the Analysis of Population Structure. </w:t>
      </w:r>
      <w:r>
        <w:rPr>
          <w:rFonts w:cs="Cambria"/>
          <w:i/>
          <w:iCs/>
        </w:rPr>
        <w:t>Evolution</w:t>
      </w:r>
      <w:r>
        <w:rPr>
          <w:rFonts w:cs="Cambria"/>
        </w:rPr>
        <w:t xml:space="preserve"> </w:t>
      </w:r>
      <w:r>
        <w:rPr>
          <w:rFonts w:cs="Cambria"/>
          <w:b/>
          <w:bCs/>
        </w:rPr>
        <w:t>38</w:t>
      </w:r>
      <w:r>
        <w:rPr>
          <w:rFonts w:cs="Cambria"/>
        </w:rPr>
        <w:t>: 1358–1370.</w:t>
      </w:r>
    </w:p>
    <w:p w14:paraId="1C969968"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Weir BS, Hill WG. 2002. Estimating F-statistics. </w:t>
      </w:r>
      <w:r>
        <w:rPr>
          <w:rFonts w:cs="Cambria"/>
          <w:i/>
          <w:iCs/>
        </w:rPr>
        <w:t>Annu Rev Genet</w:t>
      </w:r>
      <w:r>
        <w:rPr>
          <w:rFonts w:cs="Cambria"/>
        </w:rPr>
        <w:t xml:space="preserve"> </w:t>
      </w:r>
      <w:r>
        <w:rPr>
          <w:rFonts w:cs="Cambria"/>
          <w:b/>
          <w:bCs/>
        </w:rPr>
        <w:t>36</w:t>
      </w:r>
      <w:r>
        <w:rPr>
          <w:rFonts w:cs="Cambria"/>
        </w:rPr>
        <w:t>: 721–750.</w:t>
      </w:r>
    </w:p>
    <w:p w14:paraId="5887F63C"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Wright S. 1949. THE GENETICAL STRUCTURE OF POPULATIONS. </w:t>
      </w:r>
      <w:r>
        <w:rPr>
          <w:rFonts w:cs="Cambria"/>
          <w:i/>
          <w:iCs/>
        </w:rPr>
        <w:t>Ann Hum Genet</w:t>
      </w:r>
      <w:r>
        <w:rPr>
          <w:rFonts w:cs="Cambria"/>
        </w:rPr>
        <w:t xml:space="preserve"> </w:t>
      </w:r>
      <w:r>
        <w:rPr>
          <w:rFonts w:cs="Cambria"/>
          <w:b/>
          <w:bCs/>
        </w:rPr>
        <w:t>15</w:t>
      </w:r>
      <w:r>
        <w:rPr>
          <w:rFonts w:cs="Cambria"/>
        </w:rPr>
        <w:t>: 323–354.</w:t>
      </w:r>
    </w:p>
    <w:p w14:paraId="72FE3243" w14:textId="77777777" w:rsidR="00D73545" w:rsidRDefault="00D73545" w:rsidP="00D73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cs="Cambria"/>
        </w:rPr>
      </w:pPr>
      <w:r>
        <w:rPr>
          <w:rFonts w:cs="Cambria"/>
        </w:rPr>
        <w:t xml:space="preserve">Xu S, Yin X, Li S, Jin W, Lou H, Yang L, Gong X, Wang H, Shen Y, Pan X, et al. 2009. Genomic dissection of population substructure of Han Chinese and its implication in association studies. </w:t>
      </w:r>
      <w:r>
        <w:rPr>
          <w:rFonts w:cs="Cambria"/>
          <w:i/>
          <w:iCs/>
        </w:rPr>
        <w:t>Am J Hum Genet</w:t>
      </w:r>
      <w:r>
        <w:rPr>
          <w:rFonts w:cs="Cambria"/>
        </w:rPr>
        <w:t xml:space="preserve"> </w:t>
      </w:r>
      <w:r>
        <w:rPr>
          <w:rFonts w:cs="Cambria"/>
          <w:b/>
          <w:bCs/>
        </w:rPr>
        <w:t>85</w:t>
      </w:r>
      <w:r>
        <w:rPr>
          <w:rFonts w:cs="Cambria"/>
        </w:rPr>
        <w:t>: 762–774.</w:t>
      </w:r>
    </w:p>
    <w:p w14:paraId="1CDB25B5" w14:textId="77777777" w:rsidR="00606CE9" w:rsidRDefault="00862942" w:rsidP="00300B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fldChar w:fldCharType="end"/>
      </w:r>
    </w:p>
    <w:sectPr w:rsidR="00606CE9" w:rsidSect="00BD1D99">
      <w:footerReference w:type="even" r:id="rId194"/>
      <w:footerReference w:type="default" r:id="rId1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4F751" w14:textId="77777777" w:rsidR="00D41F40" w:rsidRDefault="00D41F40" w:rsidP="00E01F8E">
      <w:r>
        <w:separator/>
      </w:r>
    </w:p>
  </w:endnote>
  <w:endnote w:type="continuationSeparator" w:id="0">
    <w:p w14:paraId="2A8471A8" w14:textId="77777777" w:rsidR="00D41F40" w:rsidRDefault="00D41F40" w:rsidP="00E0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9906F" w14:textId="77777777" w:rsidR="00777ED9" w:rsidRDefault="00777ED9" w:rsidP="00E01F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D6ABCC" w14:textId="77777777" w:rsidR="00777ED9" w:rsidRDefault="00777ED9" w:rsidP="00E01F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92B16" w14:textId="77777777" w:rsidR="00777ED9" w:rsidRDefault="00777ED9" w:rsidP="00E01F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B1B">
      <w:rPr>
        <w:rStyle w:val="PageNumber"/>
        <w:noProof/>
      </w:rPr>
      <w:t>37</w:t>
    </w:r>
    <w:r>
      <w:rPr>
        <w:rStyle w:val="PageNumber"/>
      </w:rPr>
      <w:fldChar w:fldCharType="end"/>
    </w:r>
  </w:p>
  <w:p w14:paraId="54B6B0D3" w14:textId="77777777" w:rsidR="00777ED9" w:rsidRDefault="00777ED9" w:rsidP="00E01F8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6CC89" w14:textId="77777777" w:rsidR="00D41F40" w:rsidRDefault="00D41F40" w:rsidP="00E01F8E">
      <w:r>
        <w:separator/>
      </w:r>
    </w:p>
  </w:footnote>
  <w:footnote w:type="continuationSeparator" w:id="0">
    <w:p w14:paraId="4F53AADD" w14:textId="77777777" w:rsidR="00D41F40" w:rsidRDefault="00D41F40" w:rsidP="00E01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209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E249D1"/>
    <w:multiLevelType w:val="hybridMultilevel"/>
    <w:tmpl w:val="20D88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E5FF2"/>
    <w:multiLevelType w:val="hybridMultilevel"/>
    <w:tmpl w:val="3092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0F1BBB"/>
    <w:multiLevelType w:val="hybridMultilevel"/>
    <w:tmpl w:val="F5C4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85883"/>
    <w:multiLevelType w:val="hybridMultilevel"/>
    <w:tmpl w:val="A27AC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CC40B6"/>
    <w:multiLevelType w:val="hybridMultilevel"/>
    <w:tmpl w:val="7F9C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F5615E"/>
    <w:multiLevelType w:val="multilevel"/>
    <w:tmpl w:val="63A670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8553988"/>
    <w:multiLevelType w:val="multilevel"/>
    <w:tmpl w:val="8596603E"/>
    <w:lvl w:ilvl="0">
      <w:start w:val="1"/>
      <w:numFmt w:val="decimal"/>
      <w:lvlText w:val="(s%1)"/>
      <w:lvlJc w:val="left"/>
      <w:pPr>
        <w:ind w:left="360" w:hanging="360"/>
      </w:pPr>
      <w:rPr>
        <w:rFonts w:hint="default"/>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2452C18"/>
    <w:multiLevelType w:val="multilevel"/>
    <w:tmpl w:val="63A670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74638FA"/>
    <w:multiLevelType w:val="hybridMultilevel"/>
    <w:tmpl w:val="A27AC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81404D"/>
    <w:multiLevelType w:val="hybridMultilevel"/>
    <w:tmpl w:val="253CB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3"/>
  </w:num>
  <w:num w:numId="5">
    <w:abstractNumId w:val="4"/>
  </w:num>
  <w:num w:numId="6">
    <w:abstractNumId w:val="0"/>
  </w:num>
  <w:num w:numId="7">
    <w:abstractNumId w:val="7"/>
  </w:num>
  <w:num w:numId="8">
    <w:abstractNumId w:val="6"/>
  </w:num>
  <w:num w:numId="9">
    <w:abstractNumId w:val="8"/>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7EC"/>
    <w:rsid w:val="00001772"/>
    <w:rsid w:val="00002C3F"/>
    <w:rsid w:val="00025C38"/>
    <w:rsid w:val="000318CB"/>
    <w:rsid w:val="0003710B"/>
    <w:rsid w:val="00041333"/>
    <w:rsid w:val="00053AAA"/>
    <w:rsid w:val="00061D10"/>
    <w:rsid w:val="00066EBF"/>
    <w:rsid w:val="00072B13"/>
    <w:rsid w:val="000B5DFD"/>
    <w:rsid w:val="000B760F"/>
    <w:rsid w:val="000B7B1B"/>
    <w:rsid w:val="000C5C69"/>
    <w:rsid w:val="000C6BB3"/>
    <w:rsid w:val="000E137B"/>
    <w:rsid w:val="000E7F01"/>
    <w:rsid w:val="00102731"/>
    <w:rsid w:val="00110D58"/>
    <w:rsid w:val="0011729F"/>
    <w:rsid w:val="00117E54"/>
    <w:rsid w:val="00127E6E"/>
    <w:rsid w:val="00134AD5"/>
    <w:rsid w:val="00140243"/>
    <w:rsid w:val="00143682"/>
    <w:rsid w:val="00155BB0"/>
    <w:rsid w:val="001645DC"/>
    <w:rsid w:val="00175503"/>
    <w:rsid w:val="001923CA"/>
    <w:rsid w:val="001935B4"/>
    <w:rsid w:val="001A0943"/>
    <w:rsid w:val="001C12DA"/>
    <w:rsid w:val="001C415A"/>
    <w:rsid w:val="001C4DCE"/>
    <w:rsid w:val="001D1445"/>
    <w:rsid w:val="001D693F"/>
    <w:rsid w:val="001E4172"/>
    <w:rsid w:val="0020056C"/>
    <w:rsid w:val="00201C10"/>
    <w:rsid w:val="00227CF7"/>
    <w:rsid w:val="002333C9"/>
    <w:rsid w:val="00235D1D"/>
    <w:rsid w:val="002520DD"/>
    <w:rsid w:val="002615A7"/>
    <w:rsid w:val="00290678"/>
    <w:rsid w:val="002A3D29"/>
    <w:rsid w:val="002A4F79"/>
    <w:rsid w:val="002A5E51"/>
    <w:rsid w:val="002B7142"/>
    <w:rsid w:val="002B7E6C"/>
    <w:rsid w:val="002C714F"/>
    <w:rsid w:val="002E4A9F"/>
    <w:rsid w:val="002F65A2"/>
    <w:rsid w:val="00300B29"/>
    <w:rsid w:val="00306728"/>
    <w:rsid w:val="00324EBE"/>
    <w:rsid w:val="0033263A"/>
    <w:rsid w:val="003411B5"/>
    <w:rsid w:val="00342227"/>
    <w:rsid w:val="003526A6"/>
    <w:rsid w:val="003579EE"/>
    <w:rsid w:val="003644F5"/>
    <w:rsid w:val="003A2591"/>
    <w:rsid w:val="003B43DC"/>
    <w:rsid w:val="003C58F2"/>
    <w:rsid w:val="003D5548"/>
    <w:rsid w:val="003E5D4E"/>
    <w:rsid w:val="003F0114"/>
    <w:rsid w:val="003F6191"/>
    <w:rsid w:val="00401EBB"/>
    <w:rsid w:val="00402599"/>
    <w:rsid w:val="00422EB4"/>
    <w:rsid w:val="00462596"/>
    <w:rsid w:val="00463145"/>
    <w:rsid w:val="00471D99"/>
    <w:rsid w:val="00480A44"/>
    <w:rsid w:val="00481B6B"/>
    <w:rsid w:val="00487DB4"/>
    <w:rsid w:val="004970A5"/>
    <w:rsid w:val="004A6147"/>
    <w:rsid w:val="004B0E75"/>
    <w:rsid w:val="00500E1B"/>
    <w:rsid w:val="005127EC"/>
    <w:rsid w:val="005226BB"/>
    <w:rsid w:val="00527E39"/>
    <w:rsid w:val="00563709"/>
    <w:rsid w:val="00574D55"/>
    <w:rsid w:val="00596BB4"/>
    <w:rsid w:val="005A754D"/>
    <w:rsid w:val="005B6E90"/>
    <w:rsid w:val="005D0EF5"/>
    <w:rsid w:val="005D1C6A"/>
    <w:rsid w:val="005E1908"/>
    <w:rsid w:val="005E2348"/>
    <w:rsid w:val="005E301F"/>
    <w:rsid w:val="005E4A90"/>
    <w:rsid w:val="005F5DD5"/>
    <w:rsid w:val="0060105B"/>
    <w:rsid w:val="00606CE9"/>
    <w:rsid w:val="00611244"/>
    <w:rsid w:val="0061776A"/>
    <w:rsid w:val="00632633"/>
    <w:rsid w:val="00642606"/>
    <w:rsid w:val="00657C44"/>
    <w:rsid w:val="00657EE7"/>
    <w:rsid w:val="00666A64"/>
    <w:rsid w:val="00672606"/>
    <w:rsid w:val="00672DFE"/>
    <w:rsid w:val="00676ADB"/>
    <w:rsid w:val="006950EC"/>
    <w:rsid w:val="006A3D16"/>
    <w:rsid w:val="006B1288"/>
    <w:rsid w:val="006C4A11"/>
    <w:rsid w:val="006D0726"/>
    <w:rsid w:val="006D3114"/>
    <w:rsid w:val="006D33E8"/>
    <w:rsid w:val="006E2020"/>
    <w:rsid w:val="006E30CB"/>
    <w:rsid w:val="006E54D6"/>
    <w:rsid w:val="00703989"/>
    <w:rsid w:val="00712215"/>
    <w:rsid w:val="007358A7"/>
    <w:rsid w:val="00740433"/>
    <w:rsid w:val="00763657"/>
    <w:rsid w:val="007639B7"/>
    <w:rsid w:val="00764D0A"/>
    <w:rsid w:val="00777ED9"/>
    <w:rsid w:val="0078099A"/>
    <w:rsid w:val="00785566"/>
    <w:rsid w:val="00794F61"/>
    <w:rsid w:val="0079533C"/>
    <w:rsid w:val="007B2E8E"/>
    <w:rsid w:val="007D1FC6"/>
    <w:rsid w:val="007E4677"/>
    <w:rsid w:val="007E4BC5"/>
    <w:rsid w:val="007F0290"/>
    <w:rsid w:val="00800DF2"/>
    <w:rsid w:val="00807597"/>
    <w:rsid w:val="0081143A"/>
    <w:rsid w:val="00823F64"/>
    <w:rsid w:val="008361A2"/>
    <w:rsid w:val="008368D4"/>
    <w:rsid w:val="00843DE8"/>
    <w:rsid w:val="00855379"/>
    <w:rsid w:val="008566D3"/>
    <w:rsid w:val="008612BA"/>
    <w:rsid w:val="00862942"/>
    <w:rsid w:val="00865E35"/>
    <w:rsid w:val="00872F6E"/>
    <w:rsid w:val="008834C6"/>
    <w:rsid w:val="008911C9"/>
    <w:rsid w:val="008912D2"/>
    <w:rsid w:val="008C1B24"/>
    <w:rsid w:val="008D1B66"/>
    <w:rsid w:val="008F1F46"/>
    <w:rsid w:val="008F2AD1"/>
    <w:rsid w:val="008F66DA"/>
    <w:rsid w:val="009014AB"/>
    <w:rsid w:val="009110B2"/>
    <w:rsid w:val="0091134D"/>
    <w:rsid w:val="00911490"/>
    <w:rsid w:val="00911E3C"/>
    <w:rsid w:val="0091233F"/>
    <w:rsid w:val="009226BE"/>
    <w:rsid w:val="0093648D"/>
    <w:rsid w:val="00955ACF"/>
    <w:rsid w:val="00956ABD"/>
    <w:rsid w:val="00956E09"/>
    <w:rsid w:val="00966C28"/>
    <w:rsid w:val="009701AF"/>
    <w:rsid w:val="009748EC"/>
    <w:rsid w:val="00977C24"/>
    <w:rsid w:val="0099329E"/>
    <w:rsid w:val="009951C1"/>
    <w:rsid w:val="009B0FE7"/>
    <w:rsid w:val="009C656B"/>
    <w:rsid w:val="009D00B2"/>
    <w:rsid w:val="00A1087E"/>
    <w:rsid w:val="00A17A13"/>
    <w:rsid w:val="00A30EEE"/>
    <w:rsid w:val="00A3102C"/>
    <w:rsid w:val="00A35BA0"/>
    <w:rsid w:val="00A36433"/>
    <w:rsid w:val="00A40A38"/>
    <w:rsid w:val="00A463F5"/>
    <w:rsid w:val="00A465C2"/>
    <w:rsid w:val="00A5336C"/>
    <w:rsid w:val="00A55810"/>
    <w:rsid w:val="00A8790C"/>
    <w:rsid w:val="00AA3CE2"/>
    <w:rsid w:val="00AA3D26"/>
    <w:rsid w:val="00AA6A8A"/>
    <w:rsid w:val="00AB4D6D"/>
    <w:rsid w:val="00AC349C"/>
    <w:rsid w:val="00AC4D9B"/>
    <w:rsid w:val="00AD4F57"/>
    <w:rsid w:val="00AD5F96"/>
    <w:rsid w:val="00AE399D"/>
    <w:rsid w:val="00AE5B0B"/>
    <w:rsid w:val="00AF05D1"/>
    <w:rsid w:val="00B01F78"/>
    <w:rsid w:val="00B03451"/>
    <w:rsid w:val="00B2474E"/>
    <w:rsid w:val="00B27A1F"/>
    <w:rsid w:val="00B35A19"/>
    <w:rsid w:val="00B514BE"/>
    <w:rsid w:val="00B53F74"/>
    <w:rsid w:val="00B55AD9"/>
    <w:rsid w:val="00B6215B"/>
    <w:rsid w:val="00B946B7"/>
    <w:rsid w:val="00B95ED8"/>
    <w:rsid w:val="00BA4C93"/>
    <w:rsid w:val="00BB7AEF"/>
    <w:rsid w:val="00BD1D99"/>
    <w:rsid w:val="00BD4A25"/>
    <w:rsid w:val="00C12F72"/>
    <w:rsid w:val="00C13C07"/>
    <w:rsid w:val="00C2191A"/>
    <w:rsid w:val="00C21C05"/>
    <w:rsid w:val="00C25407"/>
    <w:rsid w:val="00C41C1A"/>
    <w:rsid w:val="00C555DF"/>
    <w:rsid w:val="00C63E93"/>
    <w:rsid w:val="00C703D2"/>
    <w:rsid w:val="00C74830"/>
    <w:rsid w:val="00C75457"/>
    <w:rsid w:val="00CA02F9"/>
    <w:rsid w:val="00CA5BD6"/>
    <w:rsid w:val="00CA5D8F"/>
    <w:rsid w:val="00CD6E91"/>
    <w:rsid w:val="00CE081C"/>
    <w:rsid w:val="00CE6D1D"/>
    <w:rsid w:val="00CF10D5"/>
    <w:rsid w:val="00CF21C1"/>
    <w:rsid w:val="00CF43DD"/>
    <w:rsid w:val="00D10C99"/>
    <w:rsid w:val="00D37A1C"/>
    <w:rsid w:val="00D41F40"/>
    <w:rsid w:val="00D62899"/>
    <w:rsid w:val="00D63EDA"/>
    <w:rsid w:val="00D677F6"/>
    <w:rsid w:val="00D70B3A"/>
    <w:rsid w:val="00D713AF"/>
    <w:rsid w:val="00D73545"/>
    <w:rsid w:val="00D85935"/>
    <w:rsid w:val="00D86E16"/>
    <w:rsid w:val="00DA26EC"/>
    <w:rsid w:val="00DB1A5C"/>
    <w:rsid w:val="00DB448D"/>
    <w:rsid w:val="00DB4D17"/>
    <w:rsid w:val="00DC0717"/>
    <w:rsid w:val="00DC37DB"/>
    <w:rsid w:val="00DC3B55"/>
    <w:rsid w:val="00DD232A"/>
    <w:rsid w:val="00DD3BA8"/>
    <w:rsid w:val="00DD635F"/>
    <w:rsid w:val="00DF0517"/>
    <w:rsid w:val="00DF5101"/>
    <w:rsid w:val="00E01F8E"/>
    <w:rsid w:val="00E03D65"/>
    <w:rsid w:val="00E1189C"/>
    <w:rsid w:val="00E27BBE"/>
    <w:rsid w:val="00E360A5"/>
    <w:rsid w:val="00E36CC4"/>
    <w:rsid w:val="00E37E5D"/>
    <w:rsid w:val="00E43E9D"/>
    <w:rsid w:val="00E619B4"/>
    <w:rsid w:val="00E65876"/>
    <w:rsid w:val="00E9672C"/>
    <w:rsid w:val="00EA7D6B"/>
    <w:rsid w:val="00EB3CCF"/>
    <w:rsid w:val="00EC267F"/>
    <w:rsid w:val="00EC3583"/>
    <w:rsid w:val="00EC62BC"/>
    <w:rsid w:val="00F16DCD"/>
    <w:rsid w:val="00F5289E"/>
    <w:rsid w:val="00F613A2"/>
    <w:rsid w:val="00F862C7"/>
    <w:rsid w:val="00F940C7"/>
    <w:rsid w:val="00F95202"/>
    <w:rsid w:val="00FB10C0"/>
    <w:rsid w:val="00FB7294"/>
    <w:rsid w:val="00FD0EE4"/>
    <w:rsid w:val="00FD1B7E"/>
    <w:rsid w:val="00FE4CBE"/>
    <w:rsid w:val="00FF61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D1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772"/>
    <w:pPr>
      <w:keepNext/>
      <w:spacing w:before="240" w:after="60"/>
      <w:outlineLvl w:val="0"/>
    </w:pPr>
    <w:rPr>
      <w:rFonts w:ascii="Calibri" w:eastAsia="MS Gothic" w:hAnsi="Calibri"/>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5127EC"/>
    <w:pPr>
      <w:ind w:left="720"/>
      <w:contextualSpacing/>
    </w:pPr>
  </w:style>
  <w:style w:type="character" w:styleId="PlaceholderText">
    <w:name w:val="Placeholder Text"/>
    <w:uiPriority w:val="99"/>
    <w:semiHidden/>
    <w:rsid w:val="00BD4A25"/>
    <w:rPr>
      <w:color w:val="808080"/>
    </w:rPr>
  </w:style>
  <w:style w:type="paragraph" w:styleId="BalloonText">
    <w:name w:val="Balloon Text"/>
    <w:basedOn w:val="Normal"/>
    <w:link w:val="BalloonTextChar"/>
    <w:uiPriority w:val="99"/>
    <w:semiHidden/>
    <w:unhideWhenUsed/>
    <w:rsid w:val="00BD4A25"/>
    <w:rPr>
      <w:rFonts w:ascii="Lucida Grande" w:hAnsi="Lucida Grande"/>
      <w:sz w:val="18"/>
      <w:szCs w:val="18"/>
      <w:lang w:val="x-none" w:eastAsia="x-none"/>
    </w:rPr>
  </w:style>
  <w:style w:type="character" w:customStyle="1" w:styleId="BalloonTextChar">
    <w:name w:val="Balloon Text Char"/>
    <w:link w:val="BalloonText"/>
    <w:uiPriority w:val="99"/>
    <w:semiHidden/>
    <w:rsid w:val="00BD4A25"/>
    <w:rPr>
      <w:rFonts w:ascii="Lucida Grande" w:hAnsi="Lucida Grande" w:cs="Lucida Grande"/>
      <w:sz w:val="18"/>
      <w:szCs w:val="18"/>
    </w:rPr>
  </w:style>
  <w:style w:type="paragraph" w:styleId="DocumentMap">
    <w:name w:val="Document Map"/>
    <w:basedOn w:val="Normal"/>
    <w:link w:val="DocumentMapChar"/>
    <w:uiPriority w:val="99"/>
    <w:semiHidden/>
    <w:unhideWhenUsed/>
    <w:rsid w:val="006950EC"/>
    <w:rPr>
      <w:rFonts w:ascii="Lucida Grande" w:hAnsi="Lucida Grande"/>
      <w:lang w:val="x-none" w:eastAsia="x-none"/>
    </w:rPr>
  </w:style>
  <w:style w:type="character" w:customStyle="1" w:styleId="DocumentMapChar">
    <w:name w:val="Document Map Char"/>
    <w:link w:val="DocumentMap"/>
    <w:uiPriority w:val="99"/>
    <w:semiHidden/>
    <w:rsid w:val="006950EC"/>
    <w:rPr>
      <w:rFonts w:ascii="Lucida Grande" w:hAnsi="Lucida Grande" w:cs="Lucida Grande"/>
      <w:sz w:val="24"/>
      <w:szCs w:val="24"/>
    </w:rPr>
  </w:style>
  <w:style w:type="character" w:styleId="CommentReference">
    <w:name w:val="annotation reference"/>
    <w:unhideWhenUsed/>
    <w:rsid w:val="00B35A19"/>
    <w:rPr>
      <w:sz w:val="16"/>
      <w:szCs w:val="16"/>
    </w:rPr>
  </w:style>
  <w:style w:type="paragraph" w:styleId="CommentText">
    <w:name w:val="annotation text"/>
    <w:basedOn w:val="Normal"/>
    <w:link w:val="CommentTextChar"/>
    <w:unhideWhenUsed/>
    <w:rsid w:val="00B35A19"/>
    <w:rPr>
      <w:sz w:val="20"/>
      <w:szCs w:val="20"/>
    </w:rPr>
  </w:style>
  <w:style w:type="character" w:customStyle="1" w:styleId="CommentTextChar">
    <w:name w:val="Comment Text Char"/>
    <w:basedOn w:val="DefaultParagraphFont"/>
    <w:link w:val="CommentText"/>
    <w:rsid w:val="00B35A19"/>
  </w:style>
  <w:style w:type="paragraph" w:styleId="CommentSubject">
    <w:name w:val="annotation subject"/>
    <w:basedOn w:val="CommentText"/>
    <w:next w:val="CommentText"/>
    <w:link w:val="CommentSubjectChar"/>
    <w:uiPriority w:val="99"/>
    <w:semiHidden/>
    <w:unhideWhenUsed/>
    <w:rsid w:val="00B35A19"/>
    <w:rPr>
      <w:b/>
      <w:bCs/>
      <w:lang w:val="x-none" w:eastAsia="x-none"/>
    </w:rPr>
  </w:style>
  <w:style w:type="character" w:customStyle="1" w:styleId="CommentSubjectChar">
    <w:name w:val="Comment Subject Char"/>
    <w:link w:val="CommentSubject"/>
    <w:uiPriority w:val="99"/>
    <w:semiHidden/>
    <w:rsid w:val="00B35A19"/>
    <w:rPr>
      <w:b/>
      <w:bCs/>
    </w:rPr>
  </w:style>
  <w:style w:type="paragraph" w:customStyle="1" w:styleId="ColorfulShading-Accent11">
    <w:name w:val="Colorful Shading - Accent 11"/>
    <w:hidden/>
    <w:uiPriority w:val="99"/>
    <w:semiHidden/>
    <w:rsid w:val="00C74830"/>
    <w:rPr>
      <w:sz w:val="24"/>
      <w:szCs w:val="24"/>
    </w:rPr>
  </w:style>
  <w:style w:type="paragraph" w:styleId="Footer">
    <w:name w:val="footer"/>
    <w:basedOn w:val="Normal"/>
    <w:link w:val="FooterChar"/>
    <w:uiPriority w:val="99"/>
    <w:unhideWhenUsed/>
    <w:rsid w:val="00E01F8E"/>
    <w:pPr>
      <w:tabs>
        <w:tab w:val="center" w:pos="4320"/>
        <w:tab w:val="right" w:pos="8640"/>
      </w:tabs>
    </w:pPr>
    <w:rPr>
      <w:lang w:val="x-none" w:eastAsia="x-none"/>
    </w:rPr>
  </w:style>
  <w:style w:type="character" w:customStyle="1" w:styleId="FooterChar">
    <w:name w:val="Footer Char"/>
    <w:link w:val="Footer"/>
    <w:uiPriority w:val="99"/>
    <w:rsid w:val="00E01F8E"/>
    <w:rPr>
      <w:sz w:val="24"/>
      <w:szCs w:val="24"/>
    </w:rPr>
  </w:style>
  <w:style w:type="character" w:styleId="PageNumber">
    <w:name w:val="page number"/>
    <w:uiPriority w:val="99"/>
    <w:semiHidden/>
    <w:unhideWhenUsed/>
    <w:rsid w:val="00E01F8E"/>
  </w:style>
  <w:style w:type="character" w:customStyle="1" w:styleId="Heading1Char">
    <w:name w:val="Heading 1 Char"/>
    <w:link w:val="Heading1"/>
    <w:uiPriority w:val="9"/>
    <w:rsid w:val="00001772"/>
    <w:rPr>
      <w:rFonts w:ascii="Calibri" w:eastAsia="MS Gothic" w:hAnsi="Calibri" w:cs="Times New Roman"/>
      <w:b/>
      <w:bCs/>
      <w:kern w:val="32"/>
      <w:sz w:val="32"/>
      <w:szCs w:val="32"/>
    </w:rPr>
  </w:style>
  <w:style w:type="paragraph" w:styleId="TOC1">
    <w:name w:val="toc 1"/>
    <w:basedOn w:val="Normal"/>
    <w:next w:val="Normal"/>
    <w:autoRedefine/>
    <w:uiPriority w:val="39"/>
    <w:unhideWhenUsed/>
    <w:rsid w:val="00596BB4"/>
  </w:style>
  <w:style w:type="paragraph" w:styleId="TOC2">
    <w:name w:val="toc 2"/>
    <w:basedOn w:val="Normal"/>
    <w:next w:val="Normal"/>
    <w:autoRedefine/>
    <w:uiPriority w:val="39"/>
    <w:unhideWhenUsed/>
    <w:rsid w:val="00596BB4"/>
    <w:pPr>
      <w:ind w:left="240"/>
    </w:pPr>
  </w:style>
  <w:style w:type="paragraph" w:styleId="TOC3">
    <w:name w:val="toc 3"/>
    <w:basedOn w:val="Normal"/>
    <w:next w:val="Normal"/>
    <w:autoRedefine/>
    <w:uiPriority w:val="39"/>
    <w:unhideWhenUsed/>
    <w:rsid w:val="00596BB4"/>
    <w:pPr>
      <w:ind w:left="480"/>
    </w:pPr>
  </w:style>
  <w:style w:type="paragraph" w:styleId="TOC4">
    <w:name w:val="toc 4"/>
    <w:basedOn w:val="Normal"/>
    <w:next w:val="Normal"/>
    <w:autoRedefine/>
    <w:uiPriority w:val="39"/>
    <w:unhideWhenUsed/>
    <w:rsid w:val="00596BB4"/>
    <w:pPr>
      <w:ind w:left="720"/>
    </w:pPr>
  </w:style>
  <w:style w:type="paragraph" w:styleId="TOC5">
    <w:name w:val="toc 5"/>
    <w:basedOn w:val="Normal"/>
    <w:next w:val="Normal"/>
    <w:autoRedefine/>
    <w:uiPriority w:val="39"/>
    <w:unhideWhenUsed/>
    <w:rsid w:val="00596BB4"/>
    <w:pPr>
      <w:ind w:left="960"/>
    </w:pPr>
  </w:style>
  <w:style w:type="paragraph" w:styleId="TOC6">
    <w:name w:val="toc 6"/>
    <w:basedOn w:val="Normal"/>
    <w:next w:val="Normal"/>
    <w:autoRedefine/>
    <w:uiPriority w:val="39"/>
    <w:unhideWhenUsed/>
    <w:rsid w:val="00596BB4"/>
    <w:pPr>
      <w:ind w:left="1200"/>
    </w:pPr>
  </w:style>
  <w:style w:type="paragraph" w:styleId="TOC7">
    <w:name w:val="toc 7"/>
    <w:basedOn w:val="Normal"/>
    <w:next w:val="Normal"/>
    <w:autoRedefine/>
    <w:uiPriority w:val="39"/>
    <w:unhideWhenUsed/>
    <w:rsid w:val="00596BB4"/>
    <w:pPr>
      <w:ind w:left="1440"/>
    </w:pPr>
  </w:style>
  <w:style w:type="paragraph" w:styleId="TOC8">
    <w:name w:val="toc 8"/>
    <w:basedOn w:val="Normal"/>
    <w:next w:val="Normal"/>
    <w:autoRedefine/>
    <w:uiPriority w:val="39"/>
    <w:unhideWhenUsed/>
    <w:rsid w:val="00596BB4"/>
    <w:pPr>
      <w:ind w:left="1680"/>
    </w:pPr>
  </w:style>
  <w:style w:type="paragraph" w:styleId="TOC9">
    <w:name w:val="toc 9"/>
    <w:basedOn w:val="Normal"/>
    <w:next w:val="Normal"/>
    <w:autoRedefine/>
    <w:uiPriority w:val="39"/>
    <w:unhideWhenUsed/>
    <w:rsid w:val="00596BB4"/>
    <w:pPr>
      <w:ind w:left="1920"/>
    </w:pPr>
  </w:style>
  <w:style w:type="paragraph" w:styleId="Revision">
    <w:name w:val="Revision"/>
    <w:hidden/>
    <w:uiPriority w:val="99"/>
    <w:semiHidden/>
    <w:rsid w:val="003644F5"/>
    <w:rPr>
      <w:sz w:val="24"/>
      <w:szCs w:val="24"/>
    </w:rPr>
  </w:style>
  <w:style w:type="table" w:styleId="TableGrid">
    <w:name w:val="Table Grid"/>
    <w:basedOn w:val="TableNormal"/>
    <w:uiPriority w:val="59"/>
    <w:rsid w:val="00956E09"/>
    <w:rPr>
      <w:rFonts w:ascii="Arial" w:eastAsia="ＭＳ 明朝"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6E09"/>
    <w:pPr>
      <w:ind w:left="720"/>
      <w:contextualSpacing/>
    </w:pPr>
  </w:style>
  <w:style w:type="character" w:customStyle="1" w:styleId="apple-converted-space">
    <w:name w:val="apple-converted-space"/>
    <w:basedOn w:val="DefaultParagraphFont"/>
    <w:rsid w:val="004970A5"/>
  </w:style>
  <w:style w:type="character" w:customStyle="1" w:styleId="il">
    <w:name w:val="il"/>
    <w:basedOn w:val="DefaultParagraphFont"/>
    <w:rsid w:val="004970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772"/>
    <w:pPr>
      <w:keepNext/>
      <w:spacing w:before="240" w:after="60"/>
      <w:outlineLvl w:val="0"/>
    </w:pPr>
    <w:rPr>
      <w:rFonts w:ascii="Calibri" w:eastAsia="MS Gothic" w:hAnsi="Calibri"/>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5127EC"/>
    <w:pPr>
      <w:ind w:left="720"/>
      <w:contextualSpacing/>
    </w:pPr>
  </w:style>
  <w:style w:type="character" w:styleId="PlaceholderText">
    <w:name w:val="Placeholder Text"/>
    <w:uiPriority w:val="99"/>
    <w:semiHidden/>
    <w:rsid w:val="00BD4A25"/>
    <w:rPr>
      <w:color w:val="808080"/>
    </w:rPr>
  </w:style>
  <w:style w:type="paragraph" w:styleId="BalloonText">
    <w:name w:val="Balloon Text"/>
    <w:basedOn w:val="Normal"/>
    <w:link w:val="BalloonTextChar"/>
    <w:uiPriority w:val="99"/>
    <w:semiHidden/>
    <w:unhideWhenUsed/>
    <w:rsid w:val="00BD4A25"/>
    <w:rPr>
      <w:rFonts w:ascii="Lucida Grande" w:hAnsi="Lucida Grande"/>
      <w:sz w:val="18"/>
      <w:szCs w:val="18"/>
      <w:lang w:val="x-none" w:eastAsia="x-none"/>
    </w:rPr>
  </w:style>
  <w:style w:type="character" w:customStyle="1" w:styleId="BalloonTextChar">
    <w:name w:val="Balloon Text Char"/>
    <w:link w:val="BalloonText"/>
    <w:uiPriority w:val="99"/>
    <w:semiHidden/>
    <w:rsid w:val="00BD4A25"/>
    <w:rPr>
      <w:rFonts w:ascii="Lucida Grande" w:hAnsi="Lucida Grande" w:cs="Lucida Grande"/>
      <w:sz w:val="18"/>
      <w:szCs w:val="18"/>
    </w:rPr>
  </w:style>
  <w:style w:type="paragraph" w:styleId="DocumentMap">
    <w:name w:val="Document Map"/>
    <w:basedOn w:val="Normal"/>
    <w:link w:val="DocumentMapChar"/>
    <w:uiPriority w:val="99"/>
    <w:semiHidden/>
    <w:unhideWhenUsed/>
    <w:rsid w:val="006950EC"/>
    <w:rPr>
      <w:rFonts w:ascii="Lucida Grande" w:hAnsi="Lucida Grande"/>
      <w:lang w:val="x-none" w:eastAsia="x-none"/>
    </w:rPr>
  </w:style>
  <w:style w:type="character" w:customStyle="1" w:styleId="DocumentMapChar">
    <w:name w:val="Document Map Char"/>
    <w:link w:val="DocumentMap"/>
    <w:uiPriority w:val="99"/>
    <w:semiHidden/>
    <w:rsid w:val="006950EC"/>
    <w:rPr>
      <w:rFonts w:ascii="Lucida Grande" w:hAnsi="Lucida Grande" w:cs="Lucida Grande"/>
      <w:sz w:val="24"/>
      <w:szCs w:val="24"/>
    </w:rPr>
  </w:style>
  <w:style w:type="character" w:styleId="CommentReference">
    <w:name w:val="annotation reference"/>
    <w:unhideWhenUsed/>
    <w:rsid w:val="00B35A19"/>
    <w:rPr>
      <w:sz w:val="16"/>
      <w:szCs w:val="16"/>
    </w:rPr>
  </w:style>
  <w:style w:type="paragraph" w:styleId="CommentText">
    <w:name w:val="annotation text"/>
    <w:basedOn w:val="Normal"/>
    <w:link w:val="CommentTextChar"/>
    <w:unhideWhenUsed/>
    <w:rsid w:val="00B35A19"/>
    <w:rPr>
      <w:sz w:val="20"/>
      <w:szCs w:val="20"/>
    </w:rPr>
  </w:style>
  <w:style w:type="character" w:customStyle="1" w:styleId="CommentTextChar">
    <w:name w:val="Comment Text Char"/>
    <w:basedOn w:val="DefaultParagraphFont"/>
    <w:link w:val="CommentText"/>
    <w:rsid w:val="00B35A19"/>
  </w:style>
  <w:style w:type="paragraph" w:styleId="CommentSubject">
    <w:name w:val="annotation subject"/>
    <w:basedOn w:val="CommentText"/>
    <w:next w:val="CommentText"/>
    <w:link w:val="CommentSubjectChar"/>
    <w:uiPriority w:val="99"/>
    <w:semiHidden/>
    <w:unhideWhenUsed/>
    <w:rsid w:val="00B35A19"/>
    <w:rPr>
      <w:b/>
      <w:bCs/>
      <w:lang w:val="x-none" w:eastAsia="x-none"/>
    </w:rPr>
  </w:style>
  <w:style w:type="character" w:customStyle="1" w:styleId="CommentSubjectChar">
    <w:name w:val="Comment Subject Char"/>
    <w:link w:val="CommentSubject"/>
    <w:uiPriority w:val="99"/>
    <w:semiHidden/>
    <w:rsid w:val="00B35A19"/>
    <w:rPr>
      <w:b/>
      <w:bCs/>
    </w:rPr>
  </w:style>
  <w:style w:type="paragraph" w:customStyle="1" w:styleId="ColorfulShading-Accent11">
    <w:name w:val="Colorful Shading - Accent 11"/>
    <w:hidden/>
    <w:uiPriority w:val="99"/>
    <w:semiHidden/>
    <w:rsid w:val="00C74830"/>
    <w:rPr>
      <w:sz w:val="24"/>
      <w:szCs w:val="24"/>
    </w:rPr>
  </w:style>
  <w:style w:type="paragraph" w:styleId="Footer">
    <w:name w:val="footer"/>
    <w:basedOn w:val="Normal"/>
    <w:link w:val="FooterChar"/>
    <w:uiPriority w:val="99"/>
    <w:unhideWhenUsed/>
    <w:rsid w:val="00E01F8E"/>
    <w:pPr>
      <w:tabs>
        <w:tab w:val="center" w:pos="4320"/>
        <w:tab w:val="right" w:pos="8640"/>
      </w:tabs>
    </w:pPr>
    <w:rPr>
      <w:lang w:val="x-none" w:eastAsia="x-none"/>
    </w:rPr>
  </w:style>
  <w:style w:type="character" w:customStyle="1" w:styleId="FooterChar">
    <w:name w:val="Footer Char"/>
    <w:link w:val="Footer"/>
    <w:uiPriority w:val="99"/>
    <w:rsid w:val="00E01F8E"/>
    <w:rPr>
      <w:sz w:val="24"/>
      <w:szCs w:val="24"/>
    </w:rPr>
  </w:style>
  <w:style w:type="character" w:styleId="PageNumber">
    <w:name w:val="page number"/>
    <w:uiPriority w:val="99"/>
    <w:semiHidden/>
    <w:unhideWhenUsed/>
    <w:rsid w:val="00E01F8E"/>
  </w:style>
  <w:style w:type="character" w:customStyle="1" w:styleId="Heading1Char">
    <w:name w:val="Heading 1 Char"/>
    <w:link w:val="Heading1"/>
    <w:uiPriority w:val="9"/>
    <w:rsid w:val="00001772"/>
    <w:rPr>
      <w:rFonts w:ascii="Calibri" w:eastAsia="MS Gothic" w:hAnsi="Calibri" w:cs="Times New Roman"/>
      <w:b/>
      <w:bCs/>
      <w:kern w:val="32"/>
      <w:sz w:val="32"/>
      <w:szCs w:val="32"/>
    </w:rPr>
  </w:style>
  <w:style w:type="paragraph" w:styleId="TOC1">
    <w:name w:val="toc 1"/>
    <w:basedOn w:val="Normal"/>
    <w:next w:val="Normal"/>
    <w:autoRedefine/>
    <w:uiPriority w:val="39"/>
    <w:unhideWhenUsed/>
    <w:rsid w:val="00596BB4"/>
  </w:style>
  <w:style w:type="paragraph" w:styleId="TOC2">
    <w:name w:val="toc 2"/>
    <w:basedOn w:val="Normal"/>
    <w:next w:val="Normal"/>
    <w:autoRedefine/>
    <w:uiPriority w:val="39"/>
    <w:unhideWhenUsed/>
    <w:rsid w:val="00596BB4"/>
    <w:pPr>
      <w:ind w:left="240"/>
    </w:pPr>
  </w:style>
  <w:style w:type="paragraph" w:styleId="TOC3">
    <w:name w:val="toc 3"/>
    <w:basedOn w:val="Normal"/>
    <w:next w:val="Normal"/>
    <w:autoRedefine/>
    <w:uiPriority w:val="39"/>
    <w:unhideWhenUsed/>
    <w:rsid w:val="00596BB4"/>
    <w:pPr>
      <w:ind w:left="480"/>
    </w:pPr>
  </w:style>
  <w:style w:type="paragraph" w:styleId="TOC4">
    <w:name w:val="toc 4"/>
    <w:basedOn w:val="Normal"/>
    <w:next w:val="Normal"/>
    <w:autoRedefine/>
    <w:uiPriority w:val="39"/>
    <w:unhideWhenUsed/>
    <w:rsid w:val="00596BB4"/>
    <w:pPr>
      <w:ind w:left="720"/>
    </w:pPr>
  </w:style>
  <w:style w:type="paragraph" w:styleId="TOC5">
    <w:name w:val="toc 5"/>
    <w:basedOn w:val="Normal"/>
    <w:next w:val="Normal"/>
    <w:autoRedefine/>
    <w:uiPriority w:val="39"/>
    <w:unhideWhenUsed/>
    <w:rsid w:val="00596BB4"/>
    <w:pPr>
      <w:ind w:left="960"/>
    </w:pPr>
  </w:style>
  <w:style w:type="paragraph" w:styleId="TOC6">
    <w:name w:val="toc 6"/>
    <w:basedOn w:val="Normal"/>
    <w:next w:val="Normal"/>
    <w:autoRedefine/>
    <w:uiPriority w:val="39"/>
    <w:unhideWhenUsed/>
    <w:rsid w:val="00596BB4"/>
    <w:pPr>
      <w:ind w:left="1200"/>
    </w:pPr>
  </w:style>
  <w:style w:type="paragraph" w:styleId="TOC7">
    <w:name w:val="toc 7"/>
    <w:basedOn w:val="Normal"/>
    <w:next w:val="Normal"/>
    <w:autoRedefine/>
    <w:uiPriority w:val="39"/>
    <w:unhideWhenUsed/>
    <w:rsid w:val="00596BB4"/>
    <w:pPr>
      <w:ind w:left="1440"/>
    </w:pPr>
  </w:style>
  <w:style w:type="paragraph" w:styleId="TOC8">
    <w:name w:val="toc 8"/>
    <w:basedOn w:val="Normal"/>
    <w:next w:val="Normal"/>
    <w:autoRedefine/>
    <w:uiPriority w:val="39"/>
    <w:unhideWhenUsed/>
    <w:rsid w:val="00596BB4"/>
    <w:pPr>
      <w:ind w:left="1680"/>
    </w:pPr>
  </w:style>
  <w:style w:type="paragraph" w:styleId="TOC9">
    <w:name w:val="toc 9"/>
    <w:basedOn w:val="Normal"/>
    <w:next w:val="Normal"/>
    <w:autoRedefine/>
    <w:uiPriority w:val="39"/>
    <w:unhideWhenUsed/>
    <w:rsid w:val="00596BB4"/>
    <w:pPr>
      <w:ind w:left="1920"/>
    </w:pPr>
  </w:style>
  <w:style w:type="paragraph" w:styleId="Revision">
    <w:name w:val="Revision"/>
    <w:hidden/>
    <w:uiPriority w:val="99"/>
    <w:semiHidden/>
    <w:rsid w:val="003644F5"/>
    <w:rPr>
      <w:sz w:val="24"/>
      <w:szCs w:val="24"/>
    </w:rPr>
  </w:style>
  <w:style w:type="table" w:styleId="TableGrid">
    <w:name w:val="Table Grid"/>
    <w:basedOn w:val="TableNormal"/>
    <w:uiPriority w:val="59"/>
    <w:rsid w:val="00956E09"/>
    <w:rPr>
      <w:rFonts w:ascii="Arial" w:eastAsia="ＭＳ 明朝"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6E09"/>
    <w:pPr>
      <w:ind w:left="720"/>
      <w:contextualSpacing/>
    </w:pPr>
  </w:style>
  <w:style w:type="character" w:customStyle="1" w:styleId="apple-converted-space">
    <w:name w:val="apple-converted-space"/>
    <w:basedOn w:val="DefaultParagraphFont"/>
    <w:rsid w:val="004970A5"/>
  </w:style>
  <w:style w:type="character" w:customStyle="1" w:styleId="il">
    <w:name w:val="il"/>
    <w:basedOn w:val="DefaultParagraphFont"/>
    <w:rsid w:val="0049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92936">
      <w:bodyDiv w:val="1"/>
      <w:marLeft w:val="0"/>
      <w:marRight w:val="0"/>
      <w:marTop w:val="0"/>
      <w:marBottom w:val="0"/>
      <w:divBdr>
        <w:top w:val="none" w:sz="0" w:space="0" w:color="auto"/>
        <w:left w:val="none" w:sz="0" w:space="0" w:color="auto"/>
        <w:bottom w:val="none" w:sz="0" w:space="0" w:color="auto"/>
        <w:right w:val="none" w:sz="0" w:space="0" w:color="auto"/>
      </w:divBdr>
    </w:div>
    <w:div w:id="495389048">
      <w:bodyDiv w:val="1"/>
      <w:marLeft w:val="0"/>
      <w:marRight w:val="0"/>
      <w:marTop w:val="0"/>
      <w:marBottom w:val="0"/>
      <w:divBdr>
        <w:top w:val="none" w:sz="0" w:space="0" w:color="auto"/>
        <w:left w:val="none" w:sz="0" w:space="0" w:color="auto"/>
        <w:bottom w:val="none" w:sz="0" w:space="0" w:color="auto"/>
        <w:right w:val="none" w:sz="0" w:space="0" w:color="auto"/>
      </w:divBdr>
    </w:div>
    <w:div w:id="630988373">
      <w:bodyDiv w:val="1"/>
      <w:marLeft w:val="0"/>
      <w:marRight w:val="0"/>
      <w:marTop w:val="0"/>
      <w:marBottom w:val="0"/>
      <w:divBdr>
        <w:top w:val="none" w:sz="0" w:space="0" w:color="auto"/>
        <w:left w:val="none" w:sz="0" w:space="0" w:color="auto"/>
        <w:bottom w:val="none" w:sz="0" w:space="0" w:color="auto"/>
        <w:right w:val="none" w:sz="0" w:space="0" w:color="auto"/>
      </w:divBdr>
    </w:div>
    <w:div w:id="892733934">
      <w:bodyDiv w:val="1"/>
      <w:marLeft w:val="0"/>
      <w:marRight w:val="0"/>
      <w:marTop w:val="0"/>
      <w:marBottom w:val="0"/>
      <w:divBdr>
        <w:top w:val="none" w:sz="0" w:space="0" w:color="auto"/>
        <w:left w:val="none" w:sz="0" w:space="0" w:color="auto"/>
        <w:bottom w:val="none" w:sz="0" w:space="0" w:color="auto"/>
        <w:right w:val="none" w:sz="0" w:space="0" w:color="auto"/>
      </w:divBdr>
    </w:div>
    <w:div w:id="958948914">
      <w:bodyDiv w:val="1"/>
      <w:marLeft w:val="0"/>
      <w:marRight w:val="0"/>
      <w:marTop w:val="0"/>
      <w:marBottom w:val="0"/>
      <w:divBdr>
        <w:top w:val="none" w:sz="0" w:space="0" w:color="auto"/>
        <w:left w:val="none" w:sz="0" w:space="0" w:color="auto"/>
        <w:bottom w:val="none" w:sz="0" w:space="0" w:color="auto"/>
        <w:right w:val="none" w:sz="0" w:space="0" w:color="auto"/>
      </w:divBdr>
    </w:div>
    <w:div w:id="1162084921">
      <w:bodyDiv w:val="1"/>
      <w:marLeft w:val="0"/>
      <w:marRight w:val="0"/>
      <w:marTop w:val="0"/>
      <w:marBottom w:val="0"/>
      <w:divBdr>
        <w:top w:val="none" w:sz="0" w:space="0" w:color="auto"/>
        <w:left w:val="none" w:sz="0" w:space="0" w:color="auto"/>
        <w:bottom w:val="none" w:sz="0" w:space="0" w:color="auto"/>
        <w:right w:val="none" w:sz="0" w:space="0" w:color="auto"/>
      </w:divBdr>
    </w:div>
    <w:div w:id="1190415226">
      <w:bodyDiv w:val="1"/>
      <w:marLeft w:val="0"/>
      <w:marRight w:val="0"/>
      <w:marTop w:val="0"/>
      <w:marBottom w:val="0"/>
      <w:divBdr>
        <w:top w:val="none" w:sz="0" w:space="0" w:color="auto"/>
        <w:left w:val="none" w:sz="0" w:space="0" w:color="auto"/>
        <w:bottom w:val="none" w:sz="0" w:space="0" w:color="auto"/>
        <w:right w:val="none" w:sz="0" w:space="0" w:color="auto"/>
      </w:divBdr>
    </w:div>
    <w:div w:id="1272131949">
      <w:bodyDiv w:val="1"/>
      <w:marLeft w:val="0"/>
      <w:marRight w:val="0"/>
      <w:marTop w:val="0"/>
      <w:marBottom w:val="0"/>
      <w:divBdr>
        <w:top w:val="none" w:sz="0" w:space="0" w:color="auto"/>
        <w:left w:val="none" w:sz="0" w:space="0" w:color="auto"/>
        <w:bottom w:val="none" w:sz="0" w:space="0" w:color="auto"/>
        <w:right w:val="none" w:sz="0" w:space="0" w:color="auto"/>
      </w:divBdr>
    </w:div>
    <w:div w:id="1277829920">
      <w:bodyDiv w:val="1"/>
      <w:marLeft w:val="0"/>
      <w:marRight w:val="0"/>
      <w:marTop w:val="0"/>
      <w:marBottom w:val="0"/>
      <w:divBdr>
        <w:top w:val="none" w:sz="0" w:space="0" w:color="auto"/>
        <w:left w:val="none" w:sz="0" w:space="0" w:color="auto"/>
        <w:bottom w:val="none" w:sz="0" w:space="0" w:color="auto"/>
        <w:right w:val="none" w:sz="0" w:space="0" w:color="auto"/>
      </w:divBdr>
    </w:div>
    <w:div w:id="1898855684">
      <w:bodyDiv w:val="1"/>
      <w:marLeft w:val="0"/>
      <w:marRight w:val="0"/>
      <w:marTop w:val="0"/>
      <w:marBottom w:val="0"/>
      <w:divBdr>
        <w:top w:val="none" w:sz="0" w:space="0" w:color="auto"/>
        <w:left w:val="none" w:sz="0" w:space="0" w:color="auto"/>
        <w:bottom w:val="none" w:sz="0" w:space="0" w:color="auto"/>
        <w:right w:val="none" w:sz="0" w:space="0" w:color="auto"/>
      </w:divBdr>
    </w:div>
    <w:div w:id="1919944306">
      <w:bodyDiv w:val="1"/>
      <w:marLeft w:val="0"/>
      <w:marRight w:val="0"/>
      <w:marTop w:val="0"/>
      <w:marBottom w:val="0"/>
      <w:divBdr>
        <w:top w:val="none" w:sz="0" w:space="0" w:color="auto"/>
        <w:left w:val="none" w:sz="0" w:space="0" w:color="auto"/>
        <w:bottom w:val="none" w:sz="0" w:space="0" w:color="auto"/>
        <w:right w:val="none" w:sz="0" w:space="0" w:color="auto"/>
      </w:divBdr>
    </w:div>
    <w:div w:id="1923952709">
      <w:bodyDiv w:val="1"/>
      <w:marLeft w:val="0"/>
      <w:marRight w:val="0"/>
      <w:marTop w:val="0"/>
      <w:marBottom w:val="0"/>
      <w:divBdr>
        <w:top w:val="none" w:sz="0" w:space="0" w:color="auto"/>
        <w:left w:val="none" w:sz="0" w:space="0" w:color="auto"/>
        <w:bottom w:val="none" w:sz="0" w:space="0" w:color="auto"/>
        <w:right w:val="none" w:sz="0" w:space="0" w:color="auto"/>
      </w:divBdr>
    </w:div>
    <w:div w:id="1995522514">
      <w:bodyDiv w:val="1"/>
      <w:marLeft w:val="0"/>
      <w:marRight w:val="0"/>
      <w:marTop w:val="0"/>
      <w:marBottom w:val="0"/>
      <w:divBdr>
        <w:top w:val="none" w:sz="0" w:space="0" w:color="auto"/>
        <w:left w:val="none" w:sz="0" w:space="0" w:color="auto"/>
        <w:bottom w:val="none" w:sz="0" w:space="0" w:color="auto"/>
        <w:right w:val="none" w:sz="0" w:space="0" w:color="auto"/>
      </w:divBdr>
    </w:div>
    <w:div w:id="21399111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04.emf"/><Relationship Id="rId143" Type="http://schemas.openxmlformats.org/officeDocument/2006/relationships/image" Target="media/image105.emf"/><Relationship Id="rId144" Type="http://schemas.openxmlformats.org/officeDocument/2006/relationships/image" Target="media/image106.emf"/><Relationship Id="rId145" Type="http://schemas.openxmlformats.org/officeDocument/2006/relationships/image" Target="media/image107.emf"/><Relationship Id="rId146" Type="http://schemas.openxmlformats.org/officeDocument/2006/relationships/image" Target="media/image108.emf"/><Relationship Id="rId147" Type="http://schemas.openxmlformats.org/officeDocument/2006/relationships/oleObject" Target="embeddings/Microsoft_Equation32.bin"/><Relationship Id="rId148" Type="http://schemas.openxmlformats.org/officeDocument/2006/relationships/image" Target="media/image109.emf"/><Relationship Id="rId149" Type="http://schemas.openxmlformats.org/officeDocument/2006/relationships/oleObject" Target="embeddings/Microsoft_Equation33.bin"/><Relationship Id="rId180" Type="http://schemas.openxmlformats.org/officeDocument/2006/relationships/image" Target="media/image128.emf"/><Relationship Id="rId181" Type="http://schemas.openxmlformats.org/officeDocument/2006/relationships/image" Target="media/image129.emf"/><Relationship Id="rId182" Type="http://schemas.openxmlformats.org/officeDocument/2006/relationships/image" Target="media/image130.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83" Type="http://schemas.openxmlformats.org/officeDocument/2006/relationships/image" Target="media/image131.emf"/><Relationship Id="rId184" Type="http://schemas.openxmlformats.org/officeDocument/2006/relationships/image" Target="media/image132.emf"/><Relationship Id="rId185" Type="http://schemas.openxmlformats.org/officeDocument/2006/relationships/image" Target="media/image133.emf"/><Relationship Id="rId186" Type="http://schemas.openxmlformats.org/officeDocument/2006/relationships/image" Target="media/image134.emf"/><Relationship Id="rId187" Type="http://schemas.openxmlformats.org/officeDocument/2006/relationships/image" Target="media/image135.emf"/><Relationship Id="rId188" Type="http://schemas.openxmlformats.org/officeDocument/2006/relationships/image" Target="media/image136.emf"/><Relationship Id="rId189" Type="http://schemas.openxmlformats.org/officeDocument/2006/relationships/image" Target="media/image137.emf"/><Relationship Id="rId80" Type="http://schemas.openxmlformats.org/officeDocument/2006/relationships/image" Target="media/image63.emf"/><Relationship Id="rId81" Type="http://schemas.openxmlformats.org/officeDocument/2006/relationships/oleObject" Target="embeddings/Microsoft_Equation11.bin"/><Relationship Id="rId82" Type="http://schemas.openxmlformats.org/officeDocument/2006/relationships/image" Target="media/image64.emf"/><Relationship Id="rId83" Type="http://schemas.openxmlformats.org/officeDocument/2006/relationships/oleObject" Target="embeddings/Microsoft_Equation12.bin"/><Relationship Id="rId84" Type="http://schemas.openxmlformats.org/officeDocument/2006/relationships/image" Target="media/image65.emf"/><Relationship Id="rId85" Type="http://schemas.openxmlformats.org/officeDocument/2006/relationships/oleObject" Target="embeddings/Microsoft_Equation13.bin"/><Relationship Id="rId86" Type="http://schemas.openxmlformats.org/officeDocument/2006/relationships/image" Target="media/image66.emf"/><Relationship Id="rId87" Type="http://schemas.openxmlformats.org/officeDocument/2006/relationships/oleObject" Target="embeddings/Microsoft_Equation14.bin"/><Relationship Id="rId88" Type="http://schemas.openxmlformats.org/officeDocument/2006/relationships/image" Target="media/image67.emf"/><Relationship Id="rId89" Type="http://schemas.openxmlformats.org/officeDocument/2006/relationships/oleObject" Target="embeddings/Microsoft_Equation15.bin"/><Relationship Id="rId110" Type="http://schemas.openxmlformats.org/officeDocument/2006/relationships/image" Target="media/image78.emf"/><Relationship Id="rId111" Type="http://schemas.openxmlformats.org/officeDocument/2006/relationships/oleObject" Target="embeddings/Microsoft_Equation26.bin"/><Relationship Id="rId112" Type="http://schemas.openxmlformats.org/officeDocument/2006/relationships/image" Target="media/image79.emf"/><Relationship Id="rId113" Type="http://schemas.openxmlformats.org/officeDocument/2006/relationships/oleObject" Target="embeddings/Microsoft_Equation27.bin"/><Relationship Id="rId114" Type="http://schemas.openxmlformats.org/officeDocument/2006/relationships/image" Target="media/image80.emf"/><Relationship Id="rId115" Type="http://schemas.openxmlformats.org/officeDocument/2006/relationships/oleObject" Target="embeddings/Microsoft_Equation28.bin"/><Relationship Id="rId116" Type="http://schemas.openxmlformats.org/officeDocument/2006/relationships/image" Target="media/image81.emf"/><Relationship Id="rId117" Type="http://schemas.openxmlformats.org/officeDocument/2006/relationships/oleObject" Target="embeddings/Microsoft_Equation29.bin"/><Relationship Id="rId118" Type="http://schemas.openxmlformats.org/officeDocument/2006/relationships/image" Target="media/image82.emf"/><Relationship Id="rId119" Type="http://schemas.openxmlformats.org/officeDocument/2006/relationships/oleObject" Target="embeddings/Microsoft_Equation30.bin"/><Relationship Id="rId150" Type="http://schemas.openxmlformats.org/officeDocument/2006/relationships/image" Target="media/image110.emf"/><Relationship Id="rId151" Type="http://schemas.openxmlformats.org/officeDocument/2006/relationships/oleObject" Target="embeddings/Microsoft_Equation34.bin"/><Relationship Id="rId152" Type="http://schemas.openxmlformats.org/officeDocument/2006/relationships/image" Target="media/image111.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oleObject" Target="embeddings/Microsoft_Equation1.bin"/><Relationship Id="rId14" Type="http://schemas.openxmlformats.org/officeDocument/2006/relationships/image" Target="media/image6.emf"/><Relationship Id="rId15" Type="http://schemas.openxmlformats.org/officeDocument/2006/relationships/oleObject" Target="embeddings/Microsoft_Equation2.bin"/><Relationship Id="rId16" Type="http://schemas.openxmlformats.org/officeDocument/2006/relationships/image" Target="media/image7.emf"/><Relationship Id="rId17" Type="http://schemas.openxmlformats.org/officeDocument/2006/relationships/oleObject" Target="embeddings/Microsoft_Equation3.bin"/><Relationship Id="rId18" Type="http://schemas.openxmlformats.org/officeDocument/2006/relationships/image" Target="media/image8.emf"/><Relationship Id="rId19" Type="http://schemas.openxmlformats.org/officeDocument/2006/relationships/image" Target="media/image9.emf"/><Relationship Id="rId153" Type="http://schemas.openxmlformats.org/officeDocument/2006/relationships/oleObject" Target="embeddings/Microsoft_Equation35.bin"/><Relationship Id="rId154" Type="http://schemas.openxmlformats.org/officeDocument/2006/relationships/image" Target="media/image112.emf"/><Relationship Id="rId155" Type="http://schemas.openxmlformats.org/officeDocument/2006/relationships/oleObject" Target="embeddings/Microsoft_Equation36.bin"/><Relationship Id="rId156" Type="http://schemas.openxmlformats.org/officeDocument/2006/relationships/image" Target="media/image113.emf"/><Relationship Id="rId157" Type="http://schemas.openxmlformats.org/officeDocument/2006/relationships/oleObject" Target="embeddings/Microsoft_Equation37.bin"/><Relationship Id="rId158" Type="http://schemas.openxmlformats.org/officeDocument/2006/relationships/image" Target="media/image114.emf"/><Relationship Id="rId159" Type="http://schemas.openxmlformats.org/officeDocument/2006/relationships/oleObject" Target="embeddings/Microsoft_Equation38.bin"/><Relationship Id="rId190" Type="http://schemas.openxmlformats.org/officeDocument/2006/relationships/image" Target="media/image138.emf"/><Relationship Id="rId191" Type="http://schemas.openxmlformats.org/officeDocument/2006/relationships/chart" Target="charts/chart1.xml"/><Relationship Id="rId192" Type="http://schemas.openxmlformats.org/officeDocument/2006/relationships/chart" Target="charts/chart2.xml"/><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193" Type="http://schemas.openxmlformats.org/officeDocument/2006/relationships/chart" Target="charts/chart3.xml"/><Relationship Id="rId194" Type="http://schemas.openxmlformats.org/officeDocument/2006/relationships/footer" Target="footer1.xml"/><Relationship Id="rId195" Type="http://schemas.openxmlformats.org/officeDocument/2006/relationships/footer" Target="footer2.xml"/><Relationship Id="rId196" Type="http://schemas.openxmlformats.org/officeDocument/2006/relationships/fontTable" Target="fontTable.xml"/><Relationship Id="rId197" Type="http://schemas.openxmlformats.org/officeDocument/2006/relationships/theme" Target="theme/theme1.xml"/><Relationship Id="rId90" Type="http://schemas.openxmlformats.org/officeDocument/2006/relationships/image" Target="media/image68.emf"/><Relationship Id="rId91" Type="http://schemas.openxmlformats.org/officeDocument/2006/relationships/oleObject" Target="embeddings/Microsoft_Equation16.bin"/><Relationship Id="rId92" Type="http://schemas.openxmlformats.org/officeDocument/2006/relationships/image" Target="media/image69.emf"/><Relationship Id="rId93" Type="http://schemas.openxmlformats.org/officeDocument/2006/relationships/oleObject" Target="embeddings/Microsoft_Equation17.bin"/><Relationship Id="rId94" Type="http://schemas.openxmlformats.org/officeDocument/2006/relationships/image" Target="media/image70.emf"/><Relationship Id="rId95" Type="http://schemas.openxmlformats.org/officeDocument/2006/relationships/oleObject" Target="embeddings/Microsoft_Equation18.bin"/><Relationship Id="rId96" Type="http://schemas.openxmlformats.org/officeDocument/2006/relationships/image" Target="media/image71.emf"/><Relationship Id="rId97" Type="http://schemas.openxmlformats.org/officeDocument/2006/relationships/oleObject" Target="embeddings/Microsoft_Equation19.bin"/><Relationship Id="rId98" Type="http://schemas.openxmlformats.org/officeDocument/2006/relationships/image" Target="media/image72.emf"/><Relationship Id="rId99" Type="http://schemas.openxmlformats.org/officeDocument/2006/relationships/oleObject" Target="embeddings/Microsoft_Equation20.bin"/><Relationship Id="rId120" Type="http://schemas.openxmlformats.org/officeDocument/2006/relationships/image" Target="media/image83.emf"/><Relationship Id="rId121" Type="http://schemas.openxmlformats.org/officeDocument/2006/relationships/image" Target="media/image84.emf"/><Relationship Id="rId122" Type="http://schemas.openxmlformats.org/officeDocument/2006/relationships/image" Target="media/image85.emf"/><Relationship Id="rId123" Type="http://schemas.openxmlformats.org/officeDocument/2006/relationships/image" Target="media/image86.emf"/><Relationship Id="rId124" Type="http://schemas.openxmlformats.org/officeDocument/2006/relationships/image" Target="media/image87.emf"/><Relationship Id="rId125" Type="http://schemas.openxmlformats.org/officeDocument/2006/relationships/image" Target="media/image88.emf"/><Relationship Id="rId126" Type="http://schemas.openxmlformats.org/officeDocument/2006/relationships/image" Target="media/image89.emf"/><Relationship Id="rId127" Type="http://schemas.openxmlformats.org/officeDocument/2006/relationships/oleObject" Target="embeddings/Microsoft_Equation31.bin"/><Relationship Id="rId128" Type="http://schemas.openxmlformats.org/officeDocument/2006/relationships/image" Target="media/image90.emf"/><Relationship Id="rId129" Type="http://schemas.openxmlformats.org/officeDocument/2006/relationships/image" Target="media/image91.emf"/><Relationship Id="rId160" Type="http://schemas.openxmlformats.org/officeDocument/2006/relationships/image" Target="media/image115.emf"/><Relationship Id="rId161" Type="http://schemas.openxmlformats.org/officeDocument/2006/relationships/oleObject" Target="embeddings/Microsoft_Equation39.bin"/><Relationship Id="rId162" Type="http://schemas.openxmlformats.org/officeDocument/2006/relationships/image" Target="media/image116.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63" Type="http://schemas.openxmlformats.org/officeDocument/2006/relationships/oleObject" Target="embeddings/Microsoft_Equation40.bin"/><Relationship Id="rId164" Type="http://schemas.openxmlformats.org/officeDocument/2006/relationships/image" Target="media/image117.emf"/><Relationship Id="rId165" Type="http://schemas.openxmlformats.org/officeDocument/2006/relationships/oleObject" Target="embeddings/Microsoft_Equation41.bin"/><Relationship Id="rId166" Type="http://schemas.openxmlformats.org/officeDocument/2006/relationships/image" Target="media/image118.emf"/><Relationship Id="rId167" Type="http://schemas.openxmlformats.org/officeDocument/2006/relationships/oleObject" Target="embeddings/Microsoft_Equation42.bin"/><Relationship Id="rId168" Type="http://schemas.openxmlformats.org/officeDocument/2006/relationships/image" Target="media/image119.emf"/><Relationship Id="rId169" Type="http://schemas.openxmlformats.org/officeDocument/2006/relationships/oleObject" Target="embeddings/Microsoft_Equation43.bin"/><Relationship Id="rId60" Type="http://schemas.openxmlformats.org/officeDocument/2006/relationships/oleObject" Target="embeddings/Microsoft_Equation4.bin"/><Relationship Id="rId61" Type="http://schemas.openxmlformats.org/officeDocument/2006/relationships/image" Target="media/image50.emf"/><Relationship Id="rId62" Type="http://schemas.openxmlformats.org/officeDocument/2006/relationships/image" Target="media/image51.emf"/><Relationship Id="rId63" Type="http://schemas.openxmlformats.org/officeDocument/2006/relationships/image" Target="media/image52.emf"/><Relationship Id="rId64" Type="http://schemas.openxmlformats.org/officeDocument/2006/relationships/image" Target="media/image53.emf"/><Relationship Id="rId65" Type="http://schemas.openxmlformats.org/officeDocument/2006/relationships/image" Target="media/image54.emf"/><Relationship Id="rId66" Type="http://schemas.openxmlformats.org/officeDocument/2006/relationships/image" Target="media/image55.emf"/><Relationship Id="rId67" Type="http://schemas.openxmlformats.org/officeDocument/2006/relationships/image" Target="media/image56.emf"/><Relationship Id="rId68" Type="http://schemas.openxmlformats.org/officeDocument/2006/relationships/image" Target="media/image57.emf"/><Relationship Id="rId69" Type="http://schemas.openxmlformats.org/officeDocument/2006/relationships/oleObject" Target="embeddings/Microsoft_Equation5.bin"/><Relationship Id="rId130" Type="http://schemas.openxmlformats.org/officeDocument/2006/relationships/image" Target="media/image92.emf"/><Relationship Id="rId131" Type="http://schemas.openxmlformats.org/officeDocument/2006/relationships/image" Target="media/image93.emf"/><Relationship Id="rId132" Type="http://schemas.openxmlformats.org/officeDocument/2006/relationships/image" Target="media/image94.emf"/><Relationship Id="rId133" Type="http://schemas.openxmlformats.org/officeDocument/2006/relationships/image" Target="media/image95.emf"/><Relationship Id="rId134" Type="http://schemas.openxmlformats.org/officeDocument/2006/relationships/image" Target="media/image96.emf"/><Relationship Id="rId135" Type="http://schemas.openxmlformats.org/officeDocument/2006/relationships/image" Target="media/image97.emf"/><Relationship Id="rId136" Type="http://schemas.openxmlformats.org/officeDocument/2006/relationships/image" Target="media/image98.emf"/><Relationship Id="rId137" Type="http://schemas.openxmlformats.org/officeDocument/2006/relationships/image" Target="media/image99.emf"/><Relationship Id="rId138" Type="http://schemas.openxmlformats.org/officeDocument/2006/relationships/image" Target="media/image100.emf"/><Relationship Id="rId139" Type="http://schemas.openxmlformats.org/officeDocument/2006/relationships/image" Target="media/image101.emf"/><Relationship Id="rId170" Type="http://schemas.openxmlformats.org/officeDocument/2006/relationships/image" Target="media/image120.emf"/><Relationship Id="rId171" Type="http://schemas.openxmlformats.org/officeDocument/2006/relationships/oleObject" Target="embeddings/Microsoft_Equation44.bin"/><Relationship Id="rId172" Type="http://schemas.openxmlformats.org/officeDocument/2006/relationships/image" Target="media/image121.emf"/><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173" Type="http://schemas.openxmlformats.org/officeDocument/2006/relationships/oleObject" Target="embeddings/Microsoft_Equation45.bin"/><Relationship Id="rId174" Type="http://schemas.openxmlformats.org/officeDocument/2006/relationships/image" Target="media/image122.emf"/><Relationship Id="rId175" Type="http://schemas.openxmlformats.org/officeDocument/2006/relationships/image" Target="media/image123.emf"/><Relationship Id="rId176" Type="http://schemas.openxmlformats.org/officeDocument/2006/relationships/image" Target="media/image124.emf"/><Relationship Id="rId177" Type="http://schemas.openxmlformats.org/officeDocument/2006/relationships/image" Target="media/image125.emf"/><Relationship Id="rId178" Type="http://schemas.openxmlformats.org/officeDocument/2006/relationships/image" Target="media/image126.emf"/><Relationship Id="rId179" Type="http://schemas.openxmlformats.org/officeDocument/2006/relationships/image" Target="media/image127.emf"/><Relationship Id="rId70" Type="http://schemas.openxmlformats.org/officeDocument/2006/relationships/image" Target="media/image58.emf"/><Relationship Id="rId71" Type="http://schemas.openxmlformats.org/officeDocument/2006/relationships/oleObject" Target="embeddings/Microsoft_Equation6.bin"/><Relationship Id="rId72" Type="http://schemas.openxmlformats.org/officeDocument/2006/relationships/image" Target="media/image59.emf"/><Relationship Id="rId73" Type="http://schemas.openxmlformats.org/officeDocument/2006/relationships/oleObject" Target="embeddings/Microsoft_Equation7.bin"/><Relationship Id="rId74" Type="http://schemas.openxmlformats.org/officeDocument/2006/relationships/image" Target="media/image60.emf"/><Relationship Id="rId75" Type="http://schemas.openxmlformats.org/officeDocument/2006/relationships/oleObject" Target="embeddings/Microsoft_Equation8.bin"/><Relationship Id="rId76" Type="http://schemas.openxmlformats.org/officeDocument/2006/relationships/image" Target="media/image61.emf"/><Relationship Id="rId77" Type="http://schemas.openxmlformats.org/officeDocument/2006/relationships/oleObject" Target="embeddings/Microsoft_Equation9.bin"/><Relationship Id="rId78" Type="http://schemas.openxmlformats.org/officeDocument/2006/relationships/image" Target="media/image62.emf"/><Relationship Id="rId79" Type="http://schemas.openxmlformats.org/officeDocument/2006/relationships/oleObject" Target="embeddings/Microsoft_Equation1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73.emf"/><Relationship Id="rId101" Type="http://schemas.openxmlformats.org/officeDocument/2006/relationships/oleObject" Target="embeddings/Microsoft_Equation21.bin"/><Relationship Id="rId102" Type="http://schemas.openxmlformats.org/officeDocument/2006/relationships/image" Target="media/image74.emf"/><Relationship Id="rId103" Type="http://schemas.openxmlformats.org/officeDocument/2006/relationships/oleObject" Target="embeddings/Microsoft_Equation22.bin"/><Relationship Id="rId104" Type="http://schemas.openxmlformats.org/officeDocument/2006/relationships/image" Target="media/image75.emf"/><Relationship Id="rId105" Type="http://schemas.openxmlformats.org/officeDocument/2006/relationships/oleObject" Target="embeddings/Microsoft_Equation23.bin"/><Relationship Id="rId106" Type="http://schemas.openxmlformats.org/officeDocument/2006/relationships/image" Target="media/image76.emf"/><Relationship Id="rId107" Type="http://schemas.openxmlformats.org/officeDocument/2006/relationships/oleObject" Target="embeddings/Microsoft_Equation24.bin"/><Relationship Id="rId108" Type="http://schemas.openxmlformats.org/officeDocument/2006/relationships/image" Target="media/image77.emf"/><Relationship Id="rId109" Type="http://schemas.openxmlformats.org/officeDocument/2006/relationships/oleObject" Target="embeddings/Microsoft_Equation25.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40" Type="http://schemas.openxmlformats.org/officeDocument/2006/relationships/image" Target="media/image102.emf"/><Relationship Id="rId141" Type="http://schemas.openxmlformats.org/officeDocument/2006/relationships/image" Target="media/image103.em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gauravbhatia:Desktop:Fst:Revision:Figures:Supp%20Figures:S2-SingleSnp-GenomeWide-Consequence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Macintosh%20HD:Users:gauravbhatia:Desktop:Fst:Revision:Figures:Supp%20Figures:S3-Flat_vs_Sepa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Variation</a:t>
            </a:r>
            <a:r>
              <a:rPr lang="en-US" baseline="0"/>
              <a:t> of </a:t>
            </a:r>
            <a:r>
              <a:rPr lang="en-US" i="1" baseline="0"/>
              <a:t>F</a:t>
            </a:r>
            <a:r>
              <a:rPr lang="en-US" sz="1050" baseline="0"/>
              <a:t>ST</a:t>
            </a:r>
            <a:r>
              <a:rPr lang="en-US" baseline="0"/>
              <a:t> with Migration</a:t>
            </a:r>
            <a:endParaRPr lang="en-US"/>
          </a:p>
        </c:rich>
      </c:tx>
      <c:overlay val="0"/>
    </c:title>
    <c:autoTitleDeleted val="0"/>
    <c:plotArea>
      <c:layout/>
      <c:scatterChart>
        <c:scatterStyle val="smoothMarker"/>
        <c:varyColors val="0"/>
        <c:ser>
          <c:idx val="0"/>
          <c:order val="0"/>
          <c:tx>
            <c:strRef>
              <c:f>Sheet1!$B$1</c:f>
              <c:strCache>
                <c:ptCount val="1"/>
                <c:pt idx="0">
                  <c:v>Fst estimate</c:v>
                </c:pt>
              </c:strCache>
            </c:strRef>
          </c:tx>
          <c:errBars>
            <c:errDir val="y"/>
            <c:errBarType val="both"/>
            <c:errValType val="cust"/>
            <c:noEndCap val="0"/>
            <c:plus>
              <c:numRef>
                <c:f>Sheet1!$C$2:$C$5</c:f>
                <c:numCache>
                  <c:formatCode>General</c:formatCode>
                  <c:ptCount val="4"/>
                  <c:pt idx="0">
                    <c:v>0.00553225021295374</c:v>
                  </c:pt>
                  <c:pt idx="1">
                    <c:v>0.00231878659832658</c:v>
                  </c:pt>
                  <c:pt idx="2">
                    <c:v>0.000605418356977449</c:v>
                  </c:pt>
                  <c:pt idx="3">
                    <c:v>3.78880397506916E-5</c:v>
                  </c:pt>
                </c:numCache>
              </c:numRef>
            </c:plus>
            <c:minus>
              <c:numRef>
                <c:f>Sheet1!$C$2:$C$5</c:f>
                <c:numCache>
                  <c:formatCode>General</c:formatCode>
                  <c:ptCount val="4"/>
                  <c:pt idx="0">
                    <c:v>0.00553225021295374</c:v>
                  </c:pt>
                  <c:pt idx="1">
                    <c:v>0.00231878659832658</c:v>
                  </c:pt>
                  <c:pt idx="2">
                    <c:v>0.000605418356977449</c:v>
                  </c:pt>
                  <c:pt idx="3">
                    <c:v>3.78880397506916E-5</c:v>
                  </c:pt>
                </c:numCache>
              </c:numRef>
            </c:minus>
          </c:errBars>
          <c:errBars>
            <c:errDir val="x"/>
            <c:errBarType val="both"/>
            <c:errValType val="fixedVal"/>
            <c:noEndCap val="1"/>
            <c:val val="0.0"/>
          </c:errBars>
          <c:xVal>
            <c:numRef>
              <c:f>Sheet1!$A$2:$A$5</c:f>
              <c:numCache>
                <c:formatCode>General</c:formatCode>
                <c:ptCount val="4"/>
                <c:pt idx="0">
                  <c:v>0.0001</c:v>
                </c:pt>
                <c:pt idx="1">
                  <c:v>0.001</c:v>
                </c:pt>
                <c:pt idx="2">
                  <c:v>0.01</c:v>
                </c:pt>
                <c:pt idx="3">
                  <c:v>0.1</c:v>
                </c:pt>
              </c:numCache>
            </c:numRef>
          </c:xVal>
          <c:yVal>
            <c:numRef>
              <c:f>Sheet1!$B$2:$B$5</c:f>
              <c:numCache>
                <c:formatCode>General</c:formatCode>
                <c:ptCount val="4"/>
                <c:pt idx="0">
                  <c:v>0.192858896440955</c:v>
                </c:pt>
                <c:pt idx="1">
                  <c:v>0.100033679123668</c:v>
                </c:pt>
                <c:pt idx="2">
                  <c:v>0.0158316728074795</c:v>
                </c:pt>
                <c:pt idx="3">
                  <c:v>0.00133320352227003</c:v>
                </c:pt>
              </c:numCache>
            </c:numRef>
          </c:yVal>
          <c:smooth val="1"/>
        </c:ser>
        <c:dLbls>
          <c:showLegendKey val="0"/>
          <c:showVal val="0"/>
          <c:showCatName val="0"/>
          <c:showSerName val="0"/>
          <c:showPercent val="0"/>
          <c:showBubbleSize val="0"/>
        </c:dLbls>
        <c:axId val="672578904"/>
        <c:axId val="475509800"/>
      </c:scatterChart>
      <c:valAx>
        <c:axId val="672578904"/>
        <c:scaling>
          <c:logBase val="10.0"/>
          <c:orientation val="minMax"/>
          <c:max val="0.1"/>
          <c:min val="0.0001"/>
        </c:scaling>
        <c:delete val="0"/>
        <c:axPos val="b"/>
        <c:title>
          <c:tx>
            <c:rich>
              <a:bodyPr/>
              <a:lstStyle/>
              <a:p>
                <a:pPr>
                  <a:defRPr/>
                </a:pPr>
                <a:r>
                  <a:rPr lang="en-US"/>
                  <a:t>Migration Rate</a:t>
                </a:r>
              </a:p>
            </c:rich>
          </c:tx>
          <c:overlay val="0"/>
        </c:title>
        <c:numFmt formatCode="General" sourceLinked="1"/>
        <c:majorTickMark val="out"/>
        <c:minorTickMark val="none"/>
        <c:tickLblPos val="nextTo"/>
        <c:crossAx val="475509800"/>
        <c:crosses val="autoZero"/>
        <c:crossBetween val="midCat"/>
      </c:valAx>
      <c:valAx>
        <c:axId val="475509800"/>
        <c:scaling>
          <c:orientation val="minMax"/>
        </c:scaling>
        <c:delete val="0"/>
        <c:axPos val="l"/>
        <c:majorGridlines/>
        <c:title>
          <c:tx>
            <c:rich>
              <a:bodyPr rot="0" vert="horz"/>
              <a:lstStyle/>
              <a:p>
                <a:pPr>
                  <a:defRPr/>
                </a:pPr>
                <a:r>
                  <a:rPr lang="en-US" sz="1500" b="1" i="1" u="none" strike="noStrike" baseline="0">
                    <a:effectLst/>
                  </a:rPr>
                  <a:t>F</a:t>
                </a:r>
                <a:r>
                  <a:rPr lang="en-US" sz="1500" b="1" i="0" u="none" strike="noStrike" baseline="-25000">
                    <a:effectLst/>
                  </a:rPr>
                  <a:t>ST</a:t>
                </a:r>
                <a:endParaRPr lang="en-US" sz="1500" baseline="-25000"/>
              </a:p>
            </c:rich>
          </c:tx>
          <c:overlay val="0"/>
        </c:title>
        <c:numFmt formatCode="General" sourceLinked="1"/>
        <c:majorTickMark val="out"/>
        <c:minorTickMark val="none"/>
        <c:tickLblPos val="nextTo"/>
        <c:crossAx val="672578904"/>
        <c:crossesAt val="0.0"/>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Sheet1!$D$1</c:f>
              <c:strCache>
                <c:ptCount val="1"/>
                <c:pt idx="0">
                  <c:v>WC</c:v>
                </c:pt>
              </c:strCache>
            </c:strRef>
          </c:tx>
          <c:xVal>
            <c:numRef>
              <c:f>Sheet1!$C$2:$C$101</c:f>
              <c:numCache>
                <c:formatCode>General</c:formatCode>
                <c:ptCount val="100"/>
                <c:pt idx="0">
                  <c:v>0.01</c:v>
                </c:pt>
                <c:pt idx="1">
                  <c:v>0.0202020202020202</c:v>
                </c:pt>
                <c:pt idx="2">
                  <c:v>0.0306122448979592</c:v>
                </c:pt>
                <c:pt idx="3">
                  <c:v>0.0412371134020618</c:v>
                </c:pt>
                <c:pt idx="4">
                  <c:v>0.0520833333333334</c:v>
                </c:pt>
                <c:pt idx="5">
                  <c:v>0.0631578947368421</c:v>
                </c:pt>
                <c:pt idx="6">
                  <c:v>0.0744680851063831</c:v>
                </c:pt>
                <c:pt idx="7">
                  <c:v>0.0860215053763442</c:v>
                </c:pt>
                <c:pt idx="8">
                  <c:v>0.0978260869565217</c:v>
                </c:pt>
                <c:pt idx="9">
                  <c:v>0.10989010989011</c:v>
                </c:pt>
                <c:pt idx="10">
                  <c:v>0.122222222222222</c:v>
                </c:pt>
                <c:pt idx="11">
                  <c:v>0.134831460674157</c:v>
                </c:pt>
                <c:pt idx="12">
                  <c:v>0.147727272727273</c:v>
                </c:pt>
                <c:pt idx="13">
                  <c:v>0.160919540229885</c:v>
                </c:pt>
                <c:pt idx="14">
                  <c:v>0.174418604651163</c:v>
                </c:pt>
                <c:pt idx="15">
                  <c:v>0.188235294117647</c:v>
                </c:pt>
                <c:pt idx="16">
                  <c:v>0.202380952380952</c:v>
                </c:pt>
                <c:pt idx="17">
                  <c:v>0.216867469879518</c:v>
                </c:pt>
                <c:pt idx="18">
                  <c:v>0.231707317073171</c:v>
                </c:pt>
                <c:pt idx="19">
                  <c:v>0.246913580246914</c:v>
                </c:pt>
                <c:pt idx="20">
                  <c:v>0.2625</c:v>
                </c:pt>
                <c:pt idx="21">
                  <c:v>0.278481012658228</c:v>
                </c:pt>
                <c:pt idx="22">
                  <c:v>0.294871794871795</c:v>
                </c:pt>
                <c:pt idx="23">
                  <c:v>0.311688311688312</c:v>
                </c:pt>
                <c:pt idx="24">
                  <c:v>0.328947368421053</c:v>
                </c:pt>
                <c:pt idx="25">
                  <c:v>0.346666666666667</c:v>
                </c:pt>
                <c:pt idx="26">
                  <c:v>0.364864864864868</c:v>
                </c:pt>
                <c:pt idx="27">
                  <c:v>0.383561643835616</c:v>
                </c:pt>
                <c:pt idx="28">
                  <c:v>0.402777777777778</c:v>
                </c:pt>
                <c:pt idx="29">
                  <c:v>0.422535211267606</c:v>
                </c:pt>
                <c:pt idx="30">
                  <c:v>0.442857142857143</c:v>
                </c:pt>
                <c:pt idx="31">
                  <c:v>0.463768115942029</c:v>
                </c:pt>
                <c:pt idx="32">
                  <c:v>0.485294117647059</c:v>
                </c:pt>
                <c:pt idx="33">
                  <c:v>0.507462686567163</c:v>
                </c:pt>
                <c:pt idx="34">
                  <c:v>0.53030303030303</c:v>
                </c:pt>
                <c:pt idx="35">
                  <c:v>0.553846153846154</c:v>
                </c:pt>
                <c:pt idx="36">
                  <c:v>0.578125000000001</c:v>
                </c:pt>
                <c:pt idx="37">
                  <c:v>0.603174603174604</c:v>
                </c:pt>
                <c:pt idx="38">
                  <c:v>0.629032258064517</c:v>
                </c:pt>
                <c:pt idx="39">
                  <c:v>0.655737704918033</c:v>
                </c:pt>
                <c:pt idx="40">
                  <c:v>0.683333333333333</c:v>
                </c:pt>
                <c:pt idx="41">
                  <c:v>0.711864406779661</c:v>
                </c:pt>
                <c:pt idx="42">
                  <c:v>0.741379310344831</c:v>
                </c:pt>
                <c:pt idx="43">
                  <c:v>0.771929824561406</c:v>
                </c:pt>
                <c:pt idx="44">
                  <c:v>0.803571428571429</c:v>
                </c:pt>
                <c:pt idx="45">
                  <c:v>0.836363636363636</c:v>
                </c:pt>
                <c:pt idx="46">
                  <c:v>0.870370370370371</c:v>
                </c:pt>
                <c:pt idx="47">
                  <c:v>0.905660377358492</c:v>
                </c:pt>
                <c:pt idx="48">
                  <c:v>0.942307692307692</c:v>
                </c:pt>
                <c:pt idx="49">
                  <c:v>0.980392156862742</c:v>
                </c:pt>
                <c:pt idx="50">
                  <c:v>1.02</c:v>
                </c:pt>
                <c:pt idx="51">
                  <c:v>1.061224489795918</c:v>
                </c:pt>
                <c:pt idx="52">
                  <c:v>1.104166666666668</c:v>
                </c:pt>
                <c:pt idx="53">
                  <c:v>1.148936170212766</c:v>
                </c:pt>
                <c:pt idx="54">
                  <c:v>1.195652173913047</c:v>
                </c:pt>
                <c:pt idx="55">
                  <c:v>1.244444444444444</c:v>
                </c:pt>
                <c:pt idx="56">
                  <c:v>1.295454545454545</c:v>
                </c:pt>
                <c:pt idx="57">
                  <c:v>1.348837209302325</c:v>
                </c:pt>
                <c:pt idx="58">
                  <c:v>1.404761904761905</c:v>
                </c:pt>
                <c:pt idx="59">
                  <c:v>1.463414634146341</c:v>
                </c:pt>
                <c:pt idx="60">
                  <c:v>1.524999999999997</c:v>
                </c:pt>
                <c:pt idx="61">
                  <c:v>1.58974358974359</c:v>
                </c:pt>
                <c:pt idx="62">
                  <c:v>1.657894736842104</c:v>
                </c:pt>
                <c:pt idx="63">
                  <c:v>1.72972972972973</c:v>
                </c:pt>
                <c:pt idx="64">
                  <c:v>1.805555555555556</c:v>
                </c:pt>
                <c:pt idx="65">
                  <c:v>1.885714285714283</c:v>
                </c:pt>
                <c:pt idx="66">
                  <c:v>1.970588235294118</c:v>
                </c:pt>
                <c:pt idx="67">
                  <c:v>2.060606060606061</c:v>
                </c:pt>
                <c:pt idx="68">
                  <c:v>2.156249999999992</c:v>
                </c:pt>
                <c:pt idx="69">
                  <c:v>2.258064516129034</c:v>
                </c:pt>
                <c:pt idx="70">
                  <c:v>2.366666666666667</c:v>
                </c:pt>
                <c:pt idx="71">
                  <c:v>2.482758620689647</c:v>
                </c:pt>
                <c:pt idx="72">
                  <c:v>2.607142857142861</c:v>
                </c:pt>
                <c:pt idx="73">
                  <c:v>2.740740740740746</c:v>
                </c:pt>
                <c:pt idx="74">
                  <c:v>2.884615384615384</c:v>
                </c:pt>
                <c:pt idx="75">
                  <c:v>3.04</c:v>
                </c:pt>
                <c:pt idx="76">
                  <c:v>3.208333333333337</c:v>
                </c:pt>
                <c:pt idx="77">
                  <c:v>3.391304347826091</c:v>
                </c:pt>
                <c:pt idx="78">
                  <c:v>3.590909090909091</c:v>
                </c:pt>
                <c:pt idx="79">
                  <c:v>3.809523809523803</c:v>
                </c:pt>
                <c:pt idx="80">
                  <c:v>4.05</c:v>
                </c:pt>
                <c:pt idx="81">
                  <c:v>4.315789473684211</c:v>
                </c:pt>
                <c:pt idx="82">
                  <c:v>4.611111111111111</c:v>
                </c:pt>
                <c:pt idx="83">
                  <c:v>4.941176470588236</c:v>
                </c:pt>
                <c:pt idx="84">
                  <c:v>5.312499999999996</c:v>
                </c:pt>
                <c:pt idx="85">
                  <c:v>5.73333333333335</c:v>
                </c:pt>
                <c:pt idx="86">
                  <c:v>6.214285714285706</c:v>
                </c:pt>
                <c:pt idx="87">
                  <c:v>6.76923076923077</c:v>
                </c:pt>
                <c:pt idx="88">
                  <c:v>7.416666666666671</c:v>
                </c:pt>
                <c:pt idx="89">
                  <c:v>8.181818181818056</c:v>
                </c:pt>
                <c:pt idx="90">
                  <c:v>9.1</c:v>
                </c:pt>
                <c:pt idx="91">
                  <c:v>10.22222222222222</c:v>
                </c:pt>
                <c:pt idx="92">
                  <c:v>11.625</c:v>
                </c:pt>
                <c:pt idx="93">
                  <c:v>13.4285714285714</c:v>
                </c:pt>
                <c:pt idx="94">
                  <c:v>15.83333333333333</c:v>
                </c:pt>
                <c:pt idx="95">
                  <c:v>19.2</c:v>
                </c:pt>
                <c:pt idx="96">
                  <c:v>24.25</c:v>
                </c:pt>
                <c:pt idx="97">
                  <c:v>32.66666666666613</c:v>
                </c:pt>
                <c:pt idx="98">
                  <c:v>49.5</c:v>
                </c:pt>
                <c:pt idx="99">
                  <c:v>100.0</c:v>
                </c:pt>
              </c:numCache>
            </c:numRef>
          </c:xVal>
          <c:yVal>
            <c:numRef>
              <c:f>Sheet1!$D$2:$D$101</c:f>
              <c:numCache>
                <c:formatCode>General</c:formatCode>
                <c:ptCount val="100"/>
                <c:pt idx="0">
                  <c:v>0.114340027033069</c:v>
                </c:pt>
                <c:pt idx="1">
                  <c:v>0.111254078046521</c:v>
                </c:pt>
                <c:pt idx="2">
                  <c:v>0.11073380815421</c:v>
                </c:pt>
                <c:pt idx="3">
                  <c:v>0.111019913114038</c:v>
                </c:pt>
                <c:pt idx="4">
                  <c:v>0.110569301770522</c:v>
                </c:pt>
                <c:pt idx="5">
                  <c:v>0.111149944360306</c:v>
                </c:pt>
                <c:pt idx="6">
                  <c:v>0.111014780394036</c:v>
                </c:pt>
                <c:pt idx="7">
                  <c:v>0.110400945023039</c:v>
                </c:pt>
                <c:pt idx="8">
                  <c:v>0.109757002477265</c:v>
                </c:pt>
                <c:pt idx="9">
                  <c:v>0.109427882781327</c:v>
                </c:pt>
                <c:pt idx="10">
                  <c:v>0.109257122181852</c:v>
                </c:pt>
                <c:pt idx="11">
                  <c:v>0.109079614486803</c:v>
                </c:pt>
                <c:pt idx="12">
                  <c:v>0.108667256413306</c:v>
                </c:pt>
                <c:pt idx="13">
                  <c:v>0.108247783358289</c:v>
                </c:pt>
                <c:pt idx="14">
                  <c:v>0.107927931910267</c:v>
                </c:pt>
                <c:pt idx="15">
                  <c:v>0.107750702054671</c:v>
                </c:pt>
                <c:pt idx="16">
                  <c:v>0.107506569833211</c:v>
                </c:pt>
                <c:pt idx="17">
                  <c:v>0.107061997536366</c:v>
                </c:pt>
                <c:pt idx="18">
                  <c:v>0.106620319796042</c:v>
                </c:pt>
                <c:pt idx="19">
                  <c:v>0.106491419519877</c:v>
                </c:pt>
                <c:pt idx="20">
                  <c:v>0.106345980467966</c:v>
                </c:pt>
                <c:pt idx="21">
                  <c:v>0.106108671496795</c:v>
                </c:pt>
                <c:pt idx="22">
                  <c:v>0.106002007777595</c:v>
                </c:pt>
                <c:pt idx="23">
                  <c:v>0.105803958343133</c:v>
                </c:pt>
                <c:pt idx="24">
                  <c:v>0.105502728658488</c:v>
                </c:pt>
                <c:pt idx="25">
                  <c:v>0.105262980482826</c:v>
                </c:pt>
                <c:pt idx="26">
                  <c:v>0.105078023017144</c:v>
                </c:pt>
                <c:pt idx="27">
                  <c:v>0.104744800824522</c:v>
                </c:pt>
                <c:pt idx="28">
                  <c:v>0.104439438632332</c:v>
                </c:pt>
                <c:pt idx="29">
                  <c:v>0.104313554205112</c:v>
                </c:pt>
                <c:pt idx="30">
                  <c:v>0.10411340433975</c:v>
                </c:pt>
                <c:pt idx="31">
                  <c:v>0.103890579851873</c:v>
                </c:pt>
                <c:pt idx="32">
                  <c:v>0.103729571623128</c:v>
                </c:pt>
                <c:pt idx="33">
                  <c:v>0.103515825079176</c:v>
                </c:pt>
                <c:pt idx="34">
                  <c:v>0.103297422203694</c:v>
                </c:pt>
                <c:pt idx="35">
                  <c:v>0.10311383848792</c:v>
                </c:pt>
                <c:pt idx="36">
                  <c:v>0.102923943085141</c:v>
                </c:pt>
                <c:pt idx="37">
                  <c:v>0.102629619307521</c:v>
                </c:pt>
                <c:pt idx="38">
                  <c:v>0.102542614705695</c:v>
                </c:pt>
                <c:pt idx="39">
                  <c:v>0.102322732458611</c:v>
                </c:pt>
                <c:pt idx="40">
                  <c:v>0.102101465805741</c:v>
                </c:pt>
                <c:pt idx="41">
                  <c:v>0.101853476410233</c:v>
                </c:pt>
                <c:pt idx="42">
                  <c:v>0.101535018207607</c:v>
                </c:pt>
                <c:pt idx="43">
                  <c:v>0.101262527375828</c:v>
                </c:pt>
                <c:pt idx="44">
                  <c:v>0.101069141010449</c:v>
                </c:pt>
                <c:pt idx="45">
                  <c:v>0.100825580135942</c:v>
                </c:pt>
                <c:pt idx="46">
                  <c:v>0.100724913395685</c:v>
                </c:pt>
                <c:pt idx="47">
                  <c:v>0.100620494557383</c:v>
                </c:pt>
                <c:pt idx="48">
                  <c:v>0.100453740784756</c:v>
                </c:pt>
                <c:pt idx="49">
                  <c:v>0.100228269969185</c:v>
                </c:pt>
                <c:pt idx="50">
                  <c:v>0.100073436917581</c:v>
                </c:pt>
                <c:pt idx="51">
                  <c:v>0.0997953670604257</c:v>
                </c:pt>
                <c:pt idx="52">
                  <c:v>0.0996851259426294</c:v>
                </c:pt>
                <c:pt idx="53">
                  <c:v>0.0995532918222267</c:v>
                </c:pt>
                <c:pt idx="54">
                  <c:v>0.0993739815911387</c:v>
                </c:pt>
                <c:pt idx="55">
                  <c:v>0.0991993829747506</c:v>
                </c:pt>
                <c:pt idx="56">
                  <c:v>0.0990263904924693</c:v>
                </c:pt>
                <c:pt idx="57">
                  <c:v>0.0987805349143418</c:v>
                </c:pt>
                <c:pt idx="58">
                  <c:v>0.0985542165235697</c:v>
                </c:pt>
                <c:pt idx="59">
                  <c:v>0.0984410769938812</c:v>
                </c:pt>
                <c:pt idx="60">
                  <c:v>0.0982806941801341</c:v>
                </c:pt>
                <c:pt idx="61">
                  <c:v>0.0981383760166211</c:v>
                </c:pt>
                <c:pt idx="62">
                  <c:v>0.0979844634676172</c:v>
                </c:pt>
                <c:pt idx="63">
                  <c:v>0.0977961122830486</c:v>
                </c:pt>
                <c:pt idx="64">
                  <c:v>0.0976548900695067</c:v>
                </c:pt>
                <c:pt idx="65">
                  <c:v>0.0974699673486348</c:v>
                </c:pt>
                <c:pt idx="66">
                  <c:v>0.097386623360761</c:v>
                </c:pt>
                <c:pt idx="67">
                  <c:v>0.0973290240711732</c:v>
                </c:pt>
                <c:pt idx="68">
                  <c:v>0.0971805592286679</c:v>
                </c:pt>
                <c:pt idx="69">
                  <c:v>0.0970642179458371</c:v>
                </c:pt>
                <c:pt idx="70">
                  <c:v>0.0968652756531195</c:v>
                </c:pt>
                <c:pt idx="71">
                  <c:v>0.0965601611156075</c:v>
                </c:pt>
                <c:pt idx="72">
                  <c:v>0.0965016199738695</c:v>
                </c:pt>
                <c:pt idx="73">
                  <c:v>0.0963674337372602</c:v>
                </c:pt>
                <c:pt idx="74">
                  <c:v>0.0962585619617535</c:v>
                </c:pt>
                <c:pt idx="75">
                  <c:v>0.0960970048977438</c:v>
                </c:pt>
                <c:pt idx="76">
                  <c:v>0.0958697331538184</c:v>
                </c:pt>
                <c:pt idx="77">
                  <c:v>0.0956682539232227</c:v>
                </c:pt>
                <c:pt idx="78">
                  <c:v>0.0956533120389825</c:v>
                </c:pt>
                <c:pt idx="79">
                  <c:v>0.0955858320666375</c:v>
                </c:pt>
                <c:pt idx="80">
                  <c:v>0.0954145285820974</c:v>
                </c:pt>
                <c:pt idx="81">
                  <c:v>0.0952417339254808</c:v>
                </c:pt>
                <c:pt idx="82">
                  <c:v>0.0951219585281652</c:v>
                </c:pt>
                <c:pt idx="83">
                  <c:v>0.0950651561532347</c:v>
                </c:pt>
                <c:pt idx="84">
                  <c:v>0.0946777128610006</c:v>
                </c:pt>
                <c:pt idx="85">
                  <c:v>0.094585879670825</c:v>
                </c:pt>
                <c:pt idx="86">
                  <c:v>0.0943241379912768</c:v>
                </c:pt>
                <c:pt idx="87">
                  <c:v>0.0943038164400971</c:v>
                </c:pt>
                <c:pt idx="88">
                  <c:v>0.0942133767121826</c:v>
                </c:pt>
                <c:pt idx="89">
                  <c:v>0.0938815671303938</c:v>
                </c:pt>
                <c:pt idx="90">
                  <c:v>0.0938002093249253</c:v>
                </c:pt>
                <c:pt idx="91">
                  <c:v>0.0932818815567215</c:v>
                </c:pt>
                <c:pt idx="92">
                  <c:v>0.0929248297235462</c:v>
                </c:pt>
                <c:pt idx="93">
                  <c:v>0.0929412312842121</c:v>
                </c:pt>
                <c:pt idx="94">
                  <c:v>0.0928197465911017</c:v>
                </c:pt>
                <c:pt idx="95">
                  <c:v>0.0925777822227812</c:v>
                </c:pt>
                <c:pt idx="96">
                  <c:v>0.0924662095974107</c:v>
                </c:pt>
                <c:pt idx="97">
                  <c:v>0.092053054565752</c:v>
                </c:pt>
                <c:pt idx="98">
                  <c:v>0.0909211917507527</c:v>
                </c:pt>
                <c:pt idx="99">
                  <c:v>0.0908919397843537</c:v>
                </c:pt>
              </c:numCache>
            </c:numRef>
          </c:yVal>
          <c:smooth val="1"/>
        </c:ser>
        <c:ser>
          <c:idx val="1"/>
          <c:order val="1"/>
          <c:tx>
            <c:strRef>
              <c:f>Sheet1!$F$1</c:f>
              <c:strCache>
                <c:ptCount val="1"/>
                <c:pt idx="0">
                  <c:v>Nei</c:v>
                </c:pt>
              </c:strCache>
            </c:strRef>
          </c:tx>
          <c:xVal>
            <c:numRef>
              <c:f>Sheet1!$C$2:$C$101</c:f>
              <c:numCache>
                <c:formatCode>General</c:formatCode>
                <c:ptCount val="100"/>
                <c:pt idx="0">
                  <c:v>0.01</c:v>
                </c:pt>
                <c:pt idx="1">
                  <c:v>0.0202020202020202</c:v>
                </c:pt>
                <c:pt idx="2">
                  <c:v>0.0306122448979592</c:v>
                </c:pt>
                <c:pt idx="3">
                  <c:v>0.0412371134020618</c:v>
                </c:pt>
                <c:pt idx="4">
                  <c:v>0.0520833333333334</c:v>
                </c:pt>
                <c:pt idx="5">
                  <c:v>0.0631578947368421</c:v>
                </c:pt>
                <c:pt idx="6">
                  <c:v>0.0744680851063831</c:v>
                </c:pt>
                <c:pt idx="7">
                  <c:v>0.0860215053763442</c:v>
                </c:pt>
                <c:pt idx="8">
                  <c:v>0.0978260869565217</c:v>
                </c:pt>
                <c:pt idx="9">
                  <c:v>0.10989010989011</c:v>
                </c:pt>
                <c:pt idx="10">
                  <c:v>0.122222222222222</c:v>
                </c:pt>
                <c:pt idx="11">
                  <c:v>0.134831460674157</c:v>
                </c:pt>
                <c:pt idx="12">
                  <c:v>0.147727272727273</c:v>
                </c:pt>
                <c:pt idx="13">
                  <c:v>0.160919540229885</c:v>
                </c:pt>
                <c:pt idx="14">
                  <c:v>0.174418604651163</c:v>
                </c:pt>
                <c:pt idx="15">
                  <c:v>0.188235294117647</c:v>
                </c:pt>
                <c:pt idx="16">
                  <c:v>0.202380952380952</c:v>
                </c:pt>
                <c:pt idx="17">
                  <c:v>0.216867469879518</c:v>
                </c:pt>
                <c:pt idx="18">
                  <c:v>0.231707317073171</c:v>
                </c:pt>
                <c:pt idx="19">
                  <c:v>0.246913580246914</c:v>
                </c:pt>
                <c:pt idx="20">
                  <c:v>0.2625</c:v>
                </c:pt>
                <c:pt idx="21">
                  <c:v>0.278481012658228</c:v>
                </c:pt>
                <c:pt idx="22">
                  <c:v>0.294871794871795</c:v>
                </c:pt>
                <c:pt idx="23">
                  <c:v>0.311688311688312</c:v>
                </c:pt>
                <c:pt idx="24">
                  <c:v>0.328947368421053</c:v>
                </c:pt>
                <c:pt idx="25">
                  <c:v>0.346666666666667</c:v>
                </c:pt>
                <c:pt idx="26">
                  <c:v>0.364864864864868</c:v>
                </c:pt>
                <c:pt idx="27">
                  <c:v>0.383561643835616</c:v>
                </c:pt>
                <c:pt idx="28">
                  <c:v>0.402777777777778</c:v>
                </c:pt>
                <c:pt idx="29">
                  <c:v>0.422535211267606</c:v>
                </c:pt>
                <c:pt idx="30">
                  <c:v>0.442857142857143</c:v>
                </c:pt>
                <c:pt idx="31">
                  <c:v>0.463768115942029</c:v>
                </c:pt>
                <c:pt idx="32">
                  <c:v>0.485294117647059</c:v>
                </c:pt>
                <c:pt idx="33">
                  <c:v>0.507462686567163</c:v>
                </c:pt>
                <c:pt idx="34">
                  <c:v>0.53030303030303</c:v>
                </c:pt>
                <c:pt idx="35">
                  <c:v>0.553846153846154</c:v>
                </c:pt>
                <c:pt idx="36">
                  <c:v>0.578125000000001</c:v>
                </c:pt>
                <c:pt idx="37">
                  <c:v>0.603174603174604</c:v>
                </c:pt>
                <c:pt idx="38">
                  <c:v>0.629032258064517</c:v>
                </c:pt>
                <c:pt idx="39">
                  <c:v>0.655737704918033</c:v>
                </c:pt>
                <c:pt idx="40">
                  <c:v>0.683333333333333</c:v>
                </c:pt>
                <c:pt idx="41">
                  <c:v>0.711864406779661</c:v>
                </c:pt>
                <c:pt idx="42">
                  <c:v>0.741379310344831</c:v>
                </c:pt>
                <c:pt idx="43">
                  <c:v>0.771929824561406</c:v>
                </c:pt>
                <c:pt idx="44">
                  <c:v>0.803571428571429</c:v>
                </c:pt>
                <c:pt idx="45">
                  <c:v>0.836363636363636</c:v>
                </c:pt>
                <c:pt idx="46">
                  <c:v>0.870370370370371</c:v>
                </c:pt>
                <c:pt idx="47">
                  <c:v>0.905660377358492</c:v>
                </c:pt>
                <c:pt idx="48">
                  <c:v>0.942307692307692</c:v>
                </c:pt>
                <c:pt idx="49">
                  <c:v>0.980392156862742</c:v>
                </c:pt>
                <c:pt idx="50">
                  <c:v>1.02</c:v>
                </c:pt>
                <c:pt idx="51">
                  <c:v>1.061224489795918</c:v>
                </c:pt>
                <c:pt idx="52">
                  <c:v>1.104166666666668</c:v>
                </c:pt>
                <c:pt idx="53">
                  <c:v>1.148936170212766</c:v>
                </c:pt>
                <c:pt idx="54">
                  <c:v>1.195652173913047</c:v>
                </c:pt>
                <c:pt idx="55">
                  <c:v>1.244444444444444</c:v>
                </c:pt>
                <c:pt idx="56">
                  <c:v>1.295454545454545</c:v>
                </c:pt>
                <c:pt idx="57">
                  <c:v>1.348837209302325</c:v>
                </c:pt>
                <c:pt idx="58">
                  <c:v>1.404761904761905</c:v>
                </c:pt>
                <c:pt idx="59">
                  <c:v>1.463414634146341</c:v>
                </c:pt>
                <c:pt idx="60">
                  <c:v>1.524999999999997</c:v>
                </c:pt>
                <c:pt idx="61">
                  <c:v>1.58974358974359</c:v>
                </c:pt>
                <c:pt idx="62">
                  <c:v>1.657894736842104</c:v>
                </c:pt>
                <c:pt idx="63">
                  <c:v>1.72972972972973</c:v>
                </c:pt>
                <c:pt idx="64">
                  <c:v>1.805555555555556</c:v>
                </c:pt>
                <c:pt idx="65">
                  <c:v>1.885714285714283</c:v>
                </c:pt>
                <c:pt idx="66">
                  <c:v>1.970588235294118</c:v>
                </c:pt>
                <c:pt idx="67">
                  <c:v>2.060606060606061</c:v>
                </c:pt>
                <c:pt idx="68">
                  <c:v>2.156249999999992</c:v>
                </c:pt>
                <c:pt idx="69">
                  <c:v>2.258064516129034</c:v>
                </c:pt>
                <c:pt idx="70">
                  <c:v>2.366666666666667</c:v>
                </c:pt>
                <c:pt idx="71">
                  <c:v>2.482758620689647</c:v>
                </c:pt>
                <c:pt idx="72">
                  <c:v>2.607142857142861</c:v>
                </c:pt>
                <c:pt idx="73">
                  <c:v>2.740740740740746</c:v>
                </c:pt>
                <c:pt idx="74">
                  <c:v>2.884615384615384</c:v>
                </c:pt>
                <c:pt idx="75">
                  <c:v>3.04</c:v>
                </c:pt>
                <c:pt idx="76">
                  <c:v>3.208333333333337</c:v>
                </c:pt>
                <c:pt idx="77">
                  <c:v>3.391304347826091</c:v>
                </c:pt>
                <c:pt idx="78">
                  <c:v>3.590909090909091</c:v>
                </c:pt>
                <c:pt idx="79">
                  <c:v>3.809523809523803</c:v>
                </c:pt>
                <c:pt idx="80">
                  <c:v>4.05</c:v>
                </c:pt>
                <c:pt idx="81">
                  <c:v>4.315789473684211</c:v>
                </c:pt>
                <c:pt idx="82">
                  <c:v>4.611111111111111</c:v>
                </c:pt>
                <c:pt idx="83">
                  <c:v>4.941176470588236</c:v>
                </c:pt>
                <c:pt idx="84">
                  <c:v>5.312499999999996</c:v>
                </c:pt>
                <c:pt idx="85">
                  <c:v>5.73333333333335</c:v>
                </c:pt>
                <c:pt idx="86">
                  <c:v>6.214285714285706</c:v>
                </c:pt>
                <c:pt idx="87">
                  <c:v>6.76923076923077</c:v>
                </c:pt>
                <c:pt idx="88">
                  <c:v>7.416666666666671</c:v>
                </c:pt>
                <c:pt idx="89">
                  <c:v>8.181818181818056</c:v>
                </c:pt>
                <c:pt idx="90">
                  <c:v>9.1</c:v>
                </c:pt>
                <c:pt idx="91">
                  <c:v>10.22222222222222</c:v>
                </c:pt>
                <c:pt idx="92">
                  <c:v>11.625</c:v>
                </c:pt>
                <c:pt idx="93">
                  <c:v>13.4285714285714</c:v>
                </c:pt>
                <c:pt idx="94">
                  <c:v>15.83333333333333</c:v>
                </c:pt>
                <c:pt idx="95">
                  <c:v>19.2</c:v>
                </c:pt>
                <c:pt idx="96">
                  <c:v>24.25</c:v>
                </c:pt>
                <c:pt idx="97">
                  <c:v>32.66666666666613</c:v>
                </c:pt>
                <c:pt idx="98">
                  <c:v>49.5</c:v>
                </c:pt>
                <c:pt idx="99">
                  <c:v>100.0</c:v>
                </c:pt>
              </c:numCache>
            </c:numRef>
          </c:xVal>
          <c:yVal>
            <c:numRef>
              <c:f>Sheet1!$F$2:$F$101</c:f>
              <c:numCache>
                <c:formatCode>General</c:formatCode>
                <c:ptCount val="100"/>
                <c:pt idx="0">
                  <c:v>0.105814254141065</c:v>
                </c:pt>
                <c:pt idx="1">
                  <c:v>0.105007231865717</c:v>
                </c:pt>
                <c:pt idx="2">
                  <c:v>0.105322179732688</c:v>
                </c:pt>
                <c:pt idx="3">
                  <c:v>0.106030124247411</c:v>
                </c:pt>
                <c:pt idx="4">
                  <c:v>0.105920799037196</c:v>
                </c:pt>
                <c:pt idx="5">
                  <c:v>0.106990908873953</c:v>
                </c:pt>
                <c:pt idx="6">
                  <c:v>0.10713853765761</c:v>
                </c:pt>
                <c:pt idx="7">
                  <c:v>0.106844727185902</c:v>
                </c:pt>
                <c:pt idx="8">
                  <c:v>0.106459866348801</c:v>
                </c:pt>
                <c:pt idx="9">
                  <c:v>0.106378372154214</c:v>
                </c:pt>
                <c:pt idx="10">
                  <c:v>0.10644122981068</c:v>
                </c:pt>
                <c:pt idx="11">
                  <c:v>0.106503627685548</c:v>
                </c:pt>
                <c:pt idx="12">
                  <c:v>0.1063234100825</c:v>
                </c:pt>
                <c:pt idx="13">
                  <c:v>0.106121418016037</c:v>
                </c:pt>
                <c:pt idx="14">
                  <c:v>0.106003150575466</c:v>
                </c:pt>
                <c:pt idx="15">
                  <c:v>0.106055822102459</c:v>
                </c:pt>
                <c:pt idx="16">
                  <c:v>0.106042979818664</c:v>
                </c:pt>
                <c:pt idx="17">
                  <c:v>0.10581428981036</c:v>
                </c:pt>
                <c:pt idx="18">
                  <c:v>0.105587322560807</c:v>
                </c:pt>
                <c:pt idx="19">
                  <c:v>0.105680590360342</c:v>
                </c:pt>
                <c:pt idx="20">
                  <c:v>0.105745561214285</c:v>
                </c:pt>
                <c:pt idx="21">
                  <c:v>0.105713510169009</c:v>
                </c:pt>
                <c:pt idx="22">
                  <c:v>0.105847480498136</c:v>
                </c:pt>
                <c:pt idx="23">
                  <c:v>0.105858630305267</c:v>
                </c:pt>
                <c:pt idx="24">
                  <c:v>0.105755553875452</c:v>
                </c:pt>
                <c:pt idx="25">
                  <c:v>0.105723328676324</c:v>
                </c:pt>
                <c:pt idx="26">
                  <c:v>0.105743495617293</c:v>
                </c:pt>
                <c:pt idx="27">
                  <c:v>0.105604968830521</c:v>
                </c:pt>
                <c:pt idx="28">
                  <c:v>0.105487731925501</c:v>
                </c:pt>
                <c:pt idx="29">
                  <c:v>0.105571241176743</c:v>
                </c:pt>
                <c:pt idx="30">
                  <c:v>0.105578171844949</c:v>
                </c:pt>
                <c:pt idx="31">
                  <c:v>0.105557983141989</c:v>
                </c:pt>
                <c:pt idx="32">
                  <c:v>0.105596575310279</c:v>
                </c:pt>
                <c:pt idx="33">
                  <c:v>0.105578277227916</c:v>
                </c:pt>
                <c:pt idx="34">
                  <c:v>0.10555861250795</c:v>
                </c:pt>
                <c:pt idx="35">
                  <c:v>0.105576621347626</c:v>
                </c:pt>
                <c:pt idx="36">
                  <c:v>0.105582634121968</c:v>
                </c:pt>
                <c:pt idx="37">
                  <c:v>0.105473836938449</c:v>
                </c:pt>
                <c:pt idx="38">
                  <c:v>0.105593087205576</c:v>
                </c:pt>
                <c:pt idx="39">
                  <c:v>0.105564959370066</c:v>
                </c:pt>
                <c:pt idx="40">
                  <c:v>0.105530999729055</c:v>
                </c:pt>
                <c:pt idx="41">
                  <c:v>0.10546777166805</c:v>
                </c:pt>
                <c:pt idx="42">
                  <c:v>0.105328696480679</c:v>
                </c:pt>
                <c:pt idx="43">
                  <c:v>0.105237085529471</c:v>
                </c:pt>
                <c:pt idx="44">
                  <c:v>0.105230796778962</c:v>
                </c:pt>
                <c:pt idx="45">
                  <c:v>0.105169496460586</c:v>
                </c:pt>
                <c:pt idx="46">
                  <c:v>0.105264938034479</c:v>
                </c:pt>
                <c:pt idx="47">
                  <c:v>0.105356239582678</c:v>
                </c:pt>
                <c:pt idx="48">
                  <c:v>0.10537795946966</c:v>
                </c:pt>
                <c:pt idx="49">
                  <c:v>0.105334252383878</c:v>
                </c:pt>
                <c:pt idx="50">
                  <c:v>0.105367978355063</c:v>
                </c:pt>
                <c:pt idx="51">
                  <c:v>0.105264233997842</c:v>
                </c:pt>
                <c:pt idx="52">
                  <c:v>0.10534559443352</c:v>
                </c:pt>
                <c:pt idx="53">
                  <c:v>0.105401836443031</c:v>
                </c:pt>
                <c:pt idx="54">
                  <c:v>0.105405429139387</c:v>
                </c:pt>
                <c:pt idx="55">
                  <c:v>0.105412715508697</c:v>
                </c:pt>
                <c:pt idx="56">
                  <c:v>0.105421018357852</c:v>
                </c:pt>
                <c:pt idx="57">
                  <c:v>0.105344818626926</c:v>
                </c:pt>
                <c:pt idx="58">
                  <c:v>0.105294202436608</c:v>
                </c:pt>
                <c:pt idx="59">
                  <c:v>0.105367441977464</c:v>
                </c:pt>
                <c:pt idx="60">
                  <c:v>0.105384659901659</c:v>
                </c:pt>
                <c:pt idx="61">
                  <c:v>0.105420730172858</c:v>
                </c:pt>
                <c:pt idx="62">
                  <c:v>0.105447437365906</c:v>
                </c:pt>
                <c:pt idx="63">
                  <c:v>0.105433364847768</c:v>
                </c:pt>
                <c:pt idx="64">
                  <c:v>0.105466288801686</c:v>
                </c:pt>
                <c:pt idx="65">
                  <c:v>0.105453917202575</c:v>
                </c:pt>
                <c:pt idx="66">
                  <c:v>0.10555206536409</c:v>
                </c:pt>
                <c:pt idx="67">
                  <c:v>0.10568561640745</c:v>
                </c:pt>
                <c:pt idx="68">
                  <c:v>0.105708885348267</c:v>
                </c:pt>
                <c:pt idx="69">
                  <c:v>0.105779568345166</c:v>
                </c:pt>
                <c:pt idx="70">
                  <c:v>0.105751661778888</c:v>
                </c:pt>
                <c:pt idx="71">
                  <c:v>0.105595860347506</c:v>
                </c:pt>
                <c:pt idx="72">
                  <c:v>0.105724427521845</c:v>
                </c:pt>
                <c:pt idx="73">
                  <c:v>0.105771052495357</c:v>
                </c:pt>
                <c:pt idx="74">
                  <c:v>0.10584627177988</c:v>
                </c:pt>
                <c:pt idx="75">
                  <c:v>0.105852842773709</c:v>
                </c:pt>
                <c:pt idx="76">
                  <c:v>0.105802489050976</c:v>
                </c:pt>
                <c:pt idx="77">
                  <c:v>0.105769165715218</c:v>
                </c:pt>
                <c:pt idx="78">
                  <c:v>0.10593933815936</c:v>
                </c:pt>
                <c:pt idx="79">
                  <c:v>0.106051257929533</c:v>
                </c:pt>
                <c:pt idx="80">
                  <c:v>0.106043116963887</c:v>
                </c:pt>
                <c:pt idx="81">
                  <c:v>0.106038285584587</c:v>
                </c:pt>
                <c:pt idx="82">
                  <c:v>0.106109267612727</c:v>
                </c:pt>
                <c:pt idx="83">
                  <c:v>0.106247494799432</c:v>
                </c:pt>
                <c:pt idx="84">
                  <c:v>0.105973988323111</c:v>
                </c:pt>
                <c:pt idx="85">
                  <c:v>0.106043761064778</c:v>
                </c:pt>
                <c:pt idx="86">
                  <c:v>0.105905372977189</c:v>
                </c:pt>
                <c:pt idx="87">
                  <c:v>0.10606497142081</c:v>
                </c:pt>
                <c:pt idx="88">
                  <c:v>0.106155880445859</c:v>
                </c:pt>
                <c:pt idx="89">
                  <c:v>0.105922574969142</c:v>
                </c:pt>
                <c:pt idx="90">
                  <c:v>0.106015997683412</c:v>
                </c:pt>
                <c:pt idx="91">
                  <c:v>0.105558457929023</c:v>
                </c:pt>
                <c:pt idx="92">
                  <c:v>0.105309215322518</c:v>
                </c:pt>
                <c:pt idx="93">
                  <c:v>0.105521820940834</c:v>
                </c:pt>
                <c:pt idx="94">
                  <c:v>0.10559001109112</c:v>
                </c:pt>
                <c:pt idx="95">
                  <c:v>0.105451060243929</c:v>
                </c:pt>
                <c:pt idx="96">
                  <c:v>0.105517364098026</c:v>
                </c:pt>
                <c:pt idx="97">
                  <c:v>0.105230617685242</c:v>
                </c:pt>
                <c:pt idx="98">
                  <c:v>0.103717044636625</c:v>
                </c:pt>
                <c:pt idx="99">
                  <c:v>0.103670528526089</c:v>
                </c:pt>
              </c:numCache>
            </c:numRef>
          </c:yVal>
          <c:smooth val="1"/>
        </c:ser>
        <c:ser>
          <c:idx val="2"/>
          <c:order val="2"/>
          <c:tx>
            <c:strRef>
              <c:f>Sheet1!$H$1</c:f>
              <c:strCache>
                <c:ptCount val="1"/>
                <c:pt idx="0">
                  <c:v>Hudson</c:v>
                </c:pt>
              </c:strCache>
            </c:strRef>
          </c:tx>
          <c:xVal>
            <c:numRef>
              <c:f>Sheet1!$C$2:$C$101</c:f>
              <c:numCache>
                <c:formatCode>General</c:formatCode>
                <c:ptCount val="100"/>
                <c:pt idx="0">
                  <c:v>0.01</c:v>
                </c:pt>
                <c:pt idx="1">
                  <c:v>0.0202020202020202</c:v>
                </c:pt>
                <c:pt idx="2">
                  <c:v>0.0306122448979592</c:v>
                </c:pt>
                <c:pt idx="3">
                  <c:v>0.0412371134020618</c:v>
                </c:pt>
                <c:pt idx="4">
                  <c:v>0.0520833333333334</c:v>
                </c:pt>
                <c:pt idx="5">
                  <c:v>0.0631578947368421</c:v>
                </c:pt>
                <c:pt idx="6">
                  <c:v>0.0744680851063831</c:v>
                </c:pt>
                <c:pt idx="7">
                  <c:v>0.0860215053763442</c:v>
                </c:pt>
                <c:pt idx="8">
                  <c:v>0.0978260869565217</c:v>
                </c:pt>
                <c:pt idx="9">
                  <c:v>0.10989010989011</c:v>
                </c:pt>
                <c:pt idx="10">
                  <c:v>0.122222222222222</c:v>
                </c:pt>
                <c:pt idx="11">
                  <c:v>0.134831460674157</c:v>
                </c:pt>
                <c:pt idx="12">
                  <c:v>0.147727272727273</c:v>
                </c:pt>
                <c:pt idx="13">
                  <c:v>0.160919540229885</c:v>
                </c:pt>
                <c:pt idx="14">
                  <c:v>0.174418604651163</c:v>
                </c:pt>
                <c:pt idx="15">
                  <c:v>0.188235294117647</c:v>
                </c:pt>
                <c:pt idx="16">
                  <c:v>0.202380952380952</c:v>
                </c:pt>
                <c:pt idx="17">
                  <c:v>0.216867469879518</c:v>
                </c:pt>
                <c:pt idx="18">
                  <c:v>0.231707317073171</c:v>
                </c:pt>
                <c:pt idx="19">
                  <c:v>0.246913580246914</c:v>
                </c:pt>
                <c:pt idx="20">
                  <c:v>0.2625</c:v>
                </c:pt>
                <c:pt idx="21">
                  <c:v>0.278481012658228</c:v>
                </c:pt>
                <c:pt idx="22">
                  <c:v>0.294871794871795</c:v>
                </c:pt>
                <c:pt idx="23">
                  <c:v>0.311688311688312</c:v>
                </c:pt>
                <c:pt idx="24">
                  <c:v>0.328947368421053</c:v>
                </c:pt>
                <c:pt idx="25">
                  <c:v>0.346666666666667</c:v>
                </c:pt>
                <c:pt idx="26">
                  <c:v>0.364864864864868</c:v>
                </c:pt>
                <c:pt idx="27">
                  <c:v>0.383561643835616</c:v>
                </c:pt>
                <c:pt idx="28">
                  <c:v>0.402777777777778</c:v>
                </c:pt>
                <c:pt idx="29">
                  <c:v>0.422535211267606</c:v>
                </c:pt>
                <c:pt idx="30">
                  <c:v>0.442857142857143</c:v>
                </c:pt>
                <c:pt idx="31">
                  <c:v>0.463768115942029</c:v>
                </c:pt>
                <c:pt idx="32">
                  <c:v>0.485294117647059</c:v>
                </c:pt>
                <c:pt idx="33">
                  <c:v>0.507462686567163</c:v>
                </c:pt>
                <c:pt idx="34">
                  <c:v>0.53030303030303</c:v>
                </c:pt>
                <c:pt idx="35">
                  <c:v>0.553846153846154</c:v>
                </c:pt>
                <c:pt idx="36">
                  <c:v>0.578125000000001</c:v>
                </c:pt>
                <c:pt idx="37">
                  <c:v>0.603174603174604</c:v>
                </c:pt>
                <c:pt idx="38">
                  <c:v>0.629032258064517</c:v>
                </c:pt>
                <c:pt idx="39">
                  <c:v>0.655737704918033</c:v>
                </c:pt>
                <c:pt idx="40">
                  <c:v>0.683333333333333</c:v>
                </c:pt>
                <c:pt idx="41">
                  <c:v>0.711864406779661</c:v>
                </c:pt>
                <c:pt idx="42">
                  <c:v>0.741379310344831</c:v>
                </c:pt>
                <c:pt idx="43">
                  <c:v>0.771929824561406</c:v>
                </c:pt>
                <c:pt idx="44">
                  <c:v>0.803571428571429</c:v>
                </c:pt>
                <c:pt idx="45">
                  <c:v>0.836363636363636</c:v>
                </c:pt>
                <c:pt idx="46">
                  <c:v>0.870370370370371</c:v>
                </c:pt>
                <c:pt idx="47">
                  <c:v>0.905660377358492</c:v>
                </c:pt>
                <c:pt idx="48">
                  <c:v>0.942307692307692</c:v>
                </c:pt>
                <c:pt idx="49">
                  <c:v>0.980392156862742</c:v>
                </c:pt>
                <c:pt idx="50">
                  <c:v>1.02</c:v>
                </c:pt>
                <c:pt idx="51">
                  <c:v>1.061224489795918</c:v>
                </c:pt>
                <c:pt idx="52">
                  <c:v>1.104166666666668</c:v>
                </c:pt>
                <c:pt idx="53">
                  <c:v>1.148936170212766</c:v>
                </c:pt>
                <c:pt idx="54">
                  <c:v>1.195652173913047</c:v>
                </c:pt>
                <c:pt idx="55">
                  <c:v>1.244444444444444</c:v>
                </c:pt>
                <c:pt idx="56">
                  <c:v>1.295454545454545</c:v>
                </c:pt>
                <c:pt idx="57">
                  <c:v>1.348837209302325</c:v>
                </c:pt>
                <c:pt idx="58">
                  <c:v>1.404761904761905</c:v>
                </c:pt>
                <c:pt idx="59">
                  <c:v>1.463414634146341</c:v>
                </c:pt>
                <c:pt idx="60">
                  <c:v>1.524999999999997</c:v>
                </c:pt>
                <c:pt idx="61">
                  <c:v>1.58974358974359</c:v>
                </c:pt>
                <c:pt idx="62">
                  <c:v>1.657894736842104</c:v>
                </c:pt>
                <c:pt idx="63">
                  <c:v>1.72972972972973</c:v>
                </c:pt>
                <c:pt idx="64">
                  <c:v>1.805555555555556</c:v>
                </c:pt>
                <c:pt idx="65">
                  <c:v>1.885714285714283</c:v>
                </c:pt>
                <c:pt idx="66">
                  <c:v>1.970588235294118</c:v>
                </c:pt>
                <c:pt idx="67">
                  <c:v>2.060606060606061</c:v>
                </c:pt>
                <c:pt idx="68">
                  <c:v>2.156249999999992</c:v>
                </c:pt>
                <c:pt idx="69">
                  <c:v>2.258064516129034</c:v>
                </c:pt>
                <c:pt idx="70">
                  <c:v>2.366666666666667</c:v>
                </c:pt>
                <c:pt idx="71">
                  <c:v>2.482758620689647</c:v>
                </c:pt>
                <c:pt idx="72">
                  <c:v>2.607142857142861</c:v>
                </c:pt>
                <c:pt idx="73">
                  <c:v>2.740740740740746</c:v>
                </c:pt>
                <c:pt idx="74">
                  <c:v>2.884615384615384</c:v>
                </c:pt>
                <c:pt idx="75">
                  <c:v>3.04</c:v>
                </c:pt>
                <c:pt idx="76">
                  <c:v>3.208333333333337</c:v>
                </c:pt>
                <c:pt idx="77">
                  <c:v>3.391304347826091</c:v>
                </c:pt>
                <c:pt idx="78">
                  <c:v>3.590909090909091</c:v>
                </c:pt>
                <c:pt idx="79">
                  <c:v>3.809523809523803</c:v>
                </c:pt>
                <c:pt idx="80">
                  <c:v>4.05</c:v>
                </c:pt>
                <c:pt idx="81">
                  <c:v>4.315789473684211</c:v>
                </c:pt>
                <c:pt idx="82">
                  <c:v>4.611111111111111</c:v>
                </c:pt>
                <c:pt idx="83">
                  <c:v>4.941176470588236</c:v>
                </c:pt>
                <c:pt idx="84">
                  <c:v>5.312499999999996</c:v>
                </c:pt>
                <c:pt idx="85">
                  <c:v>5.73333333333335</c:v>
                </c:pt>
                <c:pt idx="86">
                  <c:v>6.214285714285706</c:v>
                </c:pt>
                <c:pt idx="87">
                  <c:v>6.76923076923077</c:v>
                </c:pt>
                <c:pt idx="88">
                  <c:v>7.416666666666671</c:v>
                </c:pt>
                <c:pt idx="89">
                  <c:v>8.181818181818056</c:v>
                </c:pt>
                <c:pt idx="90">
                  <c:v>9.1</c:v>
                </c:pt>
                <c:pt idx="91">
                  <c:v>10.22222222222222</c:v>
                </c:pt>
                <c:pt idx="92">
                  <c:v>11.625</c:v>
                </c:pt>
                <c:pt idx="93">
                  <c:v>13.4285714285714</c:v>
                </c:pt>
                <c:pt idx="94">
                  <c:v>15.83333333333333</c:v>
                </c:pt>
                <c:pt idx="95">
                  <c:v>19.2</c:v>
                </c:pt>
                <c:pt idx="96">
                  <c:v>24.25</c:v>
                </c:pt>
                <c:pt idx="97">
                  <c:v>32.66666666666613</c:v>
                </c:pt>
                <c:pt idx="98">
                  <c:v>49.5</c:v>
                </c:pt>
                <c:pt idx="99">
                  <c:v>100.0</c:v>
                </c:pt>
              </c:numCache>
            </c:numRef>
          </c:xVal>
          <c:yVal>
            <c:numRef>
              <c:f>Sheet1!$H$2:$H$101</c:f>
              <c:numCache>
                <c:formatCode>General</c:formatCode>
                <c:ptCount val="100"/>
                <c:pt idx="0">
                  <c:v>0.0999720330003227</c:v>
                </c:pt>
                <c:pt idx="1">
                  <c:v>0.0995120310562659</c:v>
                </c:pt>
                <c:pt idx="2">
                  <c:v>0.0998813364090346</c:v>
                </c:pt>
                <c:pt idx="3">
                  <c:v>0.100561509688908</c:v>
                </c:pt>
                <c:pt idx="4">
                  <c:v>0.100488374400393</c:v>
                </c:pt>
                <c:pt idx="5">
                  <c:v>0.101469256231291</c:v>
                </c:pt>
                <c:pt idx="6">
                  <c:v>0.101614250111085</c:v>
                </c:pt>
                <c:pt idx="7">
                  <c:v>0.101358757263841</c:v>
                </c:pt>
                <c:pt idx="8">
                  <c:v>0.101019066158464</c:v>
                </c:pt>
                <c:pt idx="9">
                  <c:v>0.100951198485851</c:v>
                </c:pt>
                <c:pt idx="10">
                  <c:v>0.101012372016175</c:v>
                </c:pt>
                <c:pt idx="11">
                  <c:v>0.101072369039806</c:v>
                </c:pt>
                <c:pt idx="12">
                  <c:v>0.100913145701007</c:v>
                </c:pt>
                <c:pt idx="13">
                  <c:v>0.100733790516296</c:v>
                </c:pt>
                <c:pt idx="14">
                  <c:v>0.100629502664626</c:v>
                </c:pt>
                <c:pt idx="15">
                  <c:v>0.100679025929328</c:v>
                </c:pt>
                <c:pt idx="16">
                  <c:v>0.100669239589905</c:v>
                </c:pt>
                <c:pt idx="17">
                  <c:v>0.100464620314961</c:v>
                </c:pt>
                <c:pt idx="18">
                  <c:v>0.100261330871588</c:v>
                </c:pt>
                <c:pt idx="19">
                  <c:v>0.100346707518121</c:v>
                </c:pt>
                <c:pt idx="20">
                  <c:v>0.100406429545009</c:v>
                </c:pt>
                <c:pt idx="21">
                  <c:v>0.100378540259307</c:v>
                </c:pt>
                <c:pt idx="22">
                  <c:v>0.100500288025478</c:v>
                </c:pt>
                <c:pt idx="23">
                  <c:v>0.100511181148501</c:v>
                </c:pt>
                <c:pt idx="24">
                  <c:v>0.100418986852005</c:v>
                </c:pt>
                <c:pt idx="25">
                  <c:v>0.100390621344755</c:v>
                </c:pt>
                <c:pt idx="26">
                  <c:v>0.100409448111748</c:v>
                </c:pt>
                <c:pt idx="27">
                  <c:v>0.100285087796357</c:v>
                </c:pt>
                <c:pt idx="28">
                  <c:v>0.100179867034375</c:v>
                </c:pt>
                <c:pt idx="29">
                  <c:v>0.100255694285391</c:v>
                </c:pt>
                <c:pt idx="30">
                  <c:v>0.100262402065476</c:v>
                </c:pt>
                <c:pt idx="31">
                  <c:v>0.100244610137438</c:v>
                </c:pt>
                <c:pt idx="32">
                  <c:v>0.100279807957112</c:v>
                </c:pt>
                <c:pt idx="33">
                  <c:v>0.100263657227131</c:v>
                </c:pt>
                <c:pt idx="34">
                  <c:v>0.100246246064618</c:v>
                </c:pt>
                <c:pt idx="35">
                  <c:v>0.10026279335637</c:v>
                </c:pt>
                <c:pt idx="36">
                  <c:v>0.100268494076451</c:v>
                </c:pt>
                <c:pt idx="37">
                  <c:v>0.100170600216141</c:v>
                </c:pt>
                <c:pt idx="38">
                  <c:v>0.100278410472538</c:v>
                </c:pt>
                <c:pt idx="39">
                  <c:v>0.100253249531906</c:v>
                </c:pt>
                <c:pt idx="40">
                  <c:v>0.10022280707376</c:v>
                </c:pt>
                <c:pt idx="41">
                  <c:v>0.100165940596316</c:v>
                </c:pt>
                <c:pt idx="42">
                  <c:v>0.100040619502392</c:v>
                </c:pt>
                <c:pt idx="43">
                  <c:v>0.0999580960297317</c:v>
                </c:pt>
                <c:pt idx="44">
                  <c:v>0.0999525453176493</c:v>
                </c:pt>
                <c:pt idx="45">
                  <c:v>0.0998973361631027</c:v>
                </c:pt>
                <c:pt idx="46">
                  <c:v>0.0999835558094534</c:v>
                </c:pt>
                <c:pt idx="47">
                  <c:v>0.100066017703132</c:v>
                </c:pt>
                <c:pt idx="48">
                  <c:v>0.100085679550025</c:v>
                </c:pt>
                <c:pt idx="49">
                  <c:v>0.100046294191268</c:v>
                </c:pt>
                <c:pt idx="50">
                  <c:v>0.100076760973617</c:v>
                </c:pt>
                <c:pt idx="51">
                  <c:v>0.0999831737116346</c:v>
                </c:pt>
                <c:pt idx="52">
                  <c:v>0.100056595409435</c:v>
                </c:pt>
                <c:pt idx="53">
                  <c:v>0.100107334787713</c:v>
                </c:pt>
                <c:pt idx="54">
                  <c:v>0.100110556606261</c:v>
                </c:pt>
                <c:pt idx="55">
                  <c:v>0.100117096492264</c:v>
                </c:pt>
                <c:pt idx="56">
                  <c:v>0.10012453883939</c:v>
                </c:pt>
                <c:pt idx="57">
                  <c:v>0.100055723416929</c:v>
                </c:pt>
                <c:pt idx="58">
                  <c:v>0.100009973703569</c:v>
                </c:pt>
                <c:pt idx="59">
                  <c:v>0.100075962885465</c:v>
                </c:pt>
                <c:pt idx="60">
                  <c:v>0.100091386415991</c:v>
                </c:pt>
                <c:pt idx="61">
                  <c:v>0.100123801494707</c:v>
                </c:pt>
                <c:pt idx="62">
                  <c:v>0.100147751080859</c:v>
                </c:pt>
                <c:pt idx="63">
                  <c:v>0.100134890081373</c:v>
                </c:pt>
                <c:pt idx="64">
                  <c:v>0.100164407960247</c:v>
                </c:pt>
                <c:pt idx="65">
                  <c:v>0.100153040721496</c:v>
                </c:pt>
                <c:pt idx="66">
                  <c:v>0.100241354937288</c:v>
                </c:pt>
                <c:pt idx="67">
                  <c:v>0.100361571106079</c:v>
                </c:pt>
                <c:pt idx="68">
                  <c:v>0.100382279561575</c:v>
                </c:pt>
                <c:pt idx="69">
                  <c:v>0.100445725479169</c:v>
                </c:pt>
                <c:pt idx="70">
                  <c:v>0.100420220312457</c:v>
                </c:pt>
                <c:pt idx="71">
                  <c:v>0.100279320230264</c:v>
                </c:pt>
                <c:pt idx="72">
                  <c:v>0.100394881228542</c:v>
                </c:pt>
                <c:pt idx="73">
                  <c:v>0.100436488734086</c:v>
                </c:pt>
                <c:pt idx="74">
                  <c:v>0.100503837542484</c:v>
                </c:pt>
                <c:pt idx="75">
                  <c:v>0.100509224437216</c:v>
                </c:pt>
                <c:pt idx="76">
                  <c:v>0.100463225535642</c:v>
                </c:pt>
                <c:pt idx="77">
                  <c:v>0.100432520231837</c:v>
                </c:pt>
                <c:pt idx="78">
                  <c:v>0.100585256468376</c:v>
                </c:pt>
                <c:pt idx="79">
                  <c:v>0.100685367365199</c:v>
                </c:pt>
                <c:pt idx="80">
                  <c:v>0.100677132841113</c:v>
                </c:pt>
                <c:pt idx="81">
                  <c:v>0.100671779795133</c:v>
                </c:pt>
                <c:pt idx="82">
                  <c:v>0.100734662112278</c:v>
                </c:pt>
                <c:pt idx="83">
                  <c:v>0.100858012862643</c:v>
                </c:pt>
                <c:pt idx="84">
                  <c:v>0.100610003510437</c:v>
                </c:pt>
                <c:pt idx="85">
                  <c:v>0.100671273818305</c:v>
                </c:pt>
                <c:pt idx="86">
                  <c:v>0.100544614636694</c:v>
                </c:pt>
                <c:pt idx="87">
                  <c:v>0.10068632576916</c:v>
                </c:pt>
                <c:pt idx="88">
                  <c:v>0.100765722075482</c:v>
                </c:pt>
                <c:pt idx="89">
                  <c:v>0.100552343225941</c:v>
                </c:pt>
                <c:pt idx="90">
                  <c:v>0.100632908298287</c:v>
                </c:pt>
                <c:pt idx="91">
                  <c:v>0.100215857051712</c:v>
                </c:pt>
                <c:pt idx="92">
                  <c:v>0.0999854357423288</c:v>
                </c:pt>
                <c:pt idx="93">
                  <c:v>0.10016994258726</c:v>
                </c:pt>
                <c:pt idx="94">
                  <c:v>0.100221746113075</c:v>
                </c:pt>
                <c:pt idx="95">
                  <c:v>0.100082791411994</c:v>
                </c:pt>
                <c:pt idx="96">
                  <c:v>0.100122035463847</c:v>
                </c:pt>
                <c:pt idx="97">
                  <c:v>0.0998291697887024</c:v>
                </c:pt>
                <c:pt idx="98">
                  <c:v>0.0983944246020811</c:v>
                </c:pt>
                <c:pt idx="99">
                  <c:v>0.0981394704847718</c:v>
                </c:pt>
              </c:numCache>
            </c:numRef>
          </c:yVal>
          <c:smooth val="1"/>
        </c:ser>
        <c:dLbls>
          <c:showLegendKey val="0"/>
          <c:showVal val="0"/>
          <c:showCatName val="0"/>
          <c:showSerName val="0"/>
          <c:showPercent val="0"/>
          <c:showBubbleSize val="0"/>
        </c:dLbls>
        <c:axId val="892792984"/>
        <c:axId val="672835864"/>
      </c:scatterChart>
      <c:valAx>
        <c:axId val="892792984"/>
        <c:scaling>
          <c:logBase val="10.0"/>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400"/>
                  <a:t>Ratio</a:t>
                </a:r>
                <a:r>
                  <a:rPr lang="en-US" sz="1400" baseline="0"/>
                  <a:t> of Sample Sizes n</a:t>
                </a:r>
                <a:r>
                  <a:rPr lang="en-US" sz="1400" baseline="-25000"/>
                  <a:t>1</a:t>
                </a:r>
                <a:r>
                  <a:rPr lang="en-US" sz="1400" baseline="0"/>
                  <a:t>/</a:t>
                </a:r>
                <a:r>
                  <a:rPr lang="en-US" sz="1400" b="1" i="0" baseline="0">
                    <a:effectLst/>
                  </a:rPr>
                  <a:t>n</a:t>
                </a:r>
                <a:r>
                  <a:rPr lang="en-US" sz="1400" b="1" i="0" baseline="-25000">
                    <a:effectLst/>
                  </a:rPr>
                  <a:t>2</a:t>
                </a:r>
                <a:endParaRPr lang="en-US"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baseline="0"/>
              </a:p>
            </c:rich>
          </c:tx>
          <c:overlay val="0"/>
        </c:title>
        <c:numFmt formatCode="General" sourceLinked="1"/>
        <c:majorTickMark val="out"/>
        <c:minorTickMark val="none"/>
        <c:tickLblPos val="nextTo"/>
        <c:crossAx val="672835864"/>
        <c:crosses val="autoZero"/>
        <c:crossBetween val="midCat"/>
      </c:valAx>
      <c:valAx>
        <c:axId val="672835864"/>
        <c:scaling>
          <c:orientation val="minMax"/>
        </c:scaling>
        <c:delete val="0"/>
        <c:axPos val="l"/>
        <c:majorGridlines/>
        <c:title>
          <c:tx>
            <c:rich>
              <a:bodyPr rot="0" vert="horz"/>
              <a:lstStyle/>
              <a:p>
                <a:pPr>
                  <a:defRPr/>
                </a:pPr>
                <a:r>
                  <a:rPr lang="en-US" sz="1600" b="1" i="1"/>
                  <a:t>F</a:t>
                </a:r>
                <a:r>
                  <a:rPr lang="en-US" sz="1600" baseline="-25000"/>
                  <a:t>ST</a:t>
                </a:r>
              </a:p>
            </c:rich>
          </c:tx>
          <c:layout>
            <c:manualLayout>
              <c:xMode val="edge"/>
              <c:yMode val="edge"/>
              <c:x val="0.465378421900161"/>
              <c:y val="0.0680075750024918"/>
            </c:manualLayout>
          </c:layout>
          <c:overlay val="0"/>
        </c:title>
        <c:numFmt formatCode="General" sourceLinked="1"/>
        <c:majorTickMark val="out"/>
        <c:minorTickMark val="none"/>
        <c:tickLblPos val="nextTo"/>
        <c:crossAx val="892792984"/>
        <c:crosses val="autoZero"/>
        <c:crossBetween val="midCat"/>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'[S3-Flat_vs_Separate.xlsx]Sheet1'!$B$1</c:f>
              <c:strCache>
                <c:ptCount val="1"/>
                <c:pt idx="0">
                  <c:v>Average of Ratios (Outgroup)</c:v>
                </c:pt>
              </c:strCache>
            </c:strRef>
          </c:tx>
          <c:xVal>
            <c:numRef>
              <c:f>'[S3-Flat_vs_Separate.xlsx]Sheet1'!$A$2:$A$101</c:f>
              <c:numCache>
                <c:formatCode>General</c:formatCode>
                <c:ptCount val="100"/>
                <c:pt idx="0">
                  <c:v>50.0</c:v>
                </c:pt>
                <c:pt idx="1">
                  <c:v>100.0</c:v>
                </c:pt>
                <c:pt idx="2">
                  <c:v>150.0</c:v>
                </c:pt>
                <c:pt idx="3">
                  <c:v>200.0</c:v>
                </c:pt>
                <c:pt idx="4">
                  <c:v>250.0</c:v>
                </c:pt>
                <c:pt idx="5">
                  <c:v>300.0</c:v>
                </c:pt>
                <c:pt idx="6">
                  <c:v>350.0</c:v>
                </c:pt>
                <c:pt idx="7">
                  <c:v>400.0</c:v>
                </c:pt>
                <c:pt idx="8">
                  <c:v>450.0</c:v>
                </c:pt>
                <c:pt idx="9">
                  <c:v>500.0</c:v>
                </c:pt>
                <c:pt idx="10">
                  <c:v>550.0</c:v>
                </c:pt>
                <c:pt idx="11">
                  <c:v>600.0</c:v>
                </c:pt>
                <c:pt idx="12">
                  <c:v>650.0</c:v>
                </c:pt>
                <c:pt idx="13">
                  <c:v>700.0</c:v>
                </c:pt>
                <c:pt idx="14">
                  <c:v>750.0</c:v>
                </c:pt>
                <c:pt idx="15">
                  <c:v>800.0</c:v>
                </c:pt>
                <c:pt idx="16">
                  <c:v>850.0</c:v>
                </c:pt>
                <c:pt idx="17">
                  <c:v>900.0</c:v>
                </c:pt>
                <c:pt idx="18">
                  <c:v>950.0</c:v>
                </c:pt>
                <c:pt idx="19">
                  <c:v>1000.0</c:v>
                </c:pt>
                <c:pt idx="20">
                  <c:v>1050.0</c:v>
                </c:pt>
                <c:pt idx="21">
                  <c:v>1100.0</c:v>
                </c:pt>
                <c:pt idx="22">
                  <c:v>1150.0</c:v>
                </c:pt>
                <c:pt idx="23">
                  <c:v>1200.0</c:v>
                </c:pt>
                <c:pt idx="24">
                  <c:v>1250.0</c:v>
                </c:pt>
                <c:pt idx="25">
                  <c:v>1300.0</c:v>
                </c:pt>
                <c:pt idx="26">
                  <c:v>1350.0</c:v>
                </c:pt>
                <c:pt idx="27">
                  <c:v>1400.0</c:v>
                </c:pt>
                <c:pt idx="28">
                  <c:v>1450.0</c:v>
                </c:pt>
                <c:pt idx="29">
                  <c:v>1500.0</c:v>
                </c:pt>
                <c:pt idx="30">
                  <c:v>1550.0</c:v>
                </c:pt>
                <c:pt idx="31">
                  <c:v>1600.0</c:v>
                </c:pt>
                <c:pt idx="32">
                  <c:v>1650.0</c:v>
                </c:pt>
                <c:pt idx="33">
                  <c:v>1700.0</c:v>
                </c:pt>
                <c:pt idx="34">
                  <c:v>1750.0</c:v>
                </c:pt>
                <c:pt idx="35">
                  <c:v>1800.0</c:v>
                </c:pt>
                <c:pt idx="36">
                  <c:v>1850.0</c:v>
                </c:pt>
                <c:pt idx="37">
                  <c:v>1900.0</c:v>
                </c:pt>
                <c:pt idx="38">
                  <c:v>1950.0</c:v>
                </c:pt>
                <c:pt idx="39">
                  <c:v>2000.0</c:v>
                </c:pt>
                <c:pt idx="40">
                  <c:v>2050.0</c:v>
                </c:pt>
                <c:pt idx="41">
                  <c:v>2100.0</c:v>
                </c:pt>
                <c:pt idx="42">
                  <c:v>2150.0</c:v>
                </c:pt>
                <c:pt idx="43">
                  <c:v>2200.0</c:v>
                </c:pt>
                <c:pt idx="44">
                  <c:v>2250.0</c:v>
                </c:pt>
                <c:pt idx="45">
                  <c:v>2300.0</c:v>
                </c:pt>
                <c:pt idx="46">
                  <c:v>2350.0</c:v>
                </c:pt>
                <c:pt idx="47">
                  <c:v>2400.0</c:v>
                </c:pt>
                <c:pt idx="48">
                  <c:v>2450.0</c:v>
                </c:pt>
                <c:pt idx="49">
                  <c:v>2500.0</c:v>
                </c:pt>
                <c:pt idx="50">
                  <c:v>2550.0</c:v>
                </c:pt>
                <c:pt idx="51">
                  <c:v>2600.0</c:v>
                </c:pt>
                <c:pt idx="52">
                  <c:v>2650.0</c:v>
                </c:pt>
                <c:pt idx="53">
                  <c:v>2700.0</c:v>
                </c:pt>
                <c:pt idx="54">
                  <c:v>2750.0</c:v>
                </c:pt>
                <c:pt idx="55">
                  <c:v>2800.0</c:v>
                </c:pt>
                <c:pt idx="56">
                  <c:v>2850.0</c:v>
                </c:pt>
                <c:pt idx="57">
                  <c:v>2900.0</c:v>
                </c:pt>
                <c:pt idx="58">
                  <c:v>2950.0</c:v>
                </c:pt>
                <c:pt idx="59">
                  <c:v>3000.0</c:v>
                </c:pt>
                <c:pt idx="60">
                  <c:v>3050.0</c:v>
                </c:pt>
                <c:pt idx="61">
                  <c:v>3100.0</c:v>
                </c:pt>
                <c:pt idx="62">
                  <c:v>3150.0</c:v>
                </c:pt>
                <c:pt idx="63">
                  <c:v>3200.0</c:v>
                </c:pt>
                <c:pt idx="64">
                  <c:v>3250.0</c:v>
                </c:pt>
                <c:pt idx="65">
                  <c:v>3300.0</c:v>
                </c:pt>
                <c:pt idx="66">
                  <c:v>3350.0</c:v>
                </c:pt>
                <c:pt idx="67">
                  <c:v>3400.0</c:v>
                </c:pt>
                <c:pt idx="68">
                  <c:v>3450.0</c:v>
                </c:pt>
                <c:pt idx="69">
                  <c:v>3500.0</c:v>
                </c:pt>
                <c:pt idx="70">
                  <c:v>3550.0</c:v>
                </c:pt>
                <c:pt idx="71">
                  <c:v>3600.0</c:v>
                </c:pt>
                <c:pt idx="72">
                  <c:v>3650.0</c:v>
                </c:pt>
                <c:pt idx="73">
                  <c:v>3700.0</c:v>
                </c:pt>
                <c:pt idx="74">
                  <c:v>3750.0</c:v>
                </c:pt>
                <c:pt idx="75">
                  <c:v>3800.0</c:v>
                </c:pt>
                <c:pt idx="76">
                  <c:v>3850.0</c:v>
                </c:pt>
                <c:pt idx="77">
                  <c:v>3900.0</c:v>
                </c:pt>
                <c:pt idx="78">
                  <c:v>3950.0</c:v>
                </c:pt>
                <c:pt idx="79">
                  <c:v>4000.0</c:v>
                </c:pt>
                <c:pt idx="80">
                  <c:v>4050.0</c:v>
                </c:pt>
                <c:pt idx="81">
                  <c:v>4100.0</c:v>
                </c:pt>
                <c:pt idx="82">
                  <c:v>4150.0</c:v>
                </c:pt>
                <c:pt idx="83">
                  <c:v>4200.0</c:v>
                </c:pt>
                <c:pt idx="84">
                  <c:v>4250.0</c:v>
                </c:pt>
                <c:pt idx="85">
                  <c:v>4300.0</c:v>
                </c:pt>
                <c:pt idx="86">
                  <c:v>4350.0</c:v>
                </c:pt>
                <c:pt idx="87">
                  <c:v>4400.0</c:v>
                </c:pt>
                <c:pt idx="88">
                  <c:v>4450.0</c:v>
                </c:pt>
                <c:pt idx="89">
                  <c:v>4500.0</c:v>
                </c:pt>
                <c:pt idx="90">
                  <c:v>4550.0</c:v>
                </c:pt>
                <c:pt idx="91">
                  <c:v>4600.0</c:v>
                </c:pt>
                <c:pt idx="92">
                  <c:v>4650.0</c:v>
                </c:pt>
                <c:pt idx="93">
                  <c:v>4700.0</c:v>
                </c:pt>
                <c:pt idx="94">
                  <c:v>4750.0</c:v>
                </c:pt>
                <c:pt idx="95">
                  <c:v>4800.0</c:v>
                </c:pt>
                <c:pt idx="96">
                  <c:v>4850.0</c:v>
                </c:pt>
                <c:pt idx="97">
                  <c:v>4900.0</c:v>
                </c:pt>
                <c:pt idx="98">
                  <c:v>4950.0</c:v>
                </c:pt>
                <c:pt idx="99">
                  <c:v>5000.0</c:v>
                </c:pt>
              </c:numCache>
            </c:numRef>
          </c:xVal>
          <c:yVal>
            <c:numRef>
              <c:f>'[S3-Flat_vs_Separate.xlsx]Sheet1'!$B$2:$B$101</c:f>
              <c:numCache>
                <c:formatCode>General</c:formatCode>
                <c:ptCount val="100"/>
                <c:pt idx="0">
                  <c:v>0.0582314733018357</c:v>
                </c:pt>
                <c:pt idx="1">
                  <c:v>0.0553463599133844</c:v>
                </c:pt>
                <c:pt idx="2">
                  <c:v>0.0537820823061113</c:v>
                </c:pt>
                <c:pt idx="3">
                  <c:v>0.0530530371884988</c:v>
                </c:pt>
                <c:pt idx="4">
                  <c:v>0.0518464638417126</c:v>
                </c:pt>
                <c:pt idx="5">
                  <c:v>0.0515760140761291</c:v>
                </c:pt>
                <c:pt idx="6">
                  <c:v>0.0507748664368087</c:v>
                </c:pt>
                <c:pt idx="7">
                  <c:v>0.0501202357992844</c:v>
                </c:pt>
                <c:pt idx="8">
                  <c:v>0.049493917963426</c:v>
                </c:pt>
                <c:pt idx="9">
                  <c:v>0.0489558481689295</c:v>
                </c:pt>
                <c:pt idx="10">
                  <c:v>0.0486110867829683</c:v>
                </c:pt>
                <c:pt idx="11">
                  <c:v>0.0485512248786521</c:v>
                </c:pt>
                <c:pt idx="12">
                  <c:v>0.0482086407181848</c:v>
                </c:pt>
                <c:pt idx="13">
                  <c:v>0.0478951837629646</c:v>
                </c:pt>
                <c:pt idx="14">
                  <c:v>0.0475832193471865</c:v>
                </c:pt>
                <c:pt idx="15">
                  <c:v>0.0472304153601445</c:v>
                </c:pt>
                <c:pt idx="16">
                  <c:v>0.0468891231369699</c:v>
                </c:pt>
                <c:pt idx="17">
                  <c:v>0.0466834086837385</c:v>
                </c:pt>
                <c:pt idx="18">
                  <c:v>0.0464167333882782</c:v>
                </c:pt>
                <c:pt idx="19">
                  <c:v>0.0461887368408767</c:v>
                </c:pt>
                <c:pt idx="20">
                  <c:v>0.0460149864555825</c:v>
                </c:pt>
                <c:pt idx="21">
                  <c:v>0.045805188072838</c:v>
                </c:pt>
                <c:pt idx="22">
                  <c:v>0.0456979809815841</c:v>
                </c:pt>
                <c:pt idx="23">
                  <c:v>0.0455352955090324</c:v>
                </c:pt>
                <c:pt idx="24">
                  <c:v>0.0454515728091446</c:v>
                </c:pt>
                <c:pt idx="25">
                  <c:v>0.0454354340736854</c:v>
                </c:pt>
                <c:pt idx="26">
                  <c:v>0.0453162606952961</c:v>
                </c:pt>
                <c:pt idx="27">
                  <c:v>0.0451976412172277</c:v>
                </c:pt>
                <c:pt idx="28">
                  <c:v>0.0451370381947249</c:v>
                </c:pt>
                <c:pt idx="29">
                  <c:v>0.0450282972996829</c:v>
                </c:pt>
                <c:pt idx="30">
                  <c:v>0.0448927042098445</c:v>
                </c:pt>
                <c:pt idx="31">
                  <c:v>0.044793951585622</c:v>
                </c:pt>
                <c:pt idx="32">
                  <c:v>0.0447206306775268</c:v>
                </c:pt>
                <c:pt idx="33">
                  <c:v>0.0446816664648555</c:v>
                </c:pt>
                <c:pt idx="34">
                  <c:v>0.0445628794812497</c:v>
                </c:pt>
                <c:pt idx="35">
                  <c:v>0.0445256573023131</c:v>
                </c:pt>
                <c:pt idx="36">
                  <c:v>0.0444051334229769</c:v>
                </c:pt>
                <c:pt idx="37">
                  <c:v>0.0442407426763962</c:v>
                </c:pt>
                <c:pt idx="38">
                  <c:v>0.0441962529371137</c:v>
                </c:pt>
                <c:pt idx="39">
                  <c:v>0.0441118157560283</c:v>
                </c:pt>
                <c:pt idx="40">
                  <c:v>0.0440974848420093</c:v>
                </c:pt>
                <c:pt idx="41">
                  <c:v>0.0439987549763519</c:v>
                </c:pt>
                <c:pt idx="42">
                  <c:v>0.0439105795079686</c:v>
                </c:pt>
                <c:pt idx="43">
                  <c:v>0.0438884470844746</c:v>
                </c:pt>
                <c:pt idx="44">
                  <c:v>0.0438192879913173</c:v>
                </c:pt>
                <c:pt idx="45">
                  <c:v>0.0437810918028637</c:v>
                </c:pt>
                <c:pt idx="46">
                  <c:v>0.0437067789502181</c:v>
                </c:pt>
                <c:pt idx="47">
                  <c:v>0.0436939029956871</c:v>
                </c:pt>
                <c:pt idx="48">
                  <c:v>0.043645617787924</c:v>
                </c:pt>
                <c:pt idx="49">
                  <c:v>0.0436116419398515</c:v>
                </c:pt>
                <c:pt idx="50">
                  <c:v>0.0435763362387391</c:v>
                </c:pt>
                <c:pt idx="51">
                  <c:v>0.0435730843392468</c:v>
                </c:pt>
                <c:pt idx="52">
                  <c:v>0.043520686564146</c:v>
                </c:pt>
                <c:pt idx="53">
                  <c:v>0.0434941224961015</c:v>
                </c:pt>
                <c:pt idx="54">
                  <c:v>0.043466209948359</c:v>
                </c:pt>
                <c:pt idx="55">
                  <c:v>0.0434186965440549</c:v>
                </c:pt>
                <c:pt idx="56">
                  <c:v>0.0433611669955034</c:v>
                </c:pt>
                <c:pt idx="57">
                  <c:v>0.0433182471072853</c:v>
                </c:pt>
                <c:pt idx="58">
                  <c:v>0.0432563113565218</c:v>
                </c:pt>
                <c:pt idx="59">
                  <c:v>0.0431998649262209</c:v>
                </c:pt>
                <c:pt idx="60">
                  <c:v>0.0431829252032175</c:v>
                </c:pt>
                <c:pt idx="61">
                  <c:v>0.043158120382533</c:v>
                </c:pt>
                <c:pt idx="62">
                  <c:v>0.0431013304706037</c:v>
                </c:pt>
                <c:pt idx="63">
                  <c:v>0.0430542869910288</c:v>
                </c:pt>
                <c:pt idx="64">
                  <c:v>0.0430238447961471</c:v>
                </c:pt>
                <c:pt idx="65">
                  <c:v>0.0429836228458289</c:v>
                </c:pt>
                <c:pt idx="66">
                  <c:v>0.0429499477063415</c:v>
                </c:pt>
                <c:pt idx="67">
                  <c:v>0.0429252224093647</c:v>
                </c:pt>
                <c:pt idx="68">
                  <c:v>0.0429208287973104</c:v>
                </c:pt>
                <c:pt idx="69">
                  <c:v>0.0428692209448108</c:v>
                </c:pt>
                <c:pt idx="70">
                  <c:v>0.0428560036785638</c:v>
                </c:pt>
                <c:pt idx="71">
                  <c:v>0.0428338100557463</c:v>
                </c:pt>
                <c:pt idx="72">
                  <c:v>0.042843051268478</c:v>
                </c:pt>
                <c:pt idx="73">
                  <c:v>0.0428528248915689</c:v>
                </c:pt>
                <c:pt idx="74">
                  <c:v>0.0427790891566909</c:v>
                </c:pt>
                <c:pt idx="75">
                  <c:v>0.0427485534922879</c:v>
                </c:pt>
                <c:pt idx="76">
                  <c:v>0.0427459826485041</c:v>
                </c:pt>
                <c:pt idx="77">
                  <c:v>0.042679325093575</c:v>
                </c:pt>
                <c:pt idx="78">
                  <c:v>0.0426690134532419</c:v>
                </c:pt>
                <c:pt idx="79">
                  <c:v>0.0426548694073909</c:v>
                </c:pt>
                <c:pt idx="80">
                  <c:v>0.0426381554341397</c:v>
                </c:pt>
                <c:pt idx="81">
                  <c:v>0.0426043749804852</c:v>
                </c:pt>
                <c:pt idx="82">
                  <c:v>0.0425790577041965</c:v>
                </c:pt>
                <c:pt idx="83">
                  <c:v>0.0425250560157723</c:v>
                </c:pt>
                <c:pt idx="84">
                  <c:v>0.0424866534115379</c:v>
                </c:pt>
                <c:pt idx="85">
                  <c:v>0.0424286903233094</c:v>
                </c:pt>
                <c:pt idx="86">
                  <c:v>0.0424485652017672</c:v>
                </c:pt>
                <c:pt idx="87">
                  <c:v>0.0424213711602558</c:v>
                </c:pt>
                <c:pt idx="88">
                  <c:v>0.0424078928861194</c:v>
                </c:pt>
                <c:pt idx="89">
                  <c:v>0.0423627140387045</c:v>
                </c:pt>
                <c:pt idx="90">
                  <c:v>0.0423225196935516</c:v>
                </c:pt>
                <c:pt idx="91">
                  <c:v>0.0423222965831718</c:v>
                </c:pt>
                <c:pt idx="92">
                  <c:v>0.0422703339453901</c:v>
                </c:pt>
                <c:pt idx="93">
                  <c:v>0.0422512194222665</c:v>
                </c:pt>
                <c:pt idx="94">
                  <c:v>0.0422495484475512</c:v>
                </c:pt>
                <c:pt idx="95">
                  <c:v>0.0422278976383547</c:v>
                </c:pt>
                <c:pt idx="96">
                  <c:v>0.0421774718327893</c:v>
                </c:pt>
                <c:pt idx="97">
                  <c:v>0.0421389807941797</c:v>
                </c:pt>
                <c:pt idx="98">
                  <c:v>0.0420638737142763</c:v>
                </c:pt>
                <c:pt idx="99">
                  <c:v>0.0420673319599471</c:v>
                </c:pt>
              </c:numCache>
            </c:numRef>
          </c:yVal>
          <c:smooth val="1"/>
        </c:ser>
        <c:ser>
          <c:idx val="1"/>
          <c:order val="1"/>
          <c:tx>
            <c:strRef>
              <c:f>'[S3-Flat_vs_Separate.xlsx]Sheet1'!$C$1</c:f>
              <c:strCache>
                <c:ptCount val="1"/>
                <c:pt idx="0">
                  <c:v>Ratio of Averages (Outgroup)</c:v>
                </c:pt>
              </c:strCache>
            </c:strRef>
          </c:tx>
          <c:xVal>
            <c:numRef>
              <c:f>'[S3-Flat_vs_Separate.xlsx]Sheet1'!$A$2:$A$101</c:f>
              <c:numCache>
                <c:formatCode>General</c:formatCode>
                <c:ptCount val="100"/>
                <c:pt idx="0">
                  <c:v>50.0</c:v>
                </c:pt>
                <c:pt idx="1">
                  <c:v>100.0</c:v>
                </c:pt>
                <c:pt idx="2">
                  <c:v>150.0</c:v>
                </c:pt>
                <c:pt idx="3">
                  <c:v>200.0</c:v>
                </c:pt>
                <c:pt idx="4">
                  <c:v>250.0</c:v>
                </c:pt>
                <c:pt idx="5">
                  <c:v>300.0</c:v>
                </c:pt>
                <c:pt idx="6">
                  <c:v>350.0</c:v>
                </c:pt>
                <c:pt idx="7">
                  <c:v>400.0</c:v>
                </c:pt>
                <c:pt idx="8">
                  <c:v>450.0</c:v>
                </c:pt>
                <c:pt idx="9">
                  <c:v>500.0</c:v>
                </c:pt>
                <c:pt idx="10">
                  <c:v>550.0</c:v>
                </c:pt>
                <c:pt idx="11">
                  <c:v>600.0</c:v>
                </c:pt>
                <c:pt idx="12">
                  <c:v>650.0</c:v>
                </c:pt>
                <c:pt idx="13">
                  <c:v>700.0</c:v>
                </c:pt>
                <c:pt idx="14">
                  <c:v>750.0</c:v>
                </c:pt>
                <c:pt idx="15">
                  <c:v>800.0</c:v>
                </c:pt>
                <c:pt idx="16">
                  <c:v>850.0</c:v>
                </c:pt>
                <c:pt idx="17">
                  <c:v>900.0</c:v>
                </c:pt>
                <c:pt idx="18">
                  <c:v>950.0</c:v>
                </c:pt>
                <c:pt idx="19">
                  <c:v>1000.0</c:v>
                </c:pt>
                <c:pt idx="20">
                  <c:v>1050.0</c:v>
                </c:pt>
                <c:pt idx="21">
                  <c:v>1100.0</c:v>
                </c:pt>
                <c:pt idx="22">
                  <c:v>1150.0</c:v>
                </c:pt>
                <c:pt idx="23">
                  <c:v>1200.0</c:v>
                </c:pt>
                <c:pt idx="24">
                  <c:v>1250.0</c:v>
                </c:pt>
                <c:pt idx="25">
                  <c:v>1300.0</c:v>
                </c:pt>
                <c:pt idx="26">
                  <c:v>1350.0</c:v>
                </c:pt>
                <c:pt idx="27">
                  <c:v>1400.0</c:v>
                </c:pt>
                <c:pt idx="28">
                  <c:v>1450.0</c:v>
                </c:pt>
                <c:pt idx="29">
                  <c:v>1500.0</c:v>
                </c:pt>
                <c:pt idx="30">
                  <c:v>1550.0</c:v>
                </c:pt>
                <c:pt idx="31">
                  <c:v>1600.0</c:v>
                </c:pt>
                <c:pt idx="32">
                  <c:v>1650.0</c:v>
                </c:pt>
                <c:pt idx="33">
                  <c:v>1700.0</c:v>
                </c:pt>
                <c:pt idx="34">
                  <c:v>1750.0</c:v>
                </c:pt>
                <c:pt idx="35">
                  <c:v>1800.0</c:v>
                </c:pt>
                <c:pt idx="36">
                  <c:v>1850.0</c:v>
                </c:pt>
                <c:pt idx="37">
                  <c:v>1900.0</c:v>
                </c:pt>
                <c:pt idx="38">
                  <c:v>1950.0</c:v>
                </c:pt>
                <c:pt idx="39">
                  <c:v>2000.0</c:v>
                </c:pt>
                <c:pt idx="40">
                  <c:v>2050.0</c:v>
                </c:pt>
                <c:pt idx="41">
                  <c:v>2100.0</c:v>
                </c:pt>
                <c:pt idx="42">
                  <c:v>2150.0</c:v>
                </c:pt>
                <c:pt idx="43">
                  <c:v>2200.0</c:v>
                </c:pt>
                <c:pt idx="44">
                  <c:v>2250.0</c:v>
                </c:pt>
                <c:pt idx="45">
                  <c:v>2300.0</c:v>
                </c:pt>
                <c:pt idx="46">
                  <c:v>2350.0</c:v>
                </c:pt>
                <c:pt idx="47">
                  <c:v>2400.0</c:v>
                </c:pt>
                <c:pt idx="48">
                  <c:v>2450.0</c:v>
                </c:pt>
                <c:pt idx="49">
                  <c:v>2500.0</c:v>
                </c:pt>
                <c:pt idx="50">
                  <c:v>2550.0</c:v>
                </c:pt>
                <c:pt idx="51">
                  <c:v>2600.0</c:v>
                </c:pt>
                <c:pt idx="52">
                  <c:v>2650.0</c:v>
                </c:pt>
                <c:pt idx="53">
                  <c:v>2700.0</c:v>
                </c:pt>
                <c:pt idx="54">
                  <c:v>2750.0</c:v>
                </c:pt>
                <c:pt idx="55">
                  <c:v>2800.0</c:v>
                </c:pt>
                <c:pt idx="56">
                  <c:v>2850.0</c:v>
                </c:pt>
                <c:pt idx="57">
                  <c:v>2900.0</c:v>
                </c:pt>
                <c:pt idx="58">
                  <c:v>2950.0</c:v>
                </c:pt>
                <c:pt idx="59">
                  <c:v>3000.0</c:v>
                </c:pt>
                <c:pt idx="60">
                  <c:v>3050.0</c:v>
                </c:pt>
                <c:pt idx="61">
                  <c:v>3100.0</c:v>
                </c:pt>
                <c:pt idx="62">
                  <c:v>3150.0</c:v>
                </c:pt>
                <c:pt idx="63">
                  <c:v>3200.0</c:v>
                </c:pt>
                <c:pt idx="64">
                  <c:v>3250.0</c:v>
                </c:pt>
                <c:pt idx="65">
                  <c:v>3300.0</c:v>
                </c:pt>
                <c:pt idx="66">
                  <c:v>3350.0</c:v>
                </c:pt>
                <c:pt idx="67">
                  <c:v>3400.0</c:v>
                </c:pt>
                <c:pt idx="68">
                  <c:v>3450.0</c:v>
                </c:pt>
                <c:pt idx="69">
                  <c:v>3500.0</c:v>
                </c:pt>
                <c:pt idx="70">
                  <c:v>3550.0</c:v>
                </c:pt>
                <c:pt idx="71">
                  <c:v>3600.0</c:v>
                </c:pt>
                <c:pt idx="72">
                  <c:v>3650.0</c:v>
                </c:pt>
                <c:pt idx="73">
                  <c:v>3700.0</c:v>
                </c:pt>
                <c:pt idx="74">
                  <c:v>3750.0</c:v>
                </c:pt>
                <c:pt idx="75">
                  <c:v>3800.0</c:v>
                </c:pt>
                <c:pt idx="76">
                  <c:v>3850.0</c:v>
                </c:pt>
                <c:pt idx="77">
                  <c:v>3900.0</c:v>
                </c:pt>
                <c:pt idx="78">
                  <c:v>3950.0</c:v>
                </c:pt>
                <c:pt idx="79">
                  <c:v>4000.0</c:v>
                </c:pt>
                <c:pt idx="80">
                  <c:v>4050.0</c:v>
                </c:pt>
                <c:pt idx="81">
                  <c:v>4100.0</c:v>
                </c:pt>
                <c:pt idx="82">
                  <c:v>4150.0</c:v>
                </c:pt>
                <c:pt idx="83">
                  <c:v>4200.0</c:v>
                </c:pt>
                <c:pt idx="84">
                  <c:v>4250.0</c:v>
                </c:pt>
                <c:pt idx="85">
                  <c:v>4300.0</c:v>
                </c:pt>
                <c:pt idx="86">
                  <c:v>4350.0</c:v>
                </c:pt>
                <c:pt idx="87">
                  <c:v>4400.0</c:v>
                </c:pt>
                <c:pt idx="88">
                  <c:v>4450.0</c:v>
                </c:pt>
                <c:pt idx="89">
                  <c:v>4500.0</c:v>
                </c:pt>
                <c:pt idx="90">
                  <c:v>4550.0</c:v>
                </c:pt>
                <c:pt idx="91">
                  <c:v>4600.0</c:v>
                </c:pt>
                <c:pt idx="92">
                  <c:v>4650.0</c:v>
                </c:pt>
                <c:pt idx="93">
                  <c:v>4700.0</c:v>
                </c:pt>
                <c:pt idx="94">
                  <c:v>4750.0</c:v>
                </c:pt>
                <c:pt idx="95">
                  <c:v>4800.0</c:v>
                </c:pt>
                <c:pt idx="96">
                  <c:v>4850.0</c:v>
                </c:pt>
                <c:pt idx="97">
                  <c:v>4900.0</c:v>
                </c:pt>
                <c:pt idx="98">
                  <c:v>4950.0</c:v>
                </c:pt>
                <c:pt idx="99">
                  <c:v>5000.0</c:v>
                </c:pt>
              </c:numCache>
            </c:numRef>
          </c:xVal>
          <c:yVal>
            <c:numRef>
              <c:f>'[S3-Flat_vs_Separate.xlsx]Sheet1'!$C$2:$C$101</c:f>
              <c:numCache>
                <c:formatCode>General</c:formatCode>
                <c:ptCount val="100"/>
                <c:pt idx="0">
                  <c:v>0.0991374742520353</c:v>
                </c:pt>
                <c:pt idx="1">
                  <c:v>0.0983553721074503</c:v>
                </c:pt>
                <c:pt idx="2">
                  <c:v>0.0996451961190486</c:v>
                </c:pt>
                <c:pt idx="3">
                  <c:v>0.100450465957962</c:v>
                </c:pt>
                <c:pt idx="4">
                  <c:v>0.100232144416359</c:v>
                </c:pt>
                <c:pt idx="5">
                  <c:v>0.101416913702102</c:v>
                </c:pt>
                <c:pt idx="6">
                  <c:v>0.101550499827594</c:v>
                </c:pt>
                <c:pt idx="7">
                  <c:v>0.101101644707499</c:v>
                </c:pt>
                <c:pt idx="8">
                  <c:v>0.101057666821643</c:v>
                </c:pt>
                <c:pt idx="9">
                  <c:v>0.101477564887179</c:v>
                </c:pt>
                <c:pt idx="10">
                  <c:v>0.101434948536935</c:v>
                </c:pt>
                <c:pt idx="11">
                  <c:v>0.101685782270105</c:v>
                </c:pt>
                <c:pt idx="12">
                  <c:v>0.101422429243942</c:v>
                </c:pt>
                <c:pt idx="13">
                  <c:v>0.101086831326775</c:v>
                </c:pt>
                <c:pt idx="14">
                  <c:v>0.101177447598728</c:v>
                </c:pt>
                <c:pt idx="15">
                  <c:v>0.101102736670716</c:v>
                </c:pt>
                <c:pt idx="16">
                  <c:v>0.101377895486343</c:v>
                </c:pt>
                <c:pt idx="17">
                  <c:v>0.101050233327366</c:v>
                </c:pt>
                <c:pt idx="18">
                  <c:v>0.100748121082525</c:v>
                </c:pt>
                <c:pt idx="19">
                  <c:v>0.100832412349135</c:v>
                </c:pt>
                <c:pt idx="20">
                  <c:v>0.100842238395098</c:v>
                </c:pt>
                <c:pt idx="21">
                  <c:v>0.100742028105067</c:v>
                </c:pt>
                <c:pt idx="22">
                  <c:v>0.100779068651976</c:v>
                </c:pt>
                <c:pt idx="23">
                  <c:v>0.10083353678334</c:v>
                </c:pt>
                <c:pt idx="24">
                  <c:v>0.100757904435953</c:v>
                </c:pt>
                <c:pt idx="25">
                  <c:v>0.100806063860515</c:v>
                </c:pt>
                <c:pt idx="26">
                  <c:v>0.100682590163673</c:v>
                </c:pt>
                <c:pt idx="27">
                  <c:v>0.100552603828886</c:v>
                </c:pt>
                <c:pt idx="28">
                  <c:v>0.10036609750417</c:v>
                </c:pt>
                <c:pt idx="29">
                  <c:v>0.100576531078396</c:v>
                </c:pt>
                <c:pt idx="30">
                  <c:v>0.100610739161481</c:v>
                </c:pt>
                <c:pt idx="31">
                  <c:v>0.100461294711867</c:v>
                </c:pt>
                <c:pt idx="32">
                  <c:v>0.100450058599838</c:v>
                </c:pt>
                <c:pt idx="33">
                  <c:v>0.100343631629313</c:v>
                </c:pt>
                <c:pt idx="34">
                  <c:v>0.100193712467545</c:v>
                </c:pt>
                <c:pt idx="35">
                  <c:v>0.100251170492921</c:v>
                </c:pt>
                <c:pt idx="36">
                  <c:v>0.10026372078299</c:v>
                </c:pt>
                <c:pt idx="37">
                  <c:v>0.10020742224895</c:v>
                </c:pt>
                <c:pt idx="38">
                  <c:v>0.100278570447447</c:v>
                </c:pt>
                <c:pt idx="39">
                  <c:v>0.100214138983341</c:v>
                </c:pt>
                <c:pt idx="40">
                  <c:v>0.100162896816088</c:v>
                </c:pt>
                <c:pt idx="41">
                  <c:v>0.100086296091394</c:v>
                </c:pt>
                <c:pt idx="42">
                  <c:v>0.100053787050978</c:v>
                </c:pt>
                <c:pt idx="43">
                  <c:v>0.100058169454044</c:v>
                </c:pt>
                <c:pt idx="44">
                  <c:v>0.100049102243334</c:v>
                </c:pt>
                <c:pt idx="45">
                  <c:v>0.100018582219194</c:v>
                </c:pt>
                <c:pt idx="46">
                  <c:v>0.100067095659594</c:v>
                </c:pt>
                <c:pt idx="47">
                  <c:v>0.100088643680401</c:v>
                </c:pt>
                <c:pt idx="48">
                  <c:v>0.100016946164202</c:v>
                </c:pt>
                <c:pt idx="49">
                  <c:v>0.100063428660839</c:v>
                </c:pt>
                <c:pt idx="50">
                  <c:v>0.100059725537514</c:v>
                </c:pt>
                <c:pt idx="51">
                  <c:v>0.100053097724245</c:v>
                </c:pt>
                <c:pt idx="52">
                  <c:v>0.100035747548991</c:v>
                </c:pt>
                <c:pt idx="53">
                  <c:v>0.100027181210804</c:v>
                </c:pt>
                <c:pt idx="54">
                  <c:v>0.0999947215104599</c:v>
                </c:pt>
                <c:pt idx="55">
                  <c:v>0.100026809795153</c:v>
                </c:pt>
                <c:pt idx="56">
                  <c:v>0.100029285873017</c:v>
                </c:pt>
                <c:pt idx="57">
                  <c:v>0.100049033490392</c:v>
                </c:pt>
                <c:pt idx="58">
                  <c:v>0.100096538152087</c:v>
                </c:pt>
                <c:pt idx="59">
                  <c:v>0.100140786931575</c:v>
                </c:pt>
                <c:pt idx="60">
                  <c:v>0.100138147553264</c:v>
                </c:pt>
                <c:pt idx="61">
                  <c:v>0.100134214475173</c:v>
                </c:pt>
                <c:pt idx="62">
                  <c:v>0.10012575242295</c:v>
                </c:pt>
                <c:pt idx="63">
                  <c:v>0.100159535679107</c:v>
                </c:pt>
                <c:pt idx="64">
                  <c:v>0.100198865766299</c:v>
                </c:pt>
                <c:pt idx="65">
                  <c:v>0.100223271107219</c:v>
                </c:pt>
                <c:pt idx="66">
                  <c:v>0.100172524167757</c:v>
                </c:pt>
                <c:pt idx="67">
                  <c:v>0.100206423765872</c:v>
                </c:pt>
                <c:pt idx="68">
                  <c:v>0.100177144821434</c:v>
                </c:pt>
                <c:pt idx="69">
                  <c:v>0.100107102599058</c:v>
                </c:pt>
                <c:pt idx="70">
                  <c:v>0.100110075131648</c:v>
                </c:pt>
                <c:pt idx="71">
                  <c:v>0.100099589072211</c:v>
                </c:pt>
                <c:pt idx="72">
                  <c:v>0.100132419742922</c:v>
                </c:pt>
                <c:pt idx="73">
                  <c:v>0.10016159042628</c:v>
                </c:pt>
                <c:pt idx="74">
                  <c:v>0.100088284969458</c:v>
                </c:pt>
                <c:pt idx="75">
                  <c:v>0.100165949969015</c:v>
                </c:pt>
                <c:pt idx="76">
                  <c:v>0.100128954374587</c:v>
                </c:pt>
                <c:pt idx="77">
                  <c:v>0.100128734417431</c:v>
                </c:pt>
                <c:pt idx="78">
                  <c:v>0.100197052716057</c:v>
                </c:pt>
                <c:pt idx="79">
                  <c:v>0.100223682295319</c:v>
                </c:pt>
                <c:pt idx="80">
                  <c:v>0.100160173463705</c:v>
                </c:pt>
                <c:pt idx="81">
                  <c:v>0.100156626461125</c:v>
                </c:pt>
                <c:pt idx="82">
                  <c:v>0.100122711430329</c:v>
                </c:pt>
                <c:pt idx="83">
                  <c:v>0.100133632955831</c:v>
                </c:pt>
                <c:pt idx="84">
                  <c:v>0.100152069933073</c:v>
                </c:pt>
                <c:pt idx="85">
                  <c:v>0.100087875933249</c:v>
                </c:pt>
                <c:pt idx="86">
                  <c:v>0.100146614969889</c:v>
                </c:pt>
                <c:pt idx="87">
                  <c:v>0.100135426475259</c:v>
                </c:pt>
                <c:pt idx="88">
                  <c:v>0.100126812767727</c:v>
                </c:pt>
                <c:pt idx="89">
                  <c:v>0.100108869710011</c:v>
                </c:pt>
                <c:pt idx="90">
                  <c:v>0.100120237872881</c:v>
                </c:pt>
                <c:pt idx="91">
                  <c:v>0.100179213495691</c:v>
                </c:pt>
                <c:pt idx="92">
                  <c:v>0.100203057753859</c:v>
                </c:pt>
                <c:pt idx="93">
                  <c:v>0.100199345426842</c:v>
                </c:pt>
                <c:pt idx="94">
                  <c:v>0.100174006089087</c:v>
                </c:pt>
                <c:pt idx="95">
                  <c:v>0.10012277178676</c:v>
                </c:pt>
                <c:pt idx="96">
                  <c:v>0.100064369492449</c:v>
                </c:pt>
                <c:pt idx="97">
                  <c:v>0.100069923845477</c:v>
                </c:pt>
                <c:pt idx="98">
                  <c:v>0.100064804455564</c:v>
                </c:pt>
                <c:pt idx="99">
                  <c:v>0.100072577110232</c:v>
                </c:pt>
              </c:numCache>
            </c:numRef>
          </c:yVal>
          <c:smooth val="1"/>
        </c:ser>
        <c:ser>
          <c:idx val="2"/>
          <c:order val="2"/>
          <c:tx>
            <c:strRef>
              <c:f>'[S3-Flat_vs_Separate.xlsx]Sheet1'!$D$1</c:f>
              <c:strCache>
                <c:ptCount val="1"/>
                <c:pt idx="0">
                  <c:v>Average of Ratios (Either Population)</c:v>
                </c:pt>
              </c:strCache>
            </c:strRef>
          </c:tx>
          <c:xVal>
            <c:numRef>
              <c:f>'[S3-Flat_vs_Separate.xlsx]Sheet1'!$A$2:$A$101</c:f>
              <c:numCache>
                <c:formatCode>General</c:formatCode>
                <c:ptCount val="100"/>
                <c:pt idx="0">
                  <c:v>50.0</c:v>
                </c:pt>
                <c:pt idx="1">
                  <c:v>100.0</c:v>
                </c:pt>
                <c:pt idx="2">
                  <c:v>150.0</c:v>
                </c:pt>
                <c:pt idx="3">
                  <c:v>200.0</c:v>
                </c:pt>
                <c:pt idx="4">
                  <c:v>250.0</c:v>
                </c:pt>
                <c:pt idx="5">
                  <c:v>300.0</c:v>
                </c:pt>
                <c:pt idx="6">
                  <c:v>350.0</c:v>
                </c:pt>
                <c:pt idx="7">
                  <c:v>400.0</c:v>
                </c:pt>
                <c:pt idx="8">
                  <c:v>450.0</c:v>
                </c:pt>
                <c:pt idx="9">
                  <c:v>500.0</c:v>
                </c:pt>
                <c:pt idx="10">
                  <c:v>550.0</c:v>
                </c:pt>
                <c:pt idx="11">
                  <c:v>600.0</c:v>
                </c:pt>
                <c:pt idx="12">
                  <c:v>650.0</c:v>
                </c:pt>
                <c:pt idx="13">
                  <c:v>700.0</c:v>
                </c:pt>
                <c:pt idx="14">
                  <c:v>750.0</c:v>
                </c:pt>
                <c:pt idx="15">
                  <c:v>800.0</c:v>
                </c:pt>
                <c:pt idx="16">
                  <c:v>850.0</c:v>
                </c:pt>
                <c:pt idx="17">
                  <c:v>900.0</c:v>
                </c:pt>
                <c:pt idx="18">
                  <c:v>950.0</c:v>
                </c:pt>
                <c:pt idx="19">
                  <c:v>1000.0</c:v>
                </c:pt>
                <c:pt idx="20">
                  <c:v>1050.0</c:v>
                </c:pt>
                <c:pt idx="21">
                  <c:v>1100.0</c:v>
                </c:pt>
                <c:pt idx="22">
                  <c:v>1150.0</c:v>
                </c:pt>
                <c:pt idx="23">
                  <c:v>1200.0</c:v>
                </c:pt>
                <c:pt idx="24">
                  <c:v>1250.0</c:v>
                </c:pt>
                <c:pt idx="25">
                  <c:v>1300.0</c:v>
                </c:pt>
                <c:pt idx="26">
                  <c:v>1350.0</c:v>
                </c:pt>
                <c:pt idx="27">
                  <c:v>1400.0</c:v>
                </c:pt>
                <c:pt idx="28">
                  <c:v>1450.0</c:v>
                </c:pt>
                <c:pt idx="29">
                  <c:v>1500.0</c:v>
                </c:pt>
                <c:pt idx="30">
                  <c:v>1550.0</c:v>
                </c:pt>
                <c:pt idx="31">
                  <c:v>1600.0</c:v>
                </c:pt>
                <c:pt idx="32">
                  <c:v>1650.0</c:v>
                </c:pt>
                <c:pt idx="33">
                  <c:v>1700.0</c:v>
                </c:pt>
                <c:pt idx="34">
                  <c:v>1750.0</c:v>
                </c:pt>
                <c:pt idx="35">
                  <c:v>1800.0</c:v>
                </c:pt>
                <c:pt idx="36">
                  <c:v>1850.0</c:v>
                </c:pt>
                <c:pt idx="37">
                  <c:v>1900.0</c:v>
                </c:pt>
                <c:pt idx="38">
                  <c:v>1950.0</c:v>
                </c:pt>
                <c:pt idx="39">
                  <c:v>2000.0</c:v>
                </c:pt>
                <c:pt idx="40">
                  <c:v>2050.0</c:v>
                </c:pt>
                <c:pt idx="41">
                  <c:v>2100.0</c:v>
                </c:pt>
                <c:pt idx="42">
                  <c:v>2150.0</c:v>
                </c:pt>
                <c:pt idx="43">
                  <c:v>2200.0</c:v>
                </c:pt>
                <c:pt idx="44">
                  <c:v>2250.0</c:v>
                </c:pt>
                <c:pt idx="45">
                  <c:v>2300.0</c:v>
                </c:pt>
                <c:pt idx="46">
                  <c:v>2350.0</c:v>
                </c:pt>
                <c:pt idx="47">
                  <c:v>2400.0</c:v>
                </c:pt>
                <c:pt idx="48">
                  <c:v>2450.0</c:v>
                </c:pt>
                <c:pt idx="49">
                  <c:v>2500.0</c:v>
                </c:pt>
                <c:pt idx="50">
                  <c:v>2550.0</c:v>
                </c:pt>
                <c:pt idx="51">
                  <c:v>2600.0</c:v>
                </c:pt>
                <c:pt idx="52">
                  <c:v>2650.0</c:v>
                </c:pt>
                <c:pt idx="53">
                  <c:v>2700.0</c:v>
                </c:pt>
                <c:pt idx="54">
                  <c:v>2750.0</c:v>
                </c:pt>
                <c:pt idx="55">
                  <c:v>2800.0</c:v>
                </c:pt>
                <c:pt idx="56">
                  <c:v>2850.0</c:v>
                </c:pt>
                <c:pt idx="57">
                  <c:v>2900.0</c:v>
                </c:pt>
                <c:pt idx="58">
                  <c:v>2950.0</c:v>
                </c:pt>
                <c:pt idx="59">
                  <c:v>3000.0</c:v>
                </c:pt>
                <c:pt idx="60">
                  <c:v>3050.0</c:v>
                </c:pt>
                <c:pt idx="61">
                  <c:v>3100.0</c:v>
                </c:pt>
                <c:pt idx="62">
                  <c:v>3150.0</c:v>
                </c:pt>
                <c:pt idx="63">
                  <c:v>3200.0</c:v>
                </c:pt>
                <c:pt idx="64">
                  <c:v>3250.0</c:v>
                </c:pt>
                <c:pt idx="65">
                  <c:v>3300.0</c:v>
                </c:pt>
                <c:pt idx="66">
                  <c:v>3350.0</c:v>
                </c:pt>
                <c:pt idx="67">
                  <c:v>3400.0</c:v>
                </c:pt>
                <c:pt idx="68">
                  <c:v>3450.0</c:v>
                </c:pt>
                <c:pt idx="69">
                  <c:v>3500.0</c:v>
                </c:pt>
                <c:pt idx="70">
                  <c:v>3550.0</c:v>
                </c:pt>
                <c:pt idx="71">
                  <c:v>3600.0</c:v>
                </c:pt>
                <c:pt idx="72">
                  <c:v>3650.0</c:v>
                </c:pt>
                <c:pt idx="73">
                  <c:v>3700.0</c:v>
                </c:pt>
                <c:pt idx="74">
                  <c:v>3750.0</c:v>
                </c:pt>
                <c:pt idx="75">
                  <c:v>3800.0</c:v>
                </c:pt>
                <c:pt idx="76">
                  <c:v>3850.0</c:v>
                </c:pt>
                <c:pt idx="77">
                  <c:v>3900.0</c:v>
                </c:pt>
                <c:pt idx="78">
                  <c:v>3950.0</c:v>
                </c:pt>
                <c:pt idx="79">
                  <c:v>4000.0</c:v>
                </c:pt>
                <c:pt idx="80">
                  <c:v>4050.0</c:v>
                </c:pt>
                <c:pt idx="81">
                  <c:v>4100.0</c:v>
                </c:pt>
                <c:pt idx="82">
                  <c:v>4150.0</c:v>
                </c:pt>
                <c:pt idx="83">
                  <c:v>4200.0</c:v>
                </c:pt>
                <c:pt idx="84">
                  <c:v>4250.0</c:v>
                </c:pt>
                <c:pt idx="85">
                  <c:v>4300.0</c:v>
                </c:pt>
                <c:pt idx="86">
                  <c:v>4350.0</c:v>
                </c:pt>
                <c:pt idx="87">
                  <c:v>4400.0</c:v>
                </c:pt>
                <c:pt idx="88">
                  <c:v>4450.0</c:v>
                </c:pt>
                <c:pt idx="89">
                  <c:v>4500.0</c:v>
                </c:pt>
                <c:pt idx="90">
                  <c:v>4550.0</c:v>
                </c:pt>
                <c:pt idx="91">
                  <c:v>4600.0</c:v>
                </c:pt>
                <c:pt idx="92">
                  <c:v>4650.0</c:v>
                </c:pt>
                <c:pt idx="93">
                  <c:v>4700.0</c:v>
                </c:pt>
                <c:pt idx="94">
                  <c:v>4750.0</c:v>
                </c:pt>
                <c:pt idx="95">
                  <c:v>4800.0</c:v>
                </c:pt>
                <c:pt idx="96">
                  <c:v>4850.0</c:v>
                </c:pt>
                <c:pt idx="97">
                  <c:v>4900.0</c:v>
                </c:pt>
                <c:pt idx="98">
                  <c:v>4950.0</c:v>
                </c:pt>
                <c:pt idx="99">
                  <c:v>5000.0</c:v>
                </c:pt>
              </c:numCache>
            </c:numRef>
          </c:xVal>
          <c:yVal>
            <c:numRef>
              <c:f>'[S3-Flat_vs_Separate.xlsx]Sheet1'!$D$2:$D$101</c:f>
              <c:numCache>
                <c:formatCode>General</c:formatCode>
                <c:ptCount val="100"/>
                <c:pt idx="0">
                  <c:v>0.0457044459367117</c:v>
                </c:pt>
                <c:pt idx="1">
                  <c:v>0.0386236324270785</c:v>
                </c:pt>
                <c:pt idx="2">
                  <c:v>0.0348189611289697</c:v>
                </c:pt>
                <c:pt idx="3">
                  <c:v>0.0322407196579402</c:v>
                </c:pt>
                <c:pt idx="4">
                  <c:v>0.0299398022244181</c:v>
                </c:pt>
                <c:pt idx="5">
                  <c:v>0.0282267939971217</c:v>
                </c:pt>
                <c:pt idx="6">
                  <c:v>0.0266964834240391</c:v>
                </c:pt>
                <c:pt idx="7">
                  <c:v>0.0253289353315702</c:v>
                </c:pt>
                <c:pt idx="8">
                  <c:v>0.0242184710458986</c:v>
                </c:pt>
                <c:pt idx="9">
                  <c:v>0.0233390060075973</c:v>
                </c:pt>
                <c:pt idx="10">
                  <c:v>0.0226931248091231</c:v>
                </c:pt>
                <c:pt idx="11">
                  <c:v>0.0220698562300281</c:v>
                </c:pt>
                <c:pt idx="12">
                  <c:v>0.0214341248251418</c:v>
                </c:pt>
                <c:pt idx="13">
                  <c:v>0.0209225289247729</c:v>
                </c:pt>
                <c:pt idx="14">
                  <c:v>0.0203647894085829</c:v>
                </c:pt>
                <c:pt idx="15">
                  <c:v>0.0198545665792747</c:v>
                </c:pt>
                <c:pt idx="16">
                  <c:v>0.0194261187681946</c:v>
                </c:pt>
                <c:pt idx="17">
                  <c:v>0.0190233997105687</c:v>
                </c:pt>
                <c:pt idx="18">
                  <c:v>0.0186833791669136</c:v>
                </c:pt>
                <c:pt idx="19">
                  <c:v>0.0183549378092587</c:v>
                </c:pt>
                <c:pt idx="20">
                  <c:v>0.0180821839814727</c:v>
                </c:pt>
                <c:pt idx="21">
                  <c:v>0.0178040984826478</c:v>
                </c:pt>
                <c:pt idx="22">
                  <c:v>0.0174314768264109</c:v>
                </c:pt>
                <c:pt idx="23">
                  <c:v>0.0171845386396949</c:v>
                </c:pt>
                <c:pt idx="24">
                  <c:v>0.0168997726158438</c:v>
                </c:pt>
                <c:pt idx="25">
                  <c:v>0.0166884996539141</c:v>
                </c:pt>
                <c:pt idx="26">
                  <c:v>0.0164514735530003</c:v>
                </c:pt>
                <c:pt idx="27">
                  <c:v>0.0162278990045136</c:v>
                </c:pt>
                <c:pt idx="28">
                  <c:v>0.0160238281233991</c:v>
                </c:pt>
                <c:pt idx="29">
                  <c:v>0.0158693524401169</c:v>
                </c:pt>
                <c:pt idx="30">
                  <c:v>0.0156743794827803</c:v>
                </c:pt>
                <c:pt idx="31">
                  <c:v>0.0154884232544918</c:v>
                </c:pt>
                <c:pt idx="32">
                  <c:v>0.0153181739742774</c:v>
                </c:pt>
                <c:pt idx="33">
                  <c:v>0.0151469171845758</c:v>
                </c:pt>
                <c:pt idx="34">
                  <c:v>0.0149816305800857</c:v>
                </c:pt>
                <c:pt idx="35">
                  <c:v>0.0148403208999787</c:v>
                </c:pt>
                <c:pt idx="36">
                  <c:v>0.0146967707754436</c:v>
                </c:pt>
                <c:pt idx="37">
                  <c:v>0.0145697164319987</c:v>
                </c:pt>
                <c:pt idx="38">
                  <c:v>0.0144640818947437</c:v>
                </c:pt>
                <c:pt idx="39">
                  <c:v>0.0143257885165453</c:v>
                </c:pt>
                <c:pt idx="40">
                  <c:v>0.0142358108063759</c:v>
                </c:pt>
                <c:pt idx="41">
                  <c:v>0.0141159483148618</c:v>
                </c:pt>
                <c:pt idx="42">
                  <c:v>0.0140148064029427</c:v>
                </c:pt>
                <c:pt idx="43">
                  <c:v>0.0138993970692803</c:v>
                </c:pt>
                <c:pt idx="44">
                  <c:v>0.013825780687556</c:v>
                </c:pt>
                <c:pt idx="45">
                  <c:v>0.0137393781964636</c:v>
                </c:pt>
                <c:pt idx="46">
                  <c:v>0.0136564960109935</c:v>
                </c:pt>
                <c:pt idx="47">
                  <c:v>0.0135871956019286</c:v>
                </c:pt>
                <c:pt idx="48">
                  <c:v>0.0134743453932431</c:v>
                </c:pt>
                <c:pt idx="49">
                  <c:v>0.0134017000285805</c:v>
                </c:pt>
                <c:pt idx="50">
                  <c:v>0.0133230698892799</c:v>
                </c:pt>
                <c:pt idx="51">
                  <c:v>0.0132423642550631</c:v>
                </c:pt>
                <c:pt idx="52">
                  <c:v>0.0131496436178952</c:v>
                </c:pt>
                <c:pt idx="53">
                  <c:v>0.0130677990888328</c:v>
                </c:pt>
                <c:pt idx="54">
                  <c:v>0.0129851482084264</c:v>
                </c:pt>
                <c:pt idx="55">
                  <c:v>0.012922875734259</c:v>
                </c:pt>
                <c:pt idx="56">
                  <c:v>0.0128680779171808</c:v>
                </c:pt>
                <c:pt idx="57">
                  <c:v>0.0128224135435999</c:v>
                </c:pt>
                <c:pt idx="58">
                  <c:v>0.0127505298759348</c:v>
                </c:pt>
                <c:pt idx="59">
                  <c:v>0.0126904802046256</c:v>
                </c:pt>
                <c:pt idx="60">
                  <c:v>0.0126400180250569</c:v>
                </c:pt>
                <c:pt idx="61">
                  <c:v>0.0125798368702082</c:v>
                </c:pt>
                <c:pt idx="62">
                  <c:v>0.0125192554266695</c:v>
                </c:pt>
                <c:pt idx="63">
                  <c:v>0.0124641553851531</c:v>
                </c:pt>
                <c:pt idx="64">
                  <c:v>0.0124203641938804</c:v>
                </c:pt>
                <c:pt idx="65">
                  <c:v>0.0123429260771925</c:v>
                </c:pt>
                <c:pt idx="66">
                  <c:v>0.0122954275862369</c:v>
                </c:pt>
                <c:pt idx="67">
                  <c:v>0.0122270200430401</c:v>
                </c:pt>
                <c:pt idx="68">
                  <c:v>0.0121781664698443</c:v>
                </c:pt>
                <c:pt idx="69">
                  <c:v>0.0121136889854254</c:v>
                </c:pt>
                <c:pt idx="70">
                  <c:v>0.0120520690390514</c:v>
                </c:pt>
                <c:pt idx="71">
                  <c:v>0.0120027532115511</c:v>
                </c:pt>
                <c:pt idx="72">
                  <c:v>0.0119579256532016</c:v>
                </c:pt>
                <c:pt idx="73">
                  <c:v>0.0119220250170691</c:v>
                </c:pt>
                <c:pt idx="74">
                  <c:v>0.0118640468159257</c:v>
                </c:pt>
                <c:pt idx="75">
                  <c:v>0.0118156352175919</c:v>
                </c:pt>
                <c:pt idx="76">
                  <c:v>0.0117685786737559</c:v>
                </c:pt>
                <c:pt idx="77">
                  <c:v>0.0117291851225418</c:v>
                </c:pt>
                <c:pt idx="78">
                  <c:v>0.0116825913433524</c:v>
                </c:pt>
                <c:pt idx="79">
                  <c:v>0.0116388958842415</c:v>
                </c:pt>
                <c:pt idx="80">
                  <c:v>0.0115850060397857</c:v>
                </c:pt>
                <c:pt idx="81">
                  <c:v>0.0115505472248749</c:v>
                </c:pt>
                <c:pt idx="82">
                  <c:v>0.0115102167937539</c:v>
                </c:pt>
                <c:pt idx="83">
                  <c:v>0.0114740737688081</c:v>
                </c:pt>
                <c:pt idx="84">
                  <c:v>0.0114266655793986</c:v>
                </c:pt>
                <c:pt idx="85">
                  <c:v>0.0113878587820529</c:v>
                </c:pt>
                <c:pt idx="86">
                  <c:v>0.0113483720003428</c:v>
                </c:pt>
                <c:pt idx="87">
                  <c:v>0.0113087799868329</c:v>
                </c:pt>
                <c:pt idx="88">
                  <c:v>0.0112799428211269</c:v>
                </c:pt>
                <c:pt idx="89">
                  <c:v>0.0112356549789259</c:v>
                </c:pt>
                <c:pt idx="90">
                  <c:v>0.0112043125972894</c:v>
                </c:pt>
                <c:pt idx="91">
                  <c:v>0.0111773391824835</c:v>
                </c:pt>
                <c:pt idx="92">
                  <c:v>0.0111484815658976</c:v>
                </c:pt>
                <c:pt idx="93">
                  <c:v>0.0111133056387788</c:v>
                </c:pt>
                <c:pt idx="94">
                  <c:v>0.0110749925846282</c:v>
                </c:pt>
                <c:pt idx="95">
                  <c:v>0.0110444639269509</c:v>
                </c:pt>
                <c:pt idx="96">
                  <c:v>0.0110213893242171</c:v>
                </c:pt>
                <c:pt idx="97">
                  <c:v>0.0109816718064767</c:v>
                </c:pt>
                <c:pt idx="98">
                  <c:v>0.0109327291620737</c:v>
                </c:pt>
                <c:pt idx="99">
                  <c:v>0.010894060808772</c:v>
                </c:pt>
              </c:numCache>
            </c:numRef>
          </c:yVal>
          <c:smooth val="1"/>
        </c:ser>
        <c:ser>
          <c:idx val="3"/>
          <c:order val="3"/>
          <c:tx>
            <c:strRef>
              <c:f>'[S3-Flat_vs_Separate.xlsx]Sheet1'!$E$1</c:f>
              <c:strCache>
                <c:ptCount val="1"/>
                <c:pt idx="0">
                  <c:v>Ratio of Averages (Either Population)</c:v>
                </c:pt>
              </c:strCache>
            </c:strRef>
          </c:tx>
          <c:xVal>
            <c:numRef>
              <c:f>'[S3-Flat_vs_Separate.xlsx]Sheet1'!$A$2:$A$101</c:f>
              <c:numCache>
                <c:formatCode>General</c:formatCode>
                <c:ptCount val="100"/>
                <c:pt idx="0">
                  <c:v>50.0</c:v>
                </c:pt>
                <c:pt idx="1">
                  <c:v>100.0</c:v>
                </c:pt>
                <c:pt idx="2">
                  <c:v>150.0</c:v>
                </c:pt>
                <c:pt idx="3">
                  <c:v>200.0</c:v>
                </c:pt>
                <c:pt idx="4">
                  <c:v>250.0</c:v>
                </c:pt>
                <c:pt idx="5">
                  <c:v>300.0</c:v>
                </c:pt>
                <c:pt idx="6">
                  <c:v>350.0</c:v>
                </c:pt>
                <c:pt idx="7">
                  <c:v>400.0</c:v>
                </c:pt>
                <c:pt idx="8">
                  <c:v>450.0</c:v>
                </c:pt>
                <c:pt idx="9">
                  <c:v>500.0</c:v>
                </c:pt>
                <c:pt idx="10">
                  <c:v>550.0</c:v>
                </c:pt>
                <c:pt idx="11">
                  <c:v>600.0</c:v>
                </c:pt>
                <c:pt idx="12">
                  <c:v>650.0</c:v>
                </c:pt>
                <c:pt idx="13">
                  <c:v>700.0</c:v>
                </c:pt>
                <c:pt idx="14">
                  <c:v>750.0</c:v>
                </c:pt>
                <c:pt idx="15">
                  <c:v>800.0</c:v>
                </c:pt>
                <c:pt idx="16">
                  <c:v>850.0</c:v>
                </c:pt>
                <c:pt idx="17">
                  <c:v>900.0</c:v>
                </c:pt>
                <c:pt idx="18">
                  <c:v>950.0</c:v>
                </c:pt>
                <c:pt idx="19">
                  <c:v>1000.0</c:v>
                </c:pt>
                <c:pt idx="20">
                  <c:v>1050.0</c:v>
                </c:pt>
                <c:pt idx="21">
                  <c:v>1100.0</c:v>
                </c:pt>
                <c:pt idx="22">
                  <c:v>1150.0</c:v>
                </c:pt>
                <c:pt idx="23">
                  <c:v>1200.0</c:v>
                </c:pt>
                <c:pt idx="24">
                  <c:v>1250.0</c:v>
                </c:pt>
                <c:pt idx="25">
                  <c:v>1300.0</c:v>
                </c:pt>
                <c:pt idx="26">
                  <c:v>1350.0</c:v>
                </c:pt>
                <c:pt idx="27">
                  <c:v>1400.0</c:v>
                </c:pt>
                <c:pt idx="28">
                  <c:v>1450.0</c:v>
                </c:pt>
                <c:pt idx="29">
                  <c:v>1500.0</c:v>
                </c:pt>
                <c:pt idx="30">
                  <c:v>1550.0</c:v>
                </c:pt>
                <c:pt idx="31">
                  <c:v>1600.0</c:v>
                </c:pt>
                <c:pt idx="32">
                  <c:v>1650.0</c:v>
                </c:pt>
                <c:pt idx="33">
                  <c:v>1700.0</c:v>
                </c:pt>
                <c:pt idx="34">
                  <c:v>1750.0</c:v>
                </c:pt>
                <c:pt idx="35">
                  <c:v>1800.0</c:v>
                </c:pt>
                <c:pt idx="36">
                  <c:v>1850.0</c:v>
                </c:pt>
                <c:pt idx="37">
                  <c:v>1900.0</c:v>
                </c:pt>
                <c:pt idx="38">
                  <c:v>1950.0</c:v>
                </c:pt>
                <c:pt idx="39">
                  <c:v>2000.0</c:v>
                </c:pt>
                <c:pt idx="40">
                  <c:v>2050.0</c:v>
                </c:pt>
                <c:pt idx="41">
                  <c:v>2100.0</c:v>
                </c:pt>
                <c:pt idx="42">
                  <c:v>2150.0</c:v>
                </c:pt>
                <c:pt idx="43">
                  <c:v>2200.0</c:v>
                </c:pt>
                <c:pt idx="44">
                  <c:v>2250.0</c:v>
                </c:pt>
                <c:pt idx="45">
                  <c:v>2300.0</c:v>
                </c:pt>
                <c:pt idx="46">
                  <c:v>2350.0</c:v>
                </c:pt>
                <c:pt idx="47">
                  <c:v>2400.0</c:v>
                </c:pt>
                <c:pt idx="48">
                  <c:v>2450.0</c:v>
                </c:pt>
                <c:pt idx="49">
                  <c:v>2500.0</c:v>
                </c:pt>
                <c:pt idx="50">
                  <c:v>2550.0</c:v>
                </c:pt>
                <c:pt idx="51">
                  <c:v>2600.0</c:v>
                </c:pt>
                <c:pt idx="52">
                  <c:v>2650.0</c:v>
                </c:pt>
                <c:pt idx="53">
                  <c:v>2700.0</c:v>
                </c:pt>
                <c:pt idx="54">
                  <c:v>2750.0</c:v>
                </c:pt>
                <c:pt idx="55">
                  <c:v>2800.0</c:v>
                </c:pt>
                <c:pt idx="56">
                  <c:v>2850.0</c:v>
                </c:pt>
                <c:pt idx="57">
                  <c:v>2900.0</c:v>
                </c:pt>
                <c:pt idx="58">
                  <c:v>2950.0</c:v>
                </c:pt>
                <c:pt idx="59">
                  <c:v>3000.0</c:v>
                </c:pt>
                <c:pt idx="60">
                  <c:v>3050.0</c:v>
                </c:pt>
                <c:pt idx="61">
                  <c:v>3100.0</c:v>
                </c:pt>
                <c:pt idx="62">
                  <c:v>3150.0</c:v>
                </c:pt>
                <c:pt idx="63">
                  <c:v>3200.0</c:v>
                </c:pt>
                <c:pt idx="64">
                  <c:v>3250.0</c:v>
                </c:pt>
                <c:pt idx="65">
                  <c:v>3300.0</c:v>
                </c:pt>
                <c:pt idx="66">
                  <c:v>3350.0</c:v>
                </c:pt>
                <c:pt idx="67">
                  <c:v>3400.0</c:v>
                </c:pt>
                <c:pt idx="68">
                  <c:v>3450.0</c:v>
                </c:pt>
                <c:pt idx="69">
                  <c:v>3500.0</c:v>
                </c:pt>
                <c:pt idx="70">
                  <c:v>3550.0</c:v>
                </c:pt>
                <c:pt idx="71">
                  <c:v>3600.0</c:v>
                </c:pt>
                <c:pt idx="72">
                  <c:v>3650.0</c:v>
                </c:pt>
                <c:pt idx="73">
                  <c:v>3700.0</c:v>
                </c:pt>
                <c:pt idx="74">
                  <c:v>3750.0</c:v>
                </c:pt>
                <c:pt idx="75">
                  <c:v>3800.0</c:v>
                </c:pt>
                <c:pt idx="76">
                  <c:v>3850.0</c:v>
                </c:pt>
                <c:pt idx="77">
                  <c:v>3900.0</c:v>
                </c:pt>
                <c:pt idx="78">
                  <c:v>3950.0</c:v>
                </c:pt>
                <c:pt idx="79">
                  <c:v>4000.0</c:v>
                </c:pt>
                <c:pt idx="80">
                  <c:v>4050.0</c:v>
                </c:pt>
                <c:pt idx="81">
                  <c:v>4100.0</c:v>
                </c:pt>
                <c:pt idx="82">
                  <c:v>4150.0</c:v>
                </c:pt>
                <c:pt idx="83">
                  <c:v>4200.0</c:v>
                </c:pt>
                <c:pt idx="84">
                  <c:v>4250.0</c:v>
                </c:pt>
                <c:pt idx="85">
                  <c:v>4300.0</c:v>
                </c:pt>
                <c:pt idx="86">
                  <c:v>4350.0</c:v>
                </c:pt>
                <c:pt idx="87">
                  <c:v>4400.0</c:v>
                </c:pt>
                <c:pt idx="88">
                  <c:v>4450.0</c:v>
                </c:pt>
                <c:pt idx="89">
                  <c:v>4500.0</c:v>
                </c:pt>
                <c:pt idx="90">
                  <c:v>4550.0</c:v>
                </c:pt>
                <c:pt idx="91">
                  <c:v>4600.0</c:v>
                </c:pt>
                <c:pt idx="92">
                  <c:v>4650.0</c:v>
                </c:pt>
                <c:pt idx="93">
                  <c:v>4700.0</c:v>
                </c:pt>
                <c:pt idx="94">
                  <c:v>4750.0</c:v>
                </c:pt>
                <c:pt idx="95">
                  <c:v>4800.0</c:v>
                </c:pt>
                <c:pt idx="96">
                  <c:v>4850.0</c:v>
                </c:pt>
                <c:pt idx="97">
                  <c:v>4900.0</c:v>
                </c:pt>
                <c:pt idx="98">
                  <c:v>4950.0</c:v>
                </c:pt>
                <c:pt idx="99">
                  <c:v>5000.0</c:v>
                </c:pt>
              </c:numCache>
            </c:numRef>
          </c:xVal>
          <c:yVal>
            <c:numRef>
              <c:f>'[S3-Flat_vs_Separate.xlsx]Sheet1'!$E$2:$E$101</c:f>
              <c:numCache>
                <c:formatCode>General</c:formatCode>
                <c:ptCount val="100"/>
                <c:pt idx="0">
                  <c:v>0.0958647874839731</c:v>
                </c:pt>
                <c:pt idx="1">
                  <c:v>0.0951453725458636</c:v>
                </c:pt>
                <c:pt idx="2">
                  <c:v>0.0964131629358437</c:v>
                </c:pt>
                <c:pt idx="3">
                  <c:v>0.0972126075096019</c:v>
                </c:pt>
                <c:pt idx="4">
                  <c:v>0.0970121127225995</c:v>
                </c:pt>
                <c:pt idx="5">
                  <c:v>0.0981158039427122</c:v>
                </c:pt>
                <c:pt idx="6">
                  <c:v>0.098223405695385</c:v>
                </c:pt>
                <c:pt idx="7">
                  <c:v>0.0977849828278596</c:v>
                </c:pt>
                <c:pt idx="8">
                  <c:v>0.0977469041311462</c:v>
                </c:pt>
                <c:pt idx="9">
                  <c:v>0.098163930470654</c:v>
                </c:pt>
                <c:pt idx="10">
                  <c:v>0.0981231949004283</c:v>
                </c:pt>
                <c:pt idx="11">
                  <c:v>0.0983652577621157</c:v>
                </c:pt>
                <c:pt idx="12">
                  <c:v>0.0981094254515458</c:v>
                </c:pt>
                <c:pt idx="13">
                  <c:v>0.0977860609747154</c:v>
                </c:pt>
                <c:pt idx="14">
                  <c:v>0.0978742443123913</c:v>
                </c:pt>
                <c:pt idx="15">
                  <c:v>0.0977851487799115</c:v>
                </c:pt>
                <c:pt idx="16">
                  <c:v>0.0980503125305454</c:v>
                </c:pt>
                <c:pt idx="17">
                  <c:v>0.0977338116639846</c:v>
                </c:pt>
                <c:pt idx="18">
                  <c:v>0.0974517720987893</c:v>
                </c:pt>
                <c:pt idx="19">
                  <c:v>0.0975388353959158</c:v>
                </c:pt>
                <c:pt idx="20">
                  <c:v>0.0975522542081245</c:v>
                </c:pt>
                <c:pt idx="21">
                  <c:v>0.0974623660554626</c:v>
                </c:pt>
                <c:pt idx="22">
                  <c:v>0.0974812272446929</c:v>
                </c:pt>
                <c:pt idx="23">
                  <c:v>0.0975371395393144</c:v>
                </c:pt>
                <c:pt idx="24">
                  <c:v>0.0974592023833677</c:v>
                </c:pt>
                <c:pt idx="25">
                  <c:v>0.0975012356592008</c:v>
                </c:pt>
                <c:pt idx="26">
                  <c:v>0.0973855250365895</c:v>
                </c:pt>
                <c:pt idx="27">
                  <c:v>0.097258921307913</c:v>
                </c:pt>
                <c:pt idx="28">
                  <c:v>0.0970815156052185</c:v>
                </c:pt>
                <c:pt idx="29">
                  <c:v>0.0972889833166128</c:v>
                </c:pt>
                <c:pt idx="30">
                  <c:v>0.097315647055498</c:v>
                </c:pt>
                <c:pt idx="31">
                  <c:v>0.0971688415322042</c:v>
                </c:pt>
                <c:pt idx="32">
                  <c:v>0.0971527551425396</c:v>
                </c:pt>
                <c:pt idx="33">
                  <c:v>0.097046021898959</c:v>
                </c:pt>
                <c:pt idx="34">
                  <c:v>0.0969031750738783</c:v>
                </c:pt>
                <c:pt idx="35">
                  <c:v>0.0969603749087854</c:v>
                </c:pt>
                <c:pt idx="36">
                  <c:v>0.096970630078813</c:v>
                </c:pt>
                <c:pt idx="37">
                  <c:v>0.0969195709195829</c:v>
                </c:pt>
                <c:pt idx="38">
                  <c:v>0.0969898409243705</c:v>
                </c:pt>
                <c:pt idx="39">
                  <c:v>0.0969234651770539</c:v>
                </c:pt>
                <c:pt idx="40">
                  <c:v>0.0968747542853694</c:v>
                </c:pt>
                <c:pt idx="41">
                  <c:v>0.0967977854364172</c:v>
                </c:pt>
                <c:pt idx="42">
                  <c:v>0.0967664709214518</c:v>
                </c:pt>
                <c:pt idx="43">
                  <c:v>0.0967769889285058</c:v>
                </c:pt>
                <c:pt idx="44">
                  <c:v>0.0967683576146592</c:v>
                </c:pt>
                <c:pt idx="45">
                  <c:v>0.096735145401515</c:v>
                </c:pt>
                <c:pt idx="46">
                  <c:v>0.0967834518553351</c:v>
                </c:pt>
                <c:pt idx="47">
                  <c:v>0.0968028828252614</c:v>
                </c:pt>
                <c:pt idx="48">
                  <c:v>0.0967360567022277</c:v>
                </c:pt>
                <c:pt idx="49">
                  <c:v>0.0967792434258647</c:v>
                </c:pt>
                <c:pt idx="50">
                  <c:v>0.0967770845214181</c:v>
                </c:pt>
                <c:pt idx="51">
                  <c:v>0.0967748030322517</c:v>
                </c:pt>
                <c:pt idx="52">
                  <c:v>0.0967570148724443</c:v>
                </c:pt>
                <c:pt idx="53">
                  <c:v>0.0967451090515074</c:v>
                </c:pt>
                <c:pt idx="54">
                  <c:v>0.0967138878770157</c:v>
                </c:pt>
                <c:pt idx="55">
                  <c:v>0.096749632091203</c:v>
                </c:pt>
                <c:pt idx="56">
                  <c:v>0.096753820713301</c:v>
                </c:pt>
                <c:pt idx="57">
                  <c:v>0.096771049405172</c:v>
                </c:pt>
                <c:pt idx="58">
                  <c:v>0.096814507531038</c:v>
                </c:pt>
                <c:pt idx="59">
                  <c:v>0.0968566779011205</c:v>
                </c:pt>
                <c:pt idx="60">
                  <c:v>0.0968534850816978</c:v>
                </c:pt>
                <c:pt idx="61">
                  <c:v>0.0968491343234298</c:v>
                </c:pt>
                <c:pt idx="62">
                  <c:v>0.0968427578387728</c:v>
                </c:pt>
                <c:pt idx="63">
                  <c:v>0.0968723749284465</c:v>
                </c:pt>
                <c:pt idx="64">
                  <c:v>0.0969136196727716</c:v>
                </c:pt>
                <c:pt idx="65">
                  <c:v>0.096932332129825</c:v>
                </c:pt>
                <c:pt idx="66">
                  <c:v>0.0968847591895075</c:v>
                </c:pt>
                <c:pt idx="67">
                  <c:v>0.0969173363335811</c:v>
                </c:pt>
                <c:pt idx="68">
                  <c:v>0.0968880819346823</c:v>
                </c:pt>
                <c:pt idx="69">
                  <c:v>0.0968197570036336</c:v>
                </c:pt>
                <c:pt idx="70">
                  <c:v>0.0968199241941813</c:v>
                </c:pt>
                <c:pt idx="71">
                  <c:v>0.0968094597878442</c:v>
                </c:pt>
                <c:pt idx="72">
                  <c:v>0.0968448678860497</c:v>
                </c:pt>
                <c:pt idx="73">
                  <c:v>0.0968719371395913</c:v>
                </c:pt>
                <c:pt idx="74">
                  <c:v>0.096801330733444</c:v>
                </c:pt>
                <c:pt idx="75">
                  <c:v>0.0968791913106849</c:v>
                </c:pt>
                <c:pt idx="76">
                  <c:v>0.0968425589585662</c:v>
                </c:pt>
                <c:pt idx="77">
                  <c:v>0.0968444085030659</c:v>
                </c:pt>
                <c:pt idx="78">
                  <c:v>0.0969103299129798</c:v>
                </c:pt>
                <c:pt idx="79">
                  <c:v>0.0969372767870852</c:v>
                </c:pt>
                <c:pt idx="80">
                  <c:v>0.0968760316466705</c:v>
                </c:pt>
                <c:pt idx="81">
                  <c:v>0.0968701948641703</c:v>
                </c:pt>
                <c:pt idx="82">
                  <c:v>0.0968375843397423</c:v>
                </c:pt>
                <c:pt idx="83">
                  <c:v>0.0968492023106424</c:v>
                </c:pt>
                <c:pt idx="84">
                  <c:v>0.0968688444153225</c:v>
                </c:pt>
                <c:pt idx="85">
                  <c:v>0.0968059298031166</c:v>
                </c:pt>
                <c:pt idx="86">
                  <c:v>0.0968610343510388</c:v>
                </c:pt>
                <c:pt idx="87">
                  <c:v>0.0968493415545345</c:v>
                </c:pt>
                <c:pt idx="88">
                  <c:v>0.0968425842097865</c:v>
                </c:pt>
                <c:pt idx="89">
                  <c:v>0.0968248541244509</c:v>
                </c:pt>
                <c:pt idx="90">
                  <c:v>0.0968368655297809</c:v>
                </c:pt>
                <c:pt idx="91">
                  <c:v>0.0968933522995437</c:v>
                </c:pt>
                <c:pt idx="92">
                  <c:v>0.0969158893130953</c:v>
                </c:pt>
                <c:pt idx="93">
                  <c:v>0.096911818029937</c:v>
                </c:pt>
                <c:pt idx="94">
                  <c:v>0.0968877093221768</c:v>
                </c:pt>
                <c:pt idx="95">
                  <c:v>0.0968384209643377</c:v>
                </c:pt>
                <c:pt idx="96">
                  <c:v>0.096784247059323</c:v>
                </c:pt>
                <c:pt idx="97">
                  <c:v>0.0967902609534109</c:v>
                </c:pt>
                <c:pt idx="98">
                  <c:v>0.0967828343823117</c:v>
                </c:pt>
                <c:pt idx="99">
                  <c:v>0.0967914746654497</c:v>
                </c:pt>
              </c:numCache>
            </c:numRef>
          </c:yVal>
          <c:smooth val="1"/>
        </c:ser>
        <c:dLbls>
          <c:showLegendKey val="0"/>
          <c:showVal val="0"/>
          <c:showCatName val="0"/>
          <c:showSerName val="0"/>
          <c:showPercent val="0"/>
          <c:showBubbleSize val="0"/>
        </c:dLbls>
        <c:axId val="645628680"/>
        <c:axId val="645631320"/>
      </c:scatterChart>
      <c:valAx>
        <c:axId val="645628680"/>
        <c:scaling>
          <c:orientation val="minMax"/>
          <c:max val="5000.0"/>
        </c:scaling>
        <c:delete val="0"/>
        <c:axPos val="b"/>
        <c:title>
          <c:tx>
            <c:rich>
              <a:bodyPr/>
              <a:lstStyle/>
              <a:p>
                <a:pPr>
                  <a:defRPr/>
                </a:pPr>
                <a:r>
                  <a:rPr lang="en-US"/>
                  <a:t>Sample Size</a:t>
                </a:r>
              </a:p>
            </c:rich>
          </c:tx>
          <c:overlay val="0"/>
        </c:title>
        <c:numFmt formatCode="General" sourceLinked="1"/>
        <c:majorTickMark val="out"/>
        <c:minorTickMark val="none"/>
        <c:tickLblPos val="nextTo"/>
        <c:crossAx val="645631320"/>
        <c:crosses val="autoZero"/>
        <c:crossBetween val="midCat"/>
      </c:valAx>
      <c:valAx>
        <c:axId val="645631320"/>
        <c:scaling>
          <c:orientation val="minMax"/>
        </c:scaling>
        <c:delete val="0"/>
        <c:axPos val="l"/>
        <c:majorGridlines/>
        <c:title>
          <c:tx>
            <c:rich>
              <a:bodyPr rot="0" vert="horz"/>
              <a:lstStyle/>
              <a:p>
                <a:pPr>
                  <a:defRPr/>
                </a:pPr>
                <a:r>
                  <a:rPr lang="en-US" sz="1400" b="1" i="1"/>
                  <a:t>F</a:t>
                </a:r>
                <a:r>
                  <a:rPr lang="en-US" sz="1400" baseline="-25000"/>
                  <a:t>ST</a:t>
                </a:r>
              </a:p>
            </c:rich>
          </c:tx>
          <c:overlay val="0"/>
        </c:title>
        <c:numFmt formatCode="General" sourceLinked="1"/>
        <c:majorTickMark val="out"/>
        <c:minorTickMark val="none"/>
        <c:tickLblPos val="nextTo"/>
        <c:crossAx val="645628680"/>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37</Pages>
  <Words>37531</Words>
  <Characters>210179</Characters>
  <Application>Microsoft Macintosh Word</Application>
  <DocSecurity>0</DocSecurity>
  <Lines>3184</Lines>
  <Paragraphs>428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Supplementary Material</vt:lpstr>
      <vt:lpstr>FST Definitions In the Literature</vt:lpstr>
      <vt:lpstr>Use of the WC Estimator in Studies of Selection </vt:lpstr>
      <vt:lpstr>Derivation of Hudson Estimator </vt:lpstr>
      <vt:lpstr>Single SNP Estimators – Coalescent Simulations</vt:lpstr>
      <vt:lpstr>Combining Estimates Across SNPs – Coalescent Simulations</vt:lpstr>
      <vt:lpstr>Relationship to Divergence Time</vt:lpstr>
    </vt:vector>
  </TitlesOfParts>
  <Company>HSPH</Company>
  <LinksUpToDate>false</LinksUpToDate>
  <CharactersWithSpaces>247282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Bhatia</dc:creator>
  <cp:keywords/>
  <dc:description/>
  <cp:lastModifiedBy>Gaurav Bhatia</cp:lastModifiedBy>
  <cp:revision>3</cp:revision>
  <cp:lastPrinted>2013-01-11T19:37:00Z</cp:lastPrinted>
  <dcterms:created xsi:type="dcterms:W3CDTF">2013-06-14T12:53:00Z</dcterms:created>
  <dcterms:modified xsi:type="dcterms:W3CDTF">2013-07-22T20:37:00Z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id="http://www.zotero.org/styles/genome-research"/&gt;&lt;hasBiblio/&gt;&lt;format class="21"/&gt;&lt;count citations="49" publications="53"/&gt;&lt;/info&gt;PAPERS2_INFO_END</vt:lpwstr>
  </property>
</Properties>
</file>