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AA" w:rsidRPr="00995E1E" w:rsidRDefault="009B3FAA" w:rsidP="009B3FAA">
      <w:pPr>
        <w:spacing w:line="480" w:lineRule="auto"/>
        <w:rPr>
          <w:b/>
        </w:rPr>
      </w:pPr>
      <w:r>
        <w:rPr>
          <w:b/>
        </w:rPr>
        <w:t>Supplemental</w:t>
      </w:r>
      <w:r w:rsidRPr="00995E1E">
        <w:rPr>
          <w:b/>
        </w:rPr>
        <w:t xml:space="preserve"> Fig</w:t>
      </w:r>
      <w:r>
        <w:rPr>
          <w:b/>
        </w:rPr>
        <w:t>ure</w:t>
      </w:r>
      <w:r w:rsidRPr="00995E1E">
        <w:rPr>
          <w:b/>
        </w:rPr>
        <w:t xml:space="preserve"> S1:  Comparison of population differentiation, association, and gene </w:t>
      </w:r>
      <w:proofErr w:type="spellStart"/>
      <w:r w:rsidRPr="00995E1E">
        <w:rPr>
          <w:b/>
        </w:rPr>
        <w:t>synteny</w:t>
      </w:r>
      <w:proofErr w:type="spellEnd"/>
      <w:r w:rsidRPr="00995E1E">
        <w:rPr>
          <w:b/>
        </w:rPr>
        <w:t xml:space="preserve"> between </w:t>
      </w:r>
      <w:r w:rsidRPr="00995E1E">
        <w:rPr>
          <w:b/>
          <w:i/>
        </w:rPr>
        <w:t xml:space="preserve">H. </w:t>
      </w:r>
      <w:proofErr w:type="spellStart"/>
      <w:proofErr w:type="gramStart"/>
      <w:r w:rsidRPr="00995E1E">
        <w:rPr>
          <w:b/>
          <w:i/>
        </w:rPr>
        <w:t>erato</w:t>
      </w:r>
      <w:proofErr w:type="spellEnd"/>
      <w:proofErr w:type="gramEnd"/>
      <w:r w:rsidRPr="00995E1E">
        <w:rPr>
          <w:b/>
        </w:rPr>
        <w:t xml:space="preserve"> and </w:t>
      </w:r>
      <w:r w:rsidRPr="00995E1E">
        <w:rPr>
          <w:b/>
          <w:i/>
        </w:rPr>
        <w:t xml:space="preserve">H. </w:t>
      </w:r>
      <w:proofErr w:type="spellStart"/>
      <w:r w:rsidRPr="00995E1E">
        <w:rPr>
          <w:b/>
          <w:i/>
        </w:rPr>
        <w:t>melpomene</w:t>
      </w:r>
      <w:proofErr w:type="spellEnd"/>
      <w:r w:rsidRPr="00995E1E">
        <w:rPr>
          <w:b/>
        </w:rPr>
        <w:t xml:space="preserve"> in the Peruvian hybrid zone. </w:t>
      </w:r>
    </w:p>
    <w:p w:rsidR="009B3FAA" w:rsidRPr="00995E1E" w:rsidRDefault="009B3FAA" w:rsidP="009B3FAA">
      <w:pPr>
        <w:spacing w:line="480" w:lineRule="auto"/>
      </w:pPr>
      <w:r w:rsidRPr="00995E1E">
        <w:t xml:space="preserve">The top and bottom panels show sliding window (15 kb window size, 5 kb step size) population differentiation and </w:t>
      </w:r>
      <w:r>
        <w:t>SNPs</w:t>
      </w:r>
      <w:r w:rsidRPr="00995E1E">
        <w:t xml:space="preserve"> perfectly associated with phenotype between postman and rayed phenotypes </w:t>
      </w:r>
      <w:r>
        <w:t>within</w:t>
      </w:r>
      <w:r w:rsidRPr="00995E1E">
        <w:t xml:space="preserve"> </w:t>
      </w:r>
      <w:r w:rsidRPr="00995E1E">
        <w:rPr>
          <w:i/>
        </w:rPr>
        <w:t xml:space="preserve">H. </w:t>
      </w:r>
      <w:proofErr w:type="spellStart"/>
      <w:r w:rsidRPr="00995E1E">
        <w:rPr>
          <w:i/>
        </w:rPr>
        <w:t>erato</w:t>
      </w:r>
      <w:proofErr w:type="spellEnd"/>
      <w:r w:rsidRPr="00995E1E">
        <w:t xml:space="preserve"> and </w:t>
      </w:r>
      <w:r w:rsidRPr="00995E1E">
        <w:rPr>
          <w:i/>
        </w:rPr>
        <w:t xml:space="preserve">H. </w:t>
      </w:r>
      <w:proofErr w:type="spellStart"/>
      <w:r w:rsidRPr="00995E1E">
        <w:rPr>
          <w:i/>
        </w:rPr>
        <w:t>melpomene</w:t>
      </w:r>
      <w:proofErr w:type="spellEnd"/>
      <w:r w:rsidRPr="00995E1E">
        <w:t>, respectively, for the Peruvian hybrid zone (</w:t>
      </w:r>
      <w:proofErr w:type="spellStart"/>
      <w:r w:rsidRPr="00995E1E">
        <w:t>n</w:t>
      </w:r>
      <w:r w:rsidRPr="00995E1E">
        <w:rPr>
          <w:vertAlign w:val="subscript"/>
        </w:rPr>
        <w:t>erato_postman</w:t>
      </w:r>
      <w:proofErr w:type="spellEnd"/>
      <w:r w:rsidRPr="00995E1E">
        <w:t xml:space="preserve">=8, </w:t>
      </w:r>
      <w:proofErr w:type="spellStart"/>
      <w:r w:rsidRPr="00995E1E">
        <w:t>n</w:t>
      </w:r>
      <w:r w:rsidRPr="00995E1E">
        <w:rPr>
          <w:vertAlign w:val="subscript"/>
        </w:rPr>
        <w:t>erato_rayed</w:t>
      </w:r>
      <w:proofErr w:type="spellEnd"/>
      <w:r w:rsidRPr="00995E1E">
        <w:t xml:space="preserve">=6, </w:t>
      </w:r>
      <w:proofErr w:type="spellStart"/>
      <w:r w:rsidRPr="00995E1E">
        <w:t>n</w:t>
      </w:r>
      <w:r w:rsidRPr="00995E1E">
        <w:rPr>
          <w:vertAlign w:val="subscript"/>
        </w:rPr>
        <w:t>melpomene_postman</w:t>
      </w:r>
      <w:proofErr w:type="spellEnd"/>
      <w:r w:rsidRPr="00995E1E">
        <w:t xml:space="preserve">=4, </w:t>
      </w:r>
      <w:proofErr w:type="spellStart"/>
      <w:r w:rsidRPr="00995E1E">
        <w:t>n</w:t>
      </w:r>
      <w:r w:rsidRPr="00995E1E">
        <w:rPr>
          <w:vertAlign w:val="subscript"/>
        </w:rPr>
        <w:t>melpomene_rayed</w:t>
      </w:r>
      <w:proofErr w:type="spellEnd"/>
      <w:r w:rsidRPr="00995E1E">
        <w:t xml:space="preserve">=4) requiring a minimum of 75% of individuals genotyped for each phenotype at each position and data for at least 20% of positions in the window.  The grey shaded regions highlight the 65 </w:t>
      </w:r>
      <w:proofErr w:type="gramStart"/>
      <w:r w:rsidRPr="00995E1E">
        <w:t>kb</w:t>
      </w:r>
      <w:proofErr w:type="gramEnd"/>
      <w:r w:rsidRPr="00995E1E">
        <w:t xml:space="preserve"> region of peak divergence across multiple </w:t>
      </w:r>
      <w:r w:rsidRPr="00995E1E">
        <w:rPr>
          <w:i/>
        </w:rPr>
        <w:t xml:space="preserve">H. </w:t>
      </w:r>
      <w:proofErr w:type="spellStart"/>
      <w:r w:rsidRPr="00995E1E">
        <w:rPr>
          <w:i/>
        </w:rPr>
        <w:t>erato</w:t>
      </w:r>
      <w:proofErr w:type="spellEnd"/>
      <w:r w:rsidRPr="00995E1E">
        <w:t xml:space="preserve"> hybrid zones (Figure 2).  Baseline population differentiations of </w:t>
      </w:r>
      <m:oMath>
        <m:acc>
          <m:accPr>
            <m:ctrlPr>
              <w:rPr>
                <w:rFonts w:ascii="Cambria Math" w:hAnsi="Cambria Math"/>
                <w:i/>
              </w:rPr>
            </m:ctrlPr>
          </m:accPr>
          <m:e>
            <m:r>
              <m:rPr>
                <m:sty m:val="p"/>
              </m:rPr>
              <w:rPr>
                <w:rFonts w:ascii="Cambria Math" w:hAnsi="Cambria Math" w:cstheme="minorHAnsi"/>
              </w:rPr>
              <m:t>θ</m:t>
            </m:r>
          </m:e>
        </m:acc>
      </m:oMath>
      <w:proofErr w:type="gramStart"/>
      <w:r w:rsidRPr="00995E1E">
        <w:rPr>
          <w:vertAlign w:val="subscript"/>
        </w:rPr>
        <w:t>erato</w:t>
      </w:r>
      <w:proofErr w:type="gramEnd"/>
      <w:r w:rsidRPr="00995E1E">
        <w:t xml:space="preserve">=0.03 and </w:t>
      </w:r>
      <m:oMath>
        <m:acc>
          <m:accPr>
            <m:ctrlPr>
              <w:rPr>
                <w:rFonts w:ascii="Cambria Math" w:hAnsi="Cambria Math"/>
                <w:i/>
              </w:rPr>
            </m:ctrlPr>
          </m:accPr>
          <m:e>
            <m:r>
              <m:rPr>
                <m:sty m:val="p"/>
              </m:rPr>
              <w:rPr>
                <w:rFonts w:ascii="Cambria Math" w:hAnsi="Cambria Math" w:cstheme="minorHAnsi"/>
              </w:rPr>
              <m:t>θ</m:t>
            </m:r>
          </m:e>
        </m:acc>
      </m:oMath>
      <w:r w:rsidRPr="00995E1E">
        <w:rPr>
          <w:vertAlign w:val="subscript"/>
        </w:rPr>
        <w:t>melpomene</w:t>
      </w:r>
      <w:r w:rsidRPr="00995E1E">
        <w:t xml:space="preserve">=0.02 were calculated from genomic intervals unlinked to color pattern.  The middle panel shows gene </w:t>
      </w:r>
      <w:proofErr w:type="spellStart"/>
      <w:r w:rsidRPr="00995E1E">
        <w:t>synteny</w:t>
      </w:r>
      <w:proofErr w:type="spellEnd"/>
      <w:r w:rsidRPr="00995E1E">
        <w:t xml:space="preserve"> between the </w:t>
      </w:r>
      <w:r w:rsidRPr="00995E1E">
        <w:rPr>
          <w:i/>
        </w:rPr>
        <w:t xml:space="preserve">H. </w:t>
      </w:r>
      <w:proofErr w:type="spellStart"/>
      <w:proofErr w:type="gramStart"/>
      <w:r w:rsidRPr="00995E1E">
        <w:rPr>
          <w:i/>
        </w:rPr>
        <w:t>erato</w:t>
      </w:r>
      <w:proofErr w:type="spellEnd"/>
      <w:proofErr w:type="gramEnd"/>
      <w:r w:rsidRPr="00995E1E">
        <w:t xml:space="preserve"> </w:t>
      </w:r>
      <w:r w:rsidRPr="00995E1E">
        <w:rPr>
          <w:i/>
        </w:rPr>
        <w:t>D</w:t>
      </w:r>
      <w:r w:rsidRPr="00995E1E">
        <w:t xml:space="preserve"> interval genes (top row) and their orthologous </w:t>
      </w:r>
      <w:r w:rsidRPr="00995E1E">
        <w:rPr>
          <w:i/>
        </w:rPr>
        <w:t xml:space="preserve">H. </w:t>
      </w:r>
      <w:proofErr w:type="spellStart"/>
      <w:r w:rsidRPr="00995E1E">
        <w:rPr>
          <w:i/>
        </w:rPr>
        <w:t>melpomene</w:t>
      </w:r>
      <w:proofErr w:type="spellEnd"/>
      <w:r w:rsidRPr="00995E1E">
        <w:t xml:space="preserve"> genes (bottom row), with </w:t>
      </w:r>
      <w:r>
        <w:t>selected genes</w:t>
      </w:r>
      <w:r w:rsidRPr="00995E1E">
        <w:t xml:space="preserve"> highlighted in red.  The larger boxes represent coding exons and the narrower boxes represent introns.  The </w:t>
      </w:r>
      <w:proofErr w:type="spellStart"/>
      <w:r w:rsidRPr="00995E1E">
        <w:t>synteny</w:t>
      </w:r>
      <w:proofErr w:type="spellEnd"/>
      <w:r w:rsidRPr="00995E1E">
        <w:t xml:space="preserve"> lines connect the beginnings and endings of orthologous genes.  </w:t>
      </w:r>
    </w:p>
    <w:p w:rsidR="009B3FAA" w:rsidRDefault="009B3FAA" w:rsidP="009B3FAA">
      <w:pPr>
        <w:spacing w:line="480" w:lineRule="auto"/>
      </w:pPr>
    </w:p>
    <w:p w:rsidR="009B3FAA" w:rsidRPr="00F348B7" w:rsidRDefault="009B3FAA" w:rsidP="009B3FAA">
      <w:pPr>
        <w:spacing w:line="480" w:lineRule="auto"/>
        <w:rPr>
          <w:b/>
          <w:highlight w:val="yellow"/>
        </w:rPr>
      </w:pPr>
      <w:r w:rsidRPr="00085657">
        <w:rPr>
          <w:b/>
        </w:rPr>
        <w:t xml:space="preserve">Supplemental Figure S2:  </w:t>
      </w:r>
      <w:r>
        <w:rPr>
          <w:b/>
        </w:rPr>
        <w:t>Annotation and analyse</w:t>
      </w:r>
      <w:r w:rsidRPr="00085657">
        <w:rPr>
          <w:b/>
        </w:rPr>
        <w:t xml:space="preserve">s across the peak of divergence </w:t>
      </w:r>
    </w:p>
    <w:p w:rsidR="009B3FAA" w:rsidRDefault="009B3FAA" w:rsidP="009B3FAA">
      <w:pPr>
        <w:spacing w:line="480" w:lineRule="auto"/>
      </w:pPr>
      <w:r>
        <w:t xml:space="preserve">Analysis across the region of peak divergence showing regions of high conservation between </w:t>
      </w:r>
      <w:r>
        <w:rPr>
          <w:i/>
        </w:rPr>
        <w:t xml:space="preserve">H. </w:t>
      </w:r>
      <w:proofErr w:type="spellStart"/>
      <w:r>
        <w:rPr>
          <w:i/>
        </w:rPr>
        <w:t>erato</w:t>
      </w:r>
      <w:proofErr w:type="spellEnd"/>
      <w:r>
        <w:rPr>
          <w:i/>
        </w:rPr>
        <w:t xml:space="preserve"> </w:t>
      </w:r>
      <w:r>
        <w:t xml:space="preserve">and </w:t>
      </w:r>
      <w:r>
        <w:rPr>
          <w:i/>
        </w:rPr>
        <w:t xml:space="preserve">H. </w:t>
      </w:r>
      <w:proofErr w:type="spellStart"/>
      <w:r>
        <w:rPr>
          <w:i/>
        </w:rPr>
        <w:t>melpomene</w:t>
      </w:r>
      <w:proofErr w:type="spellEnd"/>
      <w:r>
        <w:t xml:space="preserve"> (top panel, </w:t>
      </w:r>
      <w:proofErr w:type="spellStart"/>
      <w:r>
        <w:t>mVista</w:t>
      </w:r>
      <w:proofErr w:type="spellEnd"/>
      <w:r>
        <w:t xml:space="preserve"> alignment with 500 </w:t>
      </w:r>
      <w:proofErr w:type="spellStart"/>
      <w:r>
        <w:t>bp</w:t>
      </w:r>
      <w:proofErr w:type="spellEnd"/>
      <w:r>
        <w:t xml:space="preserve"> windows, red indicates &gt;90% sequence identity), candidate SNPs perfectly associated with phenotype (“fixed SNPs”), probable repetitive regions based on </w:t>
      </w:r>
      <w:proofErr w:type="spellStart"/>
      <w:r>
        <w:t>hypercoverage</w:t>
      </w:r>
      <w:proofErr w:type="spellEnd"/>
      <w:r>
        <w:t xml:space="preserve"> of whole genome alignments (“</w:t>
      </w:r>
      <w:proofErr w:type="spellStart"/>
      <w:r>
        <w:t>hypercoverage</w:t>
      </w:r>
      <w:proofErr w:type="spellEnd"/>
      <w:r>
        <w:t xml:space="preserve">”), regions with substantial missing data (“missing data”, less than 20% of the positions in a 15 kb window have at least 75% of samples </w:t>
      </w:r>
      <w:r>
        <w:lastRenderedPageBreak/>
        <w:t xml:space="preserve">genotyped), and the number of predicted transcription factor (TF) binding sites (bottom panel, non-overlapping 100 </w:t>
      </w:r>
      <w:proofErr w:type="spellStart"/>
      <w:r>
        <w:t>bp</w:t>
      </w:r>
      <w:proofErr w:type="spellEnd"/>
      <w:r>
        <w:t xml:space="preserve"> windows across the 520-570 kb region).</w:t>
      </w:r>
    </w:p>
    <w:p w:rsidR="009B3FAA" w:rsidRDefault="009B3FAA" w:rsidP="009B3FAA">
      <w:pPr>
        <w:spacing w:line="480" w:lineRule="auto"/>
      </w:pPr>
    </w:p>
    <w:p w:rsidR="009B3FAA" w:rsidRPr="00995E1E" w:rsidRDefault="009B3FAA" w:rsidP="009B3FAA">
      <w:pPr>
        <w:spacing w:line="480" w:lineRule="auto"/>
        <w:rPr>
          <w:b/>
        </w:rPr>
      </w:pPr>
      <w:r>
        <w:rPr>
          <w:b/>
        </w:rPr>
        <w:t>Supplemental</w:t>
      </w:r>
      <w:r w:rsidRPr="00995E1E">
        <w:rPr>
          <w:b/>
        </w:rPr>
        <w:t xml:space="preserve"> Fig</w:t>
      </w:r>
      <w:r>
        <w:rPr>
          <w:b/>
        </w:rPr>
        <w:t>ure</w:t>
      </w:r>
      <w:r w:rsidRPr="00995E1E">
        <w:rPr>
          <w:b/>
        </w:rPr>
        <w:t xml:space="preserve"> </w:t>
      </w:r>
      <w:r>
        <w:rPr>
          <w:b/>
        </w:rPr>
        <w:t>S3</w:t>
      </w:r>
      <w:r w:rsidRPr="00995E1E">
        <w:rPr>
          <w:b/>
        </w:rPr>
        <w:t xml:space="preserve">:  Decay of LD in </w:t>
      </w:r>
      <w:r w:rsidRPr="00995E1E">
        <w:rPr>
          <w:b/>
          <w:i/>
        </w:rPr>
        <w:t xml:space="preserve">H. </w:t>
      </w:r>
      <w:proofErr w:type="spellStart"/>
      <w:proofErr w:type="gramStart"/>
      <w:r w:rsidRPr="00995E1E">
        <w:rPr>
          <w:b/>
          <w:i/>
        </w:rPr>
        <w:t>erato</w:t>
      </w:r>
      <w:proofErr w:type="spellEnd"/>
      <w:proofErr w:type="gramEnd"/>
      <w:r w:rsidRPr="00995E1E">
        <w:rPr>
          <w:b/>
        </w:rPr>
        <w:t xml:space="preserve"> </w:t>
      </w:r>
      <w:r>
        <w:rPr>
          <w:b/>
        </w:rPr>
        <w:t>across the 65 kb peak and color unlinked regions</w:t>
      </w:r>
      <w:r w:rsidRPr="00995E1E">
        <w:rPr>
          <w:b/>
        </w:rPr>
        <w:t>.</w:t>
      </w:r>
    </w:p>
    <w:p w:rsidR="009B3FAA" w:rsidRDefault="009B3FAA" w:rsidP="009B3FAA">
      <w:pPr>
        <w:spacing w:line="480" w:lineRule="auto"/>
      </w:pPr>
      <w:proofErr w:type="gramStart"/>
      <w:r>
        <w:t>Correlation between SNPs as a function of distance between SNPs (colored symbols—65 kb peak of divergence; grey symbols—color unlinked regions).</w:t>
      </w:r>
      <w:proofErr w:type="gramEnd"/>
      <w:r>
        <w:t xml:space="preserve">  SNPs were binned into 100 </w:t>
      </w:r>
      <w:proofErr w:type="spellStart"/>
      <w:r>
        <w:t>bp</w:t>
      </w:r>
      <w:proofErr w:type="spellEnd"/>
      <w:r>
        <w:t xml:space="preserve"> windows based on the distance between SNPs.  For each bin,</w:t>
      </w:r>
      <w:r w:rsidRPr="00995E1E">
        <w:t xml:space="preserve"> the average correlation was calculated from all pairwise </w:t>
      </w:r>
      <w:proofErr w:type="spellStart"/>
      <w:r w:rsidRPr="00995E1E">
        <w:t>biallelic</w:t>
      </w:r>
      <w:proofErr w:type="spellEnd"/>
      <w:r w:rsidRPr="00995E1E">
        <w:t xml:space="preserve"> SNPs with at least 75% of individuals genotyped </w:t>
      </w:r>
      <w:r>
        <w:t>in the hybrid zone</w:t>
      </w:r>
      <w:r w:rsidRPr="00995E1E">
        <w:t>.</w:t>
      </w:r>
    </w:p>
    <w:p w:rsidR="009B3FAA" w:rsidRPr="00995E1E" w:rsidRDefault="009B3FAA" w:rsidP="009B3FAA">
      <w:pPr>
        <w:spacing w:line="480" w:lineRule="auto"/>
      </w:pPr>
    </w:p>
    <w:p w:rsidR="009B3FAA" w:rsidRPr="00995E1E" w:rsidRDefault="009B3FAA" w:rsidP="009B3FAA">
      <w:pPr>
        <w:spacing w:line="480" w:lineRule="auto"/>
        <w:rPr>
          <w:b/>
        </w:rPr>
      </w:pPr>
      <w:r>
        <w:rPr>
          <w:b/>
        </w:rPr>
        <w:t>Supplemental</w:t>
      </w:r>
      <w:r w:rsidRPr="00995E1E">
        <w:rPr>
          <w:b/>
        </w:rPr>
        <w:t xml:space="preserve"> Fig</w:t>
      </w:r>
      <w:r>
        <w:rPr>
          <w:b/>
        </w:rPr>
        <w:t>ure</w:t>
      </w:r>
      <w:r w:rsidRPr="00995E1E">
        <w:rPr>
          <w:b/>
        </w:rPr>
        <w:t xml:space="preserve"> </w:t>
      </w:r>
      <w:r>
        <w:rPr>
          <w:b/>
        </w:rPr>
        <w:t>S4</w:t>
      </w:r>
      <w:r w:rsidRPr="00995E1E">
        <w:rPr>
          <w:b/>
        </w:rPr>
        <w:t xml:space="preserve">:  </w:t>
      </w:r>
      <w:r w:rsidRPr="00995E1E">
        <w:rPr>
          <w:b/>
          <w:i/>
        </w:rPr>
        <w:t xml:space="preserve">H. </w:t>
      </w:r>
      <w:proofErr w:type="spellStart"/>
      <w:proofErr w:type="gramStart"/>
      <w:r w:rsidRPr="00995E1E">
        <w:rPr>
          <w:b/>
          <w:i/>
        </w:rPr>
        <w:t>erato</w:t>
      </w:r>
      <w:proofErr w:type="spellEnd"/>
      <w:proofErr w:type="gramEnd"/>
      <w:r w:rsidRPr="00995E1E">
        <w:rPr>
          <w:b/>
        </w:rPr>
        <w:t xml:space="preserve"> genomic differentiation and association by hybrid zone.</w:t>
      </w:r>
    </w:p>
    <w:p w:rsidR="009B3FAA" w:rsidRPr="00995E1E" w:rsidRDefault="009B3FAA" w:rsidP="009B3FAA">
      <w:pPr>
        <w:spacing w:line="480" w:lineRule="auto"/>
      </w:pPr>
      <w:r w:rsidRPr="00995E1E">
        <w:t xml:space="preserve">Each panel indicates sliding window (15 kb window size, 5 kb step size) population differentiation and association values between two color pattern races for individuals from a single </w:t>
      </w:r>
      <w:r w:rsidRPr="00995E1E">
        <w:rPr>
          <w:i/>
        </w:rPr>
        <w:t xml:space="preserve">H. </w:t>
      </w:r>
      <w:proofErr w:type="spellStart"/>
      <w:r w:rsidRPr="00995E1E">
        <w:rPr>
          <w:i/>
        </w:rPr>
        <w:t>erato</w:t>
      </w:r>
      <w:proofErr w:type="spellEnd"/>
      <w:r w:rsidRPr="00995E1E">
        <w:t xml:space="preserve"> hybrid zone (</w:t>
      </w:r>
      <w:proofErr w:type="spellStart"/>
      <w:r w:rsidRPr="00995E1E">
        <w:t>n</w:t>
      </w:r>
      <w:r w:rsidRPr="00995E1E">
        <w:rPr>
          <w:vertAlign w:val="subscript"/>
        </w:rPr>
        <w:t>peru_postman</w:t>
      </w:r>
      <w:proofErr w:type="spellEnd"/>
      <w:r w:rsidRPr="00995E1E">
        <w:t xml:space="preserve">=8, </w:t>
      </w:r>
      <w:proofErr w:type="spellStart"/>
      <w:r w:rsidRPr="00995E1E">
        <w:t>n</w:t>
      </w:r>
      <w:r w:rsidRPr="00995E1E">
        <w:rPr>
          <w:vertAlign w:val="subscript"/>
        </w:rPr>
        <w:t>peru_rayed</w:t>
      </w:r>
      <w:proofErr w:type="spellEnd"/>
      <w:r w:rsidRPr="00995E1E">
        <w:t xml:space="preserve">=6, </w:t>
      </w:r>
      <w:proofErr w:type="spellStart"/>
      <w:r w:rsidRPr="00995E1E">
        <w:t>n</w:t>
      </w:r>
      <w:r w:rsidRPr="00995E1E">
        <w:rPr>
          <w:vertAlign w:val="subscript"/>
        </w:rPr>
        <w:t>ecuador_postman</w:t>
      </w:r>
      <w:proofErr w:type="spellEnd"/>
      <w:r w:rsidRPr="00995E1E">
        <w:t xml:space="preserve">=5, </w:t>
      </w:r>
      <w:proofErr w:type="spellStart"/>
      <w:r w:rsidRPr="00995E1E">
        <w:t>n</w:t>
      </w:r>
      <w:r w:rsidRPr="00995E1E">
        <w:rPr>
          <w:vertAlign w:val="subscript"/>
        </w:rPr>
        <w:t>ecuador_rayed</w:t>
      </w:r>
      <w:proofErr w:type="spellEnd"/>
      <w:r w:rsidRPr="00995E1E">
        <w:t xml:space="preserve">=5, </w:t>
      </w:r>
      <w:proofErr w:type="spellStart"/>
      <w:r w:rsidRPr="00995E1E">
        <w:t>n</w:t>
      </w:r>
      <w:r w:rsidRPr="00995E1E">
        <w:rPr>
          <w:vertAlign w:val="subscript"/>
        </w:rPr>
        <w:t>frenchguiana_postman</w:t>
      </w:r>
      <w:proofErr w:type="spellEnd"/>
      <w:r w:rsidRPr="00995E1E">
        <w:t xml:space="preserve">=7, </w:t>
      </w:r>
      <w:proofErr w:type="spellStart"/>
      <w:r w:rsidRPr="00995E1E">
        <w:t>n</w:t>
      </w:r>
      <w:r w:rsidRPr="00995E1E">
        <w:rPr>
          <w:vertAlign w:val="subscript"/>
        </w:rPr>
        <w:t>frenchguiana_rayed</w:t>
      </w:r>
      <w:proofErr w:type="spellEnd"/>
      <w:r w:rsidRPr="00995E1E">
        <w:t>=6, n</w:t>
      </w:r>
      <w:r w:rsidRPr="00995E1E">
        <w:rPr>
          <w:vertAlign w:val="subscript"/>
        </w:rPr>
        <w:t>panama_postman1</w:t>
      </w:r>
      <w:r w:rsidRPr="00995E1E">
        <w:t>=5, n</w:t>
      </w:r>
      <w:r w:rsidRPr="00995E1E">
        <w:rPr>
          <w:vertAlign w:val="subscript"/>
        </w:rPr>
        <w:t>panama_postman2</w:t>
      </w:r>
      <w:r w:rsidRPr="00995E1E">
        <w:t xml:space="preserve">=3), requiring a minimum of 75% of individuals genotyped for each phenotype at each position and data for at least 20% of positions in the window.  The green shaded area indicates the region of peak divergence across the </w:t>
      </w:r>
      <w:r w:rsidRPr="00995E1E">
        <w:rPr>
          <w:i/>
        </w:rPr>
        <w:t xml:space="preserve">H. </w:t>
      </w:r>
      <w:proofErr w:type="spellStart"/>
      <w:proofErr w:type="gramStart"/>
      <w:r w:rsidRPr="00995E1E">
        <w:rPr>
          <w:i/>
        </w:rPr>
        <w:t>erato</w:t>
      </w:r>
      <w:proofErr w:type="spellEnd"/>
      <w:proofErr w:type="gramEnd"/>
      <w:r w:rsidRPr="00995E1E">
        <w:rPr>
          <w:i/>
        </w:rPr>
        <w:t xml:space="preserve"> </w:t>
      </w:r>
      <w:r w:rsidRPr="00995E1E">
        <w:t xml:space="preserve">hybrid zones combined (Figure 2).  Baseline population differentiations of </w:t>
      </w:r>
      <m:oMath>
        <m:acc>
          <m:accPr>
            <m:ctrlPr>
              <w:rPr>
                <w:rFonts w:ascii="Cambria Math" w:hAnsi="Cambria Math"/>
                <w:i/>
              </w:rPr>
            </m:ctrlPr>
          </m:accPr>
          <m:e>
            <m:r>
              <m:rPr>
                <m:sty m:val="p"/>
              </m:rPr>
              <w:rPr>
                <w:rFonts w:ascii="Cambria Math" w:hAnsi="Cambria Math" w:cstheme="minorHAnsi"/>
              </w:rPr>
              <m:t>θ</m:t>
            </m:r>
          </m:e>
        </m:acc>
      </m:oMath>
      <w:proofErr w:type="gramStart"/>
      <w:r w:rsidRPr="00995E1E">
        <w:rPr>
          <w:vertAlign w:val="subscript"/>
        </w:rPr>
        <w:t>peru</w:t>
      </w:r>
      <w:proofErr w:type="gramEnd"/>
      <w:r w:rsidRPr="00995E1E">
        <w:t xml:space="preserve">=0.03, </w:t>
      </w:r>
      <m:oMath>
        <m:acc>
          <m:accPr>
            <m:ctrlPr>
              <w:rPr>
                <w:rFonts w:ascii="Cambria Math" w:hAnsi="Cambria Math"/>
                <w:i/>
              </w:rPr>
            </m:ctrlPr>
          </m:accPr>
          <m:e>
            <m:r>
              <m:rPr>
                <m:sty m:val="p"/>
              </m:rPr>
              <w:rPr>
                <w:rFonts w:ascii="Cambria Math" w:hAnsi="Cambria Math" w:cstheme="minorHAnsi"/>
              </w:rPr>
              <m:t>θ</m:t>
            </m:r>
          </m:e>
        </m:acc>
      </m:oMath>
      <w:r w:rsidRPr="00995E1E">
        <w:rPr>
          <w:vertAlign w:val="subscript"/>
        </w:rPr>
        <w:t>ecuador</w:t>
      </w:r>
      <w:r w:rsidRPr="00995E1E">
        <w:t xml:space="preserve">=0.05, </w:t>
      </w:r>
      <m:oMath>
        <m:acc>
          <m:accPr>
            <m:ctrlPr>
              <w:rPr>
                <w:rFonts w:ascii="Cambria Math" w:hAnsi="Cambria Math"/>
                <w:i/>
              </w:rPr>
            </m:ctrlPr>
          </m:accPr>
          <m:e>
            <m:r>
              <m:rPr>
                <m:sty m:val="p"/>
              </m:rPr>
              <w:rPr>
                <w:rFonts w:ascii="Cambria Math" w:hAnsi="Cambria Math" w:cstheme="minorHAnsi"/>
              </w:rPr>
              <m:t>θ</m:t>
            </m:r>
          </m:e>
        </m:acc>
      </m:oMath>
      <w:r w:rsidRPr="00995E1E">
        <w:rPr>
          <w:vertAlign w:val="subscript"/>
        </w:rPr>
        <w:t>frenchguiana</w:t>
      </w:r>
      <w:r w:rsidRPr="00995E1E">
        <w:t xml:space="preserve">=0.02, and </w:t>
      </w:r>
      <m:oMath>
        <m:acc>
          <m:accPr>
            <m:ctrlPr>
              <w:rPr>
                <w:rFonts w:ascii="Cambria Math" w:hAnsi="Cambria Math"/>
                <w:i/>
              </w:rPr>
            </m:ctrlPr>
          </m:accPr>
          <m:e>
            <m:r>
              <m:rPr>
                <m:sty m:val="p"/>
              </m:rPr>
              <w:rPr>
                <w:rFonts w:ascii="Cambria Math" w:hAnsi="Cambria Math" w:cstheme="minorHAnsi"/>
              </w:rPr>
              <m:t>θ</m:t>
            </m:r>
          </m:e>
        </m:acc>
      </m:oMath>
      <w:r w:rsidRPr="00995E1E">
        <w:rPr>
          <w:vertAlign w:val="subscript"/>
        </w:rPr>
        <w:t>panama</w:t>
      </w:r>
      <w:r w:rsidRPr="00995E1E">
        <w:t xml:space="preserve">=0.01 were calculated from BACs unlinked to color pattern.  The races from the hybrid zones in French Guiana, Ecuador, and Peru show phenotypic variation in the red color pattern elements, while the races from the Panamanian hybrid zone do not.     </w:t>
      </w:r>
    </w:p>
    <w:p w:rsidR="009B3FAA" w:rsidRDefault="009B3FAA" w:rsidP="009B3FAA">
      <w:pPr>
        <w:spacing w:line="480" w:lineRule="auto"/>
        <w:rPr>
          <w:b/>
        </w:rPr>
      </w:pPr>
    </w:p>
    <w:p w:rsidR="009B3FAA" w:rsidRDefault="009B3FAA" w:rsidP="009B3FAA">
      <w:pPr>
        <w:spacing w:line="480" w:lineRule="auto"/>
        <w:rPr>
          <w:b/>
        </w:rPr>
      </w:pPr>
      <w:r>
        <w:rPr>
          <w:b/>
        </w:rPr>
        <w:t>Supplemental</w:t>
      </w:r>
      <w:r w:rsidRPr="00995E1E">
        <w:rPr>
          <w:b/>
        </w:rPr>
        <w:t xml:space="preserve"> Fig</w:t>
      </w:r>
      <w:r>
        <w:rPr>
          <w:b/>
        </w:rPr>
        <w:t>ure</w:t>
      </w:r>
      <w:r w:rsidRPr="00995E1E">
        <w:rPr>
          <w:b/>
        </w:rPr>
        <w:t xml:space="preserve"> </w:t>
      </w:r>
      <w:r>
        <w:rPr>
          <w:b/>
        </w:rPr>
        <w:t>S5</w:t>
      </w:r>
      <w:r w:rsidRPr="00995E1E">
        <w:rPr>
          <w:b/>
        </w:rPr>
        <w:t xml:space="preserve">:  Phylogenetic relationships in </w:t>
      </w:r>
      <w:r>
        <w:rPr>
          <w:b/>
        </w:rPr>
        <w:t xml:space="preserve">the 65 </w:t>
      </w:r>
      <w:proofErr w:type="gramStart"/>
      <w:r>
        <w:rPr>
          <w:b/>
        </w:rPr>
        <w:t>kb</w:t>
      </w:r>
      <w:proofErr w:type="gramEnd"/>
      <w:r>
        <w:rPr>
          <w:b/>
        </w:rPr>
        <w:t xml:space="preserve"> peak of divergence and color unlinked regions.</w:t>
      </w:r>
    </w:p>
    <w:p w:rsidR="009B3FAA" w:rsidRPr="00995E1E" w:rsidRDefault="009B3FAA" w:rsidP="009B3FAA">
      <w:pPr>
        <w:spacing w:line="480" w:lineRule="auto"/>
      </w:pPr>
      <w:r w:rsidRPr="00995E1E">
        <w:t xml:space="preserve">Phylogenetic relationships among individuals from </w:t>
      </w:r>
      <w:r>
        <w:t xml:space="preserve">A) </w:t>
      </w:r>
      <w:r w:rsidRPr="00995E1E">
        <w:t xml:space="preserve">the region of strongest association in the </w:t>
      </w:r>
      <w:r w:rsidRPr="00995E1E">
        <w:rPr>
          <w:i/>
        </w:rPr>
        <w:t>D</w:t>
      </w:r>
      <w:r w:rsidRPr="00995E1E">
        <w:t xml:space="preserve"> interval (515-580 </w:t>
      </w:r>
      <w:proofErr w:type="gramStart"/>
      <w:r w:rsidRPr="00995E1E">
        <w:t>kb</w:t>
      </w:r>
      <w:proofErr w:type="gramEnd"/>
      <w:r w:rsidRPr="00995E1E">
        <w:t xml:space="preserve">) and </w:t>
      </w:r>
      <w:r>
        <w:t xml:space="preserve">B) </w:t>
      </w:r>
      <w:r w:rsidRPr="00995E1E">
        <w:t xml:space="preserve">from BACs unlinked to color pattern.  Trees were constructed from datasets filtered to remove SNPs with more than 75% missing data and include neighbor-net phylogenetic networks (left) and Bayesian tree topologies (right).  Terminal nodes in the networks and sample names in the Bayesian trees are color-coded respective to race.  Dashed lines in the networks indicate rayed vs. non-rayed patterns for the </w:t>
      </w:r>
      <w:r w:rsidRPr="00995E1E">
        <w:rPr>
          <w:i/>
        </w:rPr>
        <w:t>D</w:t>
      </w:r>
      <w:r w:rsidRPr="00995E1E">
        <w:t xml:space="preserve"> interval and hybrid zones for the unlinked data.  Red branches in the Bayesian tree indicate rayed lineages.  Specimen names follow a naming system including voucher number, hybrid zone, and race.  Nodal values are posterior probabilities of clade support.  </w:t>
      </w:r>
      <w:proofErr w:type="spellStart"/>
      <w:r w:rsidRPr="00995E1E">
        <w:t>Unrooted</w:t>
      </w:r>
      <w:proofErr w:type="spellEnd"/>
      <w:r w:rsidRPr="00995E1E">
        <w:t xml:space="preserve"> Bayesian trees were arbitrarily rooted for presentation.</w:t>
      </w:r>
    </w:p>
    <w:p w:rsidR="009B3FAA" w:rsidRPr="00995E1E" w:rsidRDefault="009B3FAA" w:rsidP="009B3FAA">
      <w:pPr>
        <w:spacing w:line="480" w:lineRule="auto"/>
      </w:pPr>
    </w:p>
    <w:p w:rsidR="009B3FAA" w:rsidRPr="00995E1E" w:rsidRDefault="009B3FAA" w:rsidP="009B3FAA">
      <w:pPr>
        <w:spacing w:line="480" w:lineRule="auto"/>
        <w:rPr>
          <w:b/>
        </w:rPr>
      </w:pPr>
      <w:r>
        <w:rPr>
          <w:b/>
        </w:rPr>
        <w:t>Supplemental</w:t>
      </w:r>
      <w:r w:rsidRPr="00995E1E">
        <w:rPr>
          <w:b/>
        </w:rPr>
        <w:t xml:space="preserve"> Fig</w:t>
      </w:r>
      <w:r>
        <w:rPr>
          <w:b/>
        </w:rPr>
        <w:t>ure</w:t>
      </w:r>
      <w:r w:rsidRPr="00995E1E">
        <w:rPr>
          <w:b/>
        </w:rPr>
        <w:t xml:space="preserve"> </w:t>
      </w:r>
      <w:r>
        <w:rPr>
          <w:b/>
        </w:rPr>
        <w:t>S6</w:t>
      </w:r>
      <w:r w:rsidRPr="00995E1E">
        <w:rPr>
          <w:b/>
        </w:rPr>
        <w:t xml:space="preserve">:  Phylogeny of </w:t>
      </w:r>
      <w:r w:rsidRPr="00995E1E">
        <w:rPr>
          <w:b/>
          <w:i/>
        </w:rPr>
        <w:t xml:space="preserve">H. </w:t>
      </w:r>
      <w:proofErr w:type="spellStart"/>
      <w:proofErr w:type="gramStart"/>
      <w:r w:rsidRPr="00995E1E">
        <w:rPr>
          <w:b/>
          <w:i/>
        </w:rPr>
        <w:t>erato</w:t>
      </w:r>
      <w:proofErr w:type="spellEnd"/>
      <w:proofErr w:type="gramEnd"/>
      <w:r w:rsidRPr="00995E1E">
        <w:rPr>
          <w:b/>
        </w:rPr>
        <w:t xml:space="preserve"> and </w:t>
      </w:r>
      <w:r w:rsidRPr="00995E1E">
        <w:rPr>
          <w:b/>
          <w:i/>
        </w:rPr>
        <w:t xml:space="preserve">H. </w:t>
      </w:r>
      <w:proofErr w:type="spellStart"/>
      <w:r w:rsidRPr="00995E1E">
        <w:rPr>
          <w:b/>
          <w:i/>
        </w:rPr>
        <w:t>melpomene</w:t>
      </w:r>
      <w:proofErr w:type="spellEnd"/>
      <w:r>
        <w:rPr>
          <w:b/>
        </w:rPr>
        <w:t xml:space="preserve"> across the 65 kb peak of divergence.</w:t>
      </w:r>
      <w:r w:rsidRPr="00995E1E">
        <w:t xml:space="preserve"> </w:t>
      </w:r>
    </w:p>
    <w:p w:rsidR="009B3FAA" w:rsidRPr="00995E1E" w:rsidRDefault="009B3FAA" w:rsidP="009B3FAA">
      <w:pPr>
        <w:spacing w:line="480" w:lineRule="auto"/>
        <w:rPr>
          <w:b/>
        </w:rPr>
      </w:pPr>
      <w:r w:rsidRPr="00995E1E">
        <w:t xml:space="preserve">Bayesian phylogeny using reliably aligned SNPs across the 65 </w:t>
      </w:r>
      <w:proofErr w:type="gramStart"/>
      <w:r w:rsidRPr="00995E1E">
        <w:t>kb</w:t>
      </w:r>
      <w:proofErr w:type="gramEnd"/>
      <w:r w:rsidRPr="00995E1E">
        <w:t xml:space="preserve"> region of highest divergence and association.  Lineages with rayed patterns are colored in red.  Posterior probability support values are displayed for major lineages. Degree of support for all lineages is indicated by branch thickness, with </w:t>
      </w:r>
      <w:r>
        <w:t xml:space="preserve">thicker branches for </w:t>
      </w:r>
      <w:r w:rsidRPr="00995E1E">
        <w:t>nodes supported by a posterior probability &gt;90.</w:t>
      </w:r>
    </w:p>
    <w:p w:rsidR="009B3FAA" w:rsidRDefault="009B3FAA" w:rsidP="009B3FAA">
      <w:pPr>
        <w:jc w:val="both"/>
      </w:pPr>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FAA"/>
    <w:rsid w:val="0027073C"/>
    <w:rsid w:val="007043C0"/>
    <w:rsid w:val="008420E3"/>
    <w:rsid w:val="009B3FAA"/>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F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3FAA"/>
    <w:rPr>
      <w:rFonts w:ascii="Lucida Grande" w:hAnsi="Lucida Grande" w:cs="Lucida Grande"/>
      <w:color w:val="000000"/>
      <w:kern w:val="2"/>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F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3FAA"/>
    <w:rPr>
      <w:rFonts w:ascii="Lucida Grande" w:hAnsi="Lucida Grande" w:cs="Lucida Grande"/>
      <w:color w:val="000000"/>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4243</Characters>
  <Application>Microsoft Macintosh Word</Application>
  <DocSecurity>0</DocSecurity>
  <Lines>35</Lines>
  <Paragraphs>9</Paragraphs>
  <ScaleCrop>false</ScaleCrop>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2013-06-07T18:14:00Z</dcterms:created>
  <dcterms:modified xsi:type="dcterms:W3CDTF">2013-06-07T18:14:00Z</dcterms:modified>
</cp:coreProperties>
</file>