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E03" w:rsidRPr="00E85D7F" w:rsidRDefault="000D5E03" w:rsidP="000D5E03">
      <w:pPr>
        <w:spacing w:line="360" w:lineRule="auto"/>
        <w:rPr>
          <w:rFonts w:ascii="Times New Roman" w:hAnsi="Times New Roman"/>
          <w:b/>
          <w:sz w:val="24"/>
          <w:szCs w:val="24"/>
        </w:rPr>
      </w:pPr>
      <w:proofErr w:type="gramStart"/>
      <w:r w:rsidRPr="00E85D7F">
        <w:rPr>
          <w:rFonts w:ascii="Times New Roman" w:hAnsi="Times New Roman"/>
          <w:b/>
          <w:sz w:val="24"/>
          <w:szCs w:val="24"/>
        </w:rPr>
        <w:t>Supplemental Figure S1.</w:t>
      </w:r>
      <w:proofErr w:type="gramEnd"/>
      <w:r w:rsidRPr="00E85D7F">
        <w:rPr>
          <w:rFonts w:ascii="Times New Roman" w:hAnsi="Times New Roman"/>
          <w:b/>
          <w:sz w:val="24"/>
          <w:szCs w:val="24"/>
        </w:rPr>
        <w:t xml:space="preserve"> </w:t>
      </w:r>
      <w:r w:rsidRPr="00E85D7F">
        <w:rPr>
          <w:rFonts w:ascii="Times New Roman" w:hAnsi="Times New Roman"/>
          <w:sz w:val="24"/>
          <w:szCs w:val="24"/>
        </w:rPr>
        <w:t xml:space="preserve">Venn diagrams showing the total numbers of SNPs and short </w:t>
      </w:r>
      <w:proofErr w:type="spellStart"/>
      <w:r w:rsidRPr="00E85D7F">
        <w:rPr>
          <w:rFonts w:ascii="Times New Roman" w:hAnsi="Times New Roman"/>
          <w:sz w:val="24"/>
          <w:szCs w:val="24"/>
        </w:rPr>
        <w:t>indels</w:t>
      </w:r>
      <w:proofErr w:type="spellEnd"/>
      <w:r w:rsidRPr="00E85D7F">
        <w:rPr>
          <w:rFonts w:ascii="Times New Roman" w:hAnsi="Times New Roman"/>
          <w:sz w:val="24"/>
          <w:szCs w:val="24"/>
        </w:rPr>
        <w:t xml:space="preserve"> detected by comparing the sequences of the MSM and JF1 strains to the reference B6 sequence (MGSC37).</w:t>
      </w:r>
    </w:p>
    <w:p w:rsidR="000D5E03" w:rsidRPr="00E85D7F" w:rsidRDefault="000D5E03" w:rsidP="000D5E03">
      <w:pPr>
        <w:spacing w:line="360" w:lineRule="auto"/>
        <w:rPr>
          <w:rFonts w:ascii="Times New Roman" w:hAnsi="Times New Roman"/>
          <w:sz w:val="24"/>
          <w:szCs w:val="24"/>
        </w:rPr>
      </w:pPr>
    </w:p>
    <w:p w:rsidR="000D5E03" w:rsidRPr="00E85D7F" w:rsidRDefault="000D5E03" w:rsidP="000D5E03">
      <w:pPr>
        <w:spacing w:line="360" w:lineRule="auto"/>
        <w:rPr>
          <w:rFonts w:ascii="Times New Roman" w:hAnsi="Times New Roman"/>
          <w:b/>
          <w:sz w:val="24"/>
          <w:szCs w:val="24"/>
        </w:rPr>
      </w:pPr>
      <w:proofErr w:type="gramStart"/>
      <w:r w:rsidRPr="00E85D7F">
        <w:rPr>
          <w:rFonts w:ascii="Times New Roman" w:hAnsi="Times New Roman"/>
          <w:b/>
          <w:sz w:val="24"/>
          <w:szCs w:val="24"/>
        </w:rPr>
        <w:t>Supplemental Figure S2.</w:t>
      </w:r>
      <w:proofErr w:type="gramEnd"/>
      <w:r w:rsidRPr="00E85D7F">
        <w:rPr>
          <w:rFonts w:ascii="Times New Roman" w:hAnsi="Times New Roman"/>
          <w:b/>
          <w:sz w:val="24"/>
          <w:szCs w:val="24"/>
        </w:rPr>
        <w:t xml:space="preserve"> </w:t>
      </w:r>
      <w:r w:rsidRPr="00E85D7F">
        <w:rPr>
          <w:rFonts w:ascii="Times New Roman" w:hAnsi="Times New Roman"/>
          <w:sz w:val="24"/>
          <w:szCs w:val="24"/>
        </w:rPr>
        <w:t>Venn diagrams showing the total numbers of novel SNPs detected as a result of comparison to the MGP dataset and dbSNP128, excluding data from the SPRET/</w:t>
      </w:r>
      <w:proofErr w:type="spellStart"/>
      <w:r w:rsidRPr="00E85D7F">
        <w:rPr>
          <w:rFonts w:ascii="Times New Roman" w:hAnsi="Times New Roman"/>
          <w:sz w:val="24"/>
          <w:szCs w:val="24"/>
        </w:rPr>
        <w:t>EiJ</w:t>
      </w:r>
      <w:proofErr w:type="spellEnd"/>
      <w:r w:rsidRPr="00E85D7F">
        <w:rPr>
          <w:rFonts w:ascii="Times New Roman" w:hAnsi="Times New Roman"/>
          <w:sz w:val="24"/>
          <w:szCs w:val="24"/>
        </w:rPr>
        <w:t xml:space="preserve"> strain of the MGP.</w:t>
      </w:r>
    </w:p>
    <w:p w:rsidR="000D5E03" w:rsidRPr="00E85D7F" w:rsidRDefault="000D5E03" w:rsidP="000D5E03">
      <w:pPr>
        <w:spacing w:line="360" w:lineRule="auto"/>
        <w:rPr>
          <w:rFonts w:ascii="Times New Roman" w:hAnsi="Times New Roman"/>
          <w:sz w:val="24"/>
          <w:szCs w:val="24"/>
        </w:rPr>
      </w:pPr>
    </w:p>
    <w:p w:rsidR="000D5E03" w:rsidRPr="00E85D7F" w:rsidRDefault="000D5E03" w:rsidP="000D5E03">
      <w:pPr>
        <w:spacing w:line="360" w:lineRule="auto"/>
        <w:rPr>
          <w:rFonts w:ascii="Times New Roman" w:hAnsi="Times New Roman"/>
          <w:b/>
          <w:sz w:val="24"/>
          <w:szCs w:val="24"/>
        </w:rPr>
      </w:pPr>
      <w:proofErr w:type="gramStart"/>
      <w:r w:rsidRPr="00E85D7F">
        <w:rPr>
          <w:rFonts w:ascii="Times New Roman" w:hAnsi="Times New Roman"/>
          <w:b/>
          <w:sz w:val="24"/>
          <w:szCs w:val="24"/>
        </w:rPr>
        <w:t>Supplemental Figure S3.</w:t>
      </w:r>
      <w:proofErr w:type="gramEnd"/>
      <w:r w:rsidRPr="00E85D7F">
        <w:rPr>
          <w:rFonts w:ascii="Times New Roman" w:hAnsi="Times New Roman"/>
          <w:b/>
          <w:sz w:val="24"/>
          <w:szCs w:val="24"/>
        </w:rPr>
        <w:t xml:space="preserve"> </w:t>
      </w:r>
      <w:r w:rsidRPr="00E85D7F">
        <w:rPr>
          <w:rFonts w:ascii="Times New Roman" w:hAnsi="Times New Roman"/>
          <w:sz w:val="24"/>
          <w:szCs w:val="24"/>
        </w:rPr>
        <w:t xml:space="preserve">The size distribution of short </w:t>
      </w:r>
      <w:proofErr w:type="spellStart"/>
      <w:r w:rsidRPr="00E85D7F">
        <w:rPr>
          <w:rFonts w:ascii="Times New Roman" w:hAnsi="Times New Roman"/>
          <w:sz w:val="24"/>
          <w:szCs w:val="24"/>
        </w:rPr>
        <w:t>indels</w:t>
      </w:r>
      <w:proofErr w:type="spellEnd"/>
      <w:r w:rsidRPr="00E85D7F">
        <w:rPr>
          <w:rFonts w:ascii="Times New Roman" w:hAnsi="Times New Roman"/>
          <w:sz w:val="24"/>
          <w:szCs w:val="24"/>
        </w:rPr>
        <w:t xml:space="preserve"> (1-6 </w:t>
      </w:r>
      <w:proofErr w:type="spellStart"/>
      <w:r w:rsidRPr="00E85D7F">
        <w:rPr>
          <w:rFonts w:ascii="Times New Roman" w:hAnsi="Times New Roman"/>
          <w:sz w:val="24"/>
          <w:szCs w:val="24"/>
        </w:rPr>
        <w:t>bp</w:t>
      </w:r>
      <w:proofErr w:type="spellEnd"/>
      <w:r w:rsidRPr="00E85D7F">
        <w:rPr>
          <w:rFonts w:ascii="Times New Roman" w:hAnsi="Times New Roman"/>
          <w:sz w:val="24"/>
          <w:szCs w:val="24"/>
        </w:rPr>
        <w:t xml:space="preserve">) detected by comparing the MSM and JF1 sequences to the reference B6 sequence. The number of </w:t>
      </w:r>
      <w:proofErr w:type="spellStart"/>
      <w:r w:rsidRPr="00E85D7F">
        <w:rPr>
          <w:rFonts w:ascii="Times New Roman" w:hAnsi="Times New Roman"/>
          <w:sz w:val="24"/>
          <w:szCs w:val="24"/>
        </w:rPr>
        <w:t>indels</w:t>
      </w:r>
      <w:proofErr w:type="spellEnd"/>
      <w:r w:rsidRPr="00E85D7F">
        <w:rPr>
          <w:rFonts w:ascii="Times New Roman" w:hAnsi="Times New Roman"/>
          <w:sz w:val="24"/>
          <w:szCs w:val="24"/>
        </w:rPr>
        <w:t xml:space="preserve"> was plotted using BWA prediction for </w:t>
      </w:r>
      <w:proofErr w:type="spellStart"/>
      <w:r w:rsidRPr="00E85D7F">
        <w:rPr>
          <w:rFonts w:ascii="Times New Roman" w:hAnsi="Times New Roman"/>
          <w:sz w:val="24"/>
          <w:szCs w:val="24"/>
        </w:rPr>
        <w:t>indels</w:t>
      </w:r>
      <w:proofErr w:type="spellEnd"/>
      <w:r w:rsidRPr="00E85D7F">
        <w:rPr>
          <w:rFonts w:ascii="Times New Roman" w:hAnsi="Times New Roman"/>
          <w:sz w:val="24"/>
          <w:szCs w:val="24"/>
        </w:rPr>
        <w:t xml:space="preserve"> of varying size (≤6 </w:t>
      </w:r>
      <w:proofErr w:type="spellStart"/>
      <w:r w:rsidRPr="00E85D7F">
        <w:rPr>
          <w:rFonts w:ascii="Times New Roman" w:hAnsi="Times New Roman"/>
          <w:sz w:val="24"/>
          <w:szCs w:val="24"/>
        </w:rPr>
        <w:t>bp</w:t>
      </w:r>
      <w:proofErr w:type="spellEnd"/>
      <w:r w:rsidRPr="00E85D7F">
        <w:rPr>
          <w:rFonts w:ascii="Times New Roman" w:hAnsi="Times New Roman"/>
          <w:sz w:val="24"/>
          <w:szCs w:val="24"/>
        </w:rPr>
        <w:t>).</w:t>
      </w:r>
    </w:p>
    <w:p w:rsidR="000D5E03" w:rsidRPr="00E85D7F" w:rsidRDefault="000D5E03" w:rsidP="000D5E03">
      <w:pPr>
        <w:spacing w:line="360" w:lineRule="auto"/>
        <w:rPr>
          <w:rFonts w:ascii="Times New Roman" w:hAnsi="Times New Roman"/>
          <w:sz w:val="24"/>
          <w:szCs w:val="24"/>
        </w:rPr>
      </w:pPr>
      <w:r w:rsidRPr="00E85D7F">
        <w:rPr>
          <w:rFonts w:ascii="Times New Roman" w:hAnsi="Times New Roman"/>
          <w:sz w:val="24"/>
          <w:szCs w:val="24"/>
        </w:rPr>
        <w:tab/>
      </w:r>
    </w:p>
    <w:p w:rsidR="000D5E03" w:rsidRPr="00E85D7F" w:rsidRDefault="000D5E03" w:rsidP="000D5E03">
      <w:pPr>
        <w:spacing w:line="360" w:lineRule="auto"/>
        <w:rPr>
          <w:rFonts w:ascii="Times New Roman" w:hAnsi="Times New Roman"/>
          <w:b/>
          <w:sz w:val="24"/>
          <w:szCs w:val="24"/>
        </w:rPr>
      </w:pPr>
      <w:proofErr w:type="gramStart"/>
      <w:r w:rsidRPr="00E85D7F">
        <w:rPr>
          <w:rFonts w:ascii="Times New Roman" w:hAnsi="Times New Roman"/>
          <w:b/>
          <w:sz w:val="24"/>
          <w:szCs w:val="24"/>
        </w:rPr>
        <w:t>Supplemental Figure S4.</w:t>
      </w:r>
      <w:proofErr w:type="gramEnd"/>
      <w:r w:rsidRPr="00E85D7F">
        <w:rPr>
          <w:rFonts w:ascii="Times New Roman" w:hAnsi="Times New Roman"/>
          <w:b/>
          <w:sz w:val="24"/>
          <w:szCs w:val="24"/>
        </w:rPr>
        <w:t xml:space="preserve"> </w:t>
      </w:r>
      <w:r w:rsidRPr="00E85D7F">
        <w:rPr>
          <w:rFonts w:ascii="Times New Roman" w:hAnsi="Times New Roman"/>
          <w:sz w:val="24"/>
          <w:szCs w:val="24"/>
        </w:rPr>
        <w:t xml:space="preserve">We calculated the ratio of the number of 100-kb blocks with high (&gt;99.85%) similarity in the MSM and JF1 genomes to the total number of 100-kb blocks in the reference B6 genome (MGSC37). We also calculated the ratio of cumulative non-repeat nucleotide sequences in the 100-kb blocks with high (&gt;99.85%) similarity to the MSM and JF1 genomes to the total non-repeat sequence of the reference B6 genome. The rate of reverse genome introgression from </w:t>
      </w:r>
      <w:r w:rsidRPr="00E85D7F">
        <w:rPr>
          <w:rFonts w:ascii="Times New Roman" w:hAnsi="Times New Roman"/>
          <w:i/>
          <w:sz w:val="24"/>
          <w:szCs w:val="24"/>
        </w:rPr>
        <w:t xml:space="preserve">M. m. </w:t>
      </w:r>
      <w:proofErr w:type="spellStart"/>
      <w:r w:rsidRPr="00E85D7F">
        <w:rPr>
          <w:rFonts w:ascii="Times New Roman" w:hAnsi="Times New Roman"/>
          <w:i/>
          <w:sz w:val="24"/>
          <w:szCs w:val="24"/>
        </w:rPr>
        <w:t>domesticus</w:t>
      </w:r>
      <w:proofErr w:type="spellEnd"/>
      <w:r w:rsidRPr="00E85D7F">
        <w:rPr>
          <w:rFonts w:ascii="Times New Roman" w:hAnsi="Times New Roman"/>
          <w:i/>
          <w:sz w:val="24"/>
          <w:szCs w:val="24"/>
        </w:rPr>
        <w:t xml:space="preserve"> </w:t>
      </w:r>
      <w:r w:rsidRPr="00E85D7F">
        <w:rPr>
          <w:rFonts w:ascii="Times New Roman" w:hAnsi="Times New Roman"/>
          <w:sz w:val="24"/>
          <w:szCs w:val="24"/>
        </w:rPr>
        <w:t xml:space="preserve">into the JF1 genome was calculated to be 0.75%. This value was estimated by subtracting the ratio of 100-kb blocks with high (&gt;99.85%) sequence similarity to MSM from the ratio of that to JF1. </w:t>
      </w:r>
    </w:p>
    <w:p w:rsidR="000D5E03" w:rsidRPr="00E85D7F" w:rsidRDefault="000D5E03" w:rsidP="000D5E03">
      <w:pPr>
        <w:spacing w:line="360" w:lineRule="auto"/>
        <w:rPr>
          <w:rFonts w:ascii="Times New Roman" w:hAnsi="Times New Roman"/>
          <w:sz w:val="24"/>
          <w:szCs w:val="24"/>
        </w:rPr>
      </w:pPr>
    </w:p>
    <w:p w:rsidR="000D5E03" w:rsidRPr="00E85D7F" w:rsidRDefault="000D5E03" w:rsidP="000D5E03">
      <w:pPr>
        <w:spacing w:line="360" w:lineRule="auto"/>
        <w:rPr>
          <w:rFonts w:ascii="Times New Roman" w:hAnsi="Times New Roman"/>
          <w:b/>
          <w:sz w:val="24"/>
          <w:szCs w:val="24"/>
        </w:rPr>
      </w:pPr>
      <w:proofErr w:type="gramStart"/>
      <w:r w:rsidRPr="00E85D7F">
        <w:rPr>
          <w:rFonts w:ascii="Times New Roman" w:hAnsi="Times New Roman"/>
          <w:b/>
          <w:sz w:val="24"/>
          <w:szCs w:val="24"/>
        </w:rPr>
        <w:t>Supplemental Figure S5.</w:t>
      </w:r>
      <w:proofErr w:type="gramEnd"/>
      <w:r w:rsidRPr="00E85D7F">
        <w:rPr>
          <w:rFonts w:ascii="Times New Roman" w:hAnsi="Times New Roman"/>
          <w:b/>
          <w:sz w:val="24"/>
          <w:szCs w:val="24"/>
        </w:rPr>
        <w:t xml:space="preserve"> </w:t>
      </w:r>
      <w:r w:rsidRPr="00E85D7F">
        <w:rPr>
          <w:rFonts w:ascii="Times New Roman" w:hAnsi="Times New Roman"/>
          <w:sz w:val="24"/>
          <w:szCs w:val="24"/>
        </w:rPr>
        <w:t xml:space="preserve">The distribution of 100-kb blocks with high (&gt;99.85%) similarity to the MSM and JF1 genomes in the MGP dataset (Keane </w:t>
      </w:r>
      <w:r w:rsidRPr="00E85D7F">
        <w:rPr>
          <w:rFonts w:ascii="Times New Roman" w:hAnsi="Times New Roman"/>
          <w:i/>
          <w:sz w:val="24"/>
          <w:szCs w:val="24"/>
        </w:rPr>
        <w:t>et al.</w:t>
      </w:r>
      <w:r w:rsidRPr="00E85D7F">
        <w:rPr>
          <w:rFonts w:ascii="Times New Roman" w:hAnsi="Times New Roman"/>
          <w:sz w:val="24"/>
          <w:szCs w:val="24"/>
        </w:rPr>
        <w:t xml:space="preserve"> 2012) of 17 inbred strains. </w:t>
      </w:r>
    </w:p>
    <w:p w:rsidR="000D5E03" w:rsidRPr="00E85D7F" w:rsidRDefault="000D5E03" w:rsidP="000D5E03">
      <w:pPr>
        <w:spacing w:line="360" w:lineRule="auto"/>
        <w:rPr>
          <w:rFonts w:ascii="Times New Roman" w:hAnsi="Times New Roman"/>
          <w:sz w:val="24"/>
          <w:szCs w:val="24"/>
        </w:rPr>
      </w:pPr>
    </w:p>
    <w:p w:rsidR="000D5E03" w:rsidRPr="00E85D7F" w:rsidRDefault="000D5E03" w:rsidP="000D5E03">
      <w:pPr>
        <w:spacing w:line="360" w:lineRule="auto"/>
        <w:rPr>
          <w:rFonts w:ascii="Times New Roman" w:hAnsi="Times New Roman"/>
          <w:b/>
          <w:sz w:val="24"/>
          <w:szCs w:val="24"/>
        </w:rPr>
      </w:pPr>
      <w:proofErr w:type="gramStart"/>
      <w:r w:rsidRPr="00E85D7F">
        <w:rPr>
          <w:rFonts w:ascii="Times New Roman" w:hAnsi="Times New Roman"/>
          <w:b/>
          <w:sz w:val="24"/>
          <w:szCs w:val="24"/>
        </w:rPr>
        <w:t>Supplemental Figure S6.</w:t>
      </w:r>
      <w:proofErr w:type="gramEnd"/>
      <w:r w:rsidRPr="00E85D7F">
        <w:rPr>
          <w:rFonts w:ascii="Times New Roman" w:hAnsi="Times New Roman"/>
          <w:b/>
          <w:sz w:val="24"/>
          <w:szCs w:val="24"/>
        </w:rPr>
        <w:t xml:space="preserve"> </w:t>
      </w:r>
      <w:r w:rsidRPr="00E85D7F">
        <w:rPr>
          <w:rFonts w:ascii="Times New Roman" w:hAnsi="Times New Roman"/>
          <w:sz w:val="24"/>
          <w:szCs w:val="24"/>
        </w:rPr>
        <w:t xml:space="preserve">Fine-scale phylogenetic discordance determined using whole-genome sequence information from MSM, WSB SPRET mice and the rat. The posterior probability of each topology is mapped onto chromosomes 1 to 19 and X to characterize the fine-scale patterns of discordance among the </w:t>
      </w:r>
      <w:r w:rsidRPr="00E85D7F">
        <w:rPr>
          <w:rFonts w:ascii="Times New Roman" w:hAnsi="Times New Roman"/>
          <w:sz w:val="24"/>
        </w:rPr>
        <w:t>124,174</w:t>
      </w:r>
      <w:r w:rsidRPr="00E85D7F">
        <w:rPr>
          <w:rFonts w:ascii="Times New Roman" w:hAnsi="Times New Roman"/>
          <w:sz w:val="24"/>
          <w:szCs w:val="24"/>
        </w:rPr>
        <w:t xml:space="preserve"> loci. The colors correspond to the 3 topologies (shown in the box). </w:t>
      </w:r>
    </w:p>
    <w:p w:rsidR="000D5E03" w:rsidRPr="00E85D7F" w:rsidRDefault="000D5E03" w:rsidP="000D5E03">
      <w:pPr>
        <w:spacing w:line="360" w:lineRule="auto"/>
        <w:rPr>
          <w:rFonts w:ascii="Times New Roman" w:hAnsi="Times New Roman"/>
          <w:sz w:val="24"/>
          <w:szCs w:val="24"/>
        </w:rPr>
      </w:pPr>
    </w:p>
    <w:p w:rsidR="000D5E03" w:rsidRPr="00E85D7F" w:rsidRDefault="000D5E03" w:rsidP="000D5E03">
      <w:pPr>
        <w:spacing w:line="360" w:lineRule="auto"/>
        <w:rPr>
          <w:rFonts w:ascii="Times New Roman" w:hAnsi="Times New Roman"/>
          <w:b/>
          <w:sz w:val="24"/>
          <w:szCs w:val="24"/>
        </w:rPr>
      </w:pPr>
      <w:proofErr w:type="gramStart"/>
      <w:r w:rsidRPr="00E85D7F">
        <w:rPr>
          <w:rFonts w:ascii="Times New Roman" w:hAnsi="Times New Roman"/>
          <w:b/>
          <w:sz w:val="24"/>
          <w:szCs w:val="24"/>
        </w:rPr>
        <w:t>Supplemental Figure S7.</w:t>
      </w:r>
      <w:proofErr w:type="gramEnd"/>
      <w:r w:rsidRPr="00E85D7F">
        <w:rPr>
          <w:rFonts w:ascii="Times New Roman" w:hAnsi="Times New Roman"/>
          <w:b/>
          <w:sz w:val="24"/>
          <w:szCs w:val="24"/>
        </w:rPr>
        <w:t xml:space="preserve"> </w:t>
      </w:r>
      <w:proofErr w:type="gramStart"/>
      <w:r w:rsidRPr="00E85D7F">
        <w:rPr>
          <w:rFonts w:ascii="Times New Roman" w:hAnsi="Times New Roman"/>
          <w:sz w:val="24"/>
          <w:szCs w:val="24"/>
        </w:rPr>
        <w:t>Genomic partitioning of the phylogenetic history.</w:t>
      </w:r>
      <w:proofErr w:type="gramEnd"/>
      <w:r w:rsidRPr="00E85D7F">
        <w:rPr>
          <w:rFonts w:ascii="Times New Roman" w:hAnsi="Times New Roman"/>
          <w:sz w:val="24"/>
          <w:szCs w:val="24"/>
        </w:rPr>
        <w:t xml:space="preserve"> Bayesian </w:t>
      </w:r>
      <w:r w:rsidRPr="00E85D7F">
        <w:rPr>
          <w:rFonts w:ascii="Times New Roman" w:hAnsi="Times New Roman"/>
          <w:sz w:val="24"/>
          <w:szCs w:val="24"/>
        </w:rPr>
        <w:lastRenderedPageBreak/>
        <w:t xml:space="preserve">concordance factors were estimated from </w:t>
      </w:r>
      <w:r w:rsidRPr="00E85D7F">
        <w:rPr>
          <w:rFonts w:ascii="Times New Roman" w:hAnsi="Times New Roman"/>
          <w:sz w:val="24"/>
        </w:rPr>
        <w:t>124,174</w:t>
      </w:r>
      <w:r w:rsidRPr="00E85D7F">
        <w:rPr>
          <w:rFonts w:ascii="Times New Roman" w:hAnsi="Times New Roman"/>
          <w:sz w:val="24"/>
          <w:szCs w:val="24"/>
        </w:rPr>
        <w:t xml:space="preserve"> individual locus trees. For 94.6% of the loci, SPRET/</w:t>
      </w:r>
      <w:proofErr w:type="spellStart"/>
      <w:r w:rsidRPr="00E85D7F">
        <w:rPr>
          <w:rFonts w:ascii="Times New Roman" w:hAnsi="Times New Roman"/>
          <w:sz w:val="24"/>
          <w:szCs w:val="24"/>
        </w:rPr>
        <w:t>EiJ</w:t>
      </w:r>
      <w:proofErr w:type="spellEnd"/>
      <w:r w:rsidRPr="00E85D7F">
        <w:rPr>
          <w:rFonts w:ascii="Times New Roman" w:hAnsi="Times New Roman"/>
          <w:sz w:val="24"/>
          <w:szCs w:val="24"/>
        </w:rPr>
        <w:t xml:space="preserve"> (</w:t>
      </w:r>
      <w:r w:rsidRPr="00E85D7F">
        <w:rPr>
          <w:rFonts w:ascii="Times New Roman" w:hAnsi="Times New Roman"/>
          <w:i/>
          <w:sz w:val="24"/>
          <w:szCs w:val="24"/>
        </w:rPr>
        <w:t xml:space="preserve">M. </w:t>
      </w:r>
      <w:proofErr w:type="spellStart"/>
      <w:r w:rsidRPr="00E85D7F">
        <w:rPr>
          <w:rFonts w:ascii="Times New Roman" w:hAnsi="Times New Roman"/>
          <w:i/>
          <w:sz w:val="24"/>
          <w:szCs w:val="24"/>
        </w:rPr>
        <w:t>spretus</w:t>
      </w:r>
      <w:proofErr w:type="spellEnd"/>
      <w:r w:rsidRPr="00E85D7F">
        <w:rPr>
          <w:rFonts w:ascii="Times New Roman" w:hAnsi="Times New Roman"/>
          <w:sz w:val="24"/>
          <w:szCs w:val="24"/>
        </w:rPr>
        <w:t xml:space="preserve">) mice and rats are placed as </w:t>
      </w:r>
      <w:proofErr w:type="spellStart"/>
      <w:r w:rsidRPr="00E85D7F">
        <w:rPr>
          <w:rFonts w:ascii="Times New Roman" w:hAnsi="Times New Roman"/>
          <w:sz w:val="24"/>
          <w:szCs w:val="24"/>
        </w:rPr>
        <w:t>outgroups</w:t>
      </w:r>
      <w:proofErr w:type="spellEnd"/>
      <w:r w:rsidRPr="00E85D7F">
        <w:rPr>
          <w:rFonts w:ascii="Times New Roman" w:hAnsi="Times New Roman"/>
          <w:sz w:val="24"/>
          <w:szCs w:val="24"/>
        </w:rPr>
        <w:t xml:space="preserve"> of the subspecies</w:t>
      </w:r>
      <w:r w:rsidRPr="00E85D7F">
        <w:rPr>
          <w:rFonts w:ascii="Times New Roman" w:hAnsi="Times New Roman"/>
          <w:i/>
          <w:sz w:val="24"/>
          <w:szCs w:val="24"/>
        </w:rPr>
        <w:t xml:space="preserve"> M. </w:t>
      </w:r>
      <w:proofErr w:type="spellStart"/>
      <w:r w:rsidRPr="00E85D7F">
        <w:rPr>
          <w:rFonts w:ascii="Times New Roman" w:hAnsi="Times New Roman"/>
          <w:i/>
          <w:sz w:val="24"/>
          <w:szCs w:val="24"/>
        </w:rPr>
        <w:t>musculus</w:t>
      </w:r>
      <w:proofErr w:type="spellEnd"/>
      <w:r w:rsidRPr="00E85D7F">
        <w:rPr>
          <w:rFonts w:ascii="Times New Roman" w:hAnsi="Times New Roman"/>
          <w:sz w:val="24"/>
          <w:szCs w:val="24"/>
        </w:rPr>
        <w:t xml:space="preserve">. Within </w:t>
      </w:r>
      <w:r w:rsidRPr="00E85D7F">
        <w:rPr>
          <w:rFonts w:ascii="Times New Roman" w:hAnsi="Times New Roman"/>
          <w:i/>
          <w:sz w:val="24"/>
          <w:szCs w:val="24"/>
        </w:rPr>
        <w:t xml:space="preserve">M. </w:t>
      </w:r>
      <w:proofErr w:type="spellStart"/>
      <w:r w:rsidRPr="00E85D7F">
        <w:rPr>
          <w:rFonts w:ascii="Times New Roman" w:hAnsi="Times New Roman"/>
          <w:i/>
          <w:sz w:val="24"/>
          <w:szCs w:val="24"/>
        </w:rPr>
        <w:t>musculus</w:t>
      </w:r>
      <w:proofErr w:type="spellEnd"/>
      <w:r w:rsidRPr="00E85D7F">
        <w:rPr>
          <w:rFonts w:ascii="Times New Roman" w:hAnsi="Times New Roman"/>
          <w:i/>
          <w:sz w:val="24"/>
          <w:szCs w:val="24"/>
        </w:rPr>
        <w:t>,</w:t>
      </w:r>
      <w:r w:rsidRPr="00E85D7F">
        <w:rPr>
          <w:rFonts w:ascii="Times New Roman" w:hAnsi="Times New Roman"/>
          <w:sz w:val="24"/>
          <w:szCs w:val="24"/>
        </w:rPr>
        <w:t xml:space="preserve"> 10.1% of loci were supported</w:t>
      </w:r>
      <w:r w:rsidRPr="00E85D7F">
        <w:t xml:space="preserve"> </w:t>
      </w:r>
      <w:r w:rsidRPr="00E85D7F">
        <w:rPr>
          <w:rFonts w:ascii="Times New Roman" w:hAnsi="Times New Roman"/>
          <w:sz w:val="24"/>
          <w:szCs w:val="24"/>
        </w:rPr>
        <w:t>with higher posterior probability of a single B6/MSM topology, and 85.2% of loci supported a single WSB/B6 topology</w:t>
      </w:r>
      <w:r w:rsidRPr="00E85D7F">
        <w:t xml:space="preserve"> (</w:t>
      </w:r>
      <w:r w:rsidRPr="00E85D7F">
        <w:rPr>
          <w:rFonts w:ascii="Times New Roman" w:hAnsi="Times New Roman"/>
          <w:sz w:val="24"/>
          <w:szCs w:val="24"/>
        </w:rPr>
        <w:t xml:space="preserve">higher posterior probability). </w:t>
      </w:r>
    </w:p>
    <w:p w:rsidR="000D5E03" w:rsidRPr="00E85D7F" w:rsidRDefault="000D5E03" w:rsidP="000D5E03">
      <w:pPr>
        <w:spacing w:line="360" w:lineRule="auto"/>
        <w:rPr>
          <w:rFonts w:ascii="Times New Roman" w:hAnsi="Times New Roman"/>
          <w:sz w:val="24"/>
          <w:szCs w:val="24"/>
        </w:rPr>
      </w:pPr>
    </w:p>
    <w:p w:rsidR="000D5E03" w:rsidRPr="00E85D7F" w:rsidRDefault="000D5E03" w:rsidP="000D5E03">
      <w:pPr>
        <w:spacing w:line="360" w:lineRule="auto"/>
        <w:rPr>
          <w:rFonts w:ascii="Times New Roman" w:hAnsi="Times New Roman"/>
          <w:b/>
          <w:sz w:val="24"/>
          <w:szCs w:val="24"/>
        </w:rPr>
      </w:pPr>
      <w:proofErr w:type="gramStart"/>
      <w:r w:rsidRPr="00E85D7F">
        <w:rPr>
          <w:rFonts w:ascii="Times New Roman" w:hAnsi="Times New Roman"/>
          <w:b/>
          <w:sz w:val="24"/>
          <w:szCs w:val="24"/>
        </w:rPr>
        <w:t>Supplemental Figure S8.</w:t>
      </w:r>
      <w:proofErr w:type="gramEnd"/>
      <w:r w:rsidRPr="00E85D7F">
        <w:rPr>
          <w:rFonts w:ascii="Times New Roman" w:hAnsi="Times New Roman"/>
          <w:b/>
          <w:sz w:val="24"/>
          <w:szCs w:val="24"/>
        </w:rPr>
        <w:t xml:space="preserve"> </w:t>
      </w:r>
      <w:r w:rsidRPr="00E85D7F">
        <w:rPr>
          <w:rFonts w:ascii="Times New Roman" w:hAnsi="Times New Roman"/>
          <w:sz w:val="24"/>
          <w:szCs w:val="24"/>
        </w:rPr>
        <w:t xml:space="preserve">Distribution plots of the nucleotide sequence similarity between B6 and MSM or JF1 with respect to MDRs defined by BCA (Fig. S7). Each plot shows the sequence similarity between the B6 and MSM strains (horizontal axis) and between the B6 and JF1 strains (vertical axis). </w:t>
      </w:r>
    </w:p>
    <w:p w:rsidR="000D5E03" w:rsidRPr="00E85D7F" w:rsidRDefault="000D5E03" w:rsidP="000D5E03">
      <w:pPr>
        <w:spacing w:line="360" w:lineRule="auto"/>
        <w:rPr>
          <w:rFonts w:ascii="Times New Roman" w:hAnsi="Times New Roman"/>
          <w:sz w:val="24"/>
          <w:szCs w:val="24"/>
        </w:rPr>
      </w:pPr>
      <w:r w:rsidRPr="00E85D7F">
        <w:rPr>
          <w:rFonts w:ascii="Times New Roman" w:hAnsi="Times New Roman"/>
          <w:sz w:val="24"/>
          <w:szCs w:val="24"/>
        </w:rPr>
        <w:t xml:space="preserve"> </w:t>
      </w:r>
    </w:p>
    <w:p w:rsidR="000D5E03" w:rsidRPr="00E85D7F" w:rsidRDefault="000D5E03" w:rsidP="000D5E03">
      <w:pPr>
        <w:spacing w:line="360" w:lineRule="auto"/>
        <w:rPr>
          <w:rFonts w:ascii="Times New Roman" w:hAnsi="Times New Roman"/>
          <w:b/>
          <w:sz w:val="24"/>
          <w:szCs w:val="24"/>
        </w:rPr>
      </w:pPr>
      <w:proofErr w:type="gramStart"/>
      <w:r w:rsidRPr="00E85D7F">
        <w:rPr>
          <w:rFonts w:ascii="Times New Roman" w:hAnsi="Times New Roman"/>
          <w:b/>
          <w:sz w:val="24"/>
          <w:szCs w:val="24"/>
        </w:rPr>
        <w:t>Supplemental Figure S9.</w:t>
      </w:r>
      <w:proofErr w:type="gramEnd"/>
      <w:r w:rsidRPr="00E85D7F">
        <w:rPr>
          <w:rFonts w:ascii="Times New Roman" w:hAnsi="Times New Roman"/>
          <w:b/>
          <w:sz w:val="24"/>
          <w:szCs w:val="24"/>
        </w:rPr>
        <w:t xml:space="preserve"> </w:t>
      </w:r>
      <w:proofErr w:type="gramStart"/>
      <w:r w:rsidRPr="00E85D7F">
        <w:rPr>
          <w:rFonts w:ascii="Times New Roman" w:hAnsi="Times New Roman"/>
          <w:sz w:val="24"/>
          <w:szCs w:val="24"/>
        </w:rPr>
        <w:t xml:space="preserve">Distribution of sequence blocks with high (&gt;99.85% per 100 kb) similarity to the MSM and JF1 sequences for each of the 17 MGP strains (Keane </w:t>
      </w:r>
      <w:r w:rsidRPr="00E85D7F">
        <w:rPr>
          <w:rFonts w:ascii="Times New Roman" w:hAnsi="Times New Roman"/>
          <w:i/>
          <w:sz w:val="24"/>
          <w:szCs w:val="24"/>
        </w:rPr>
        <w:t>et al.</w:t>
      </w:r>
      <w:r w:rsidRPr="00E85D7F">
        <w:rPr>
          <w:rFonts w:ascii="Times New Roman" w:hAnsi="Times New Roman"/>
          <w:sz w:val="24"/>
          <w:szCs w:val="24"/>
        </w:rPr>
        <w:t xml:space="preserve"> 2012).</w:t>
      </w:r>
      <w:proofErr w:type="gramEnd"/>
      <w:r w:rsidRPr="00E85D7F">
        <w:rPr>
          <w:rFonts w:ascii="Times New Roman" w:hAnsi="Times New Roman"/>
          <w:sz w:val="24"/>
          <w:szCs w:val="24"/>
        </w:rPr>
        <w:t xml:space="preserve"> The data from wild-derived inbred strains were eliminated. Reference data for the comparisons between the B6 (</w:t>
      </w:r>
      <w:r w:rsidRPr="00E85D7F">
        <w:rPr>
          <w:rFonts w:ascii="Times New Roman" w:hAnsi="Times New Roman"/>
          <w:sz w:val="24"/>
        </w:rPr>
        <w:t>MGSC37</w:t>
      </w:r>
      <w:r w:rsidRPr="00E85D7F">
        <w:rPr>
          <w:rFonts w:ascii="Times New Roman" w:hAnsi="Times New Roman"/>
          <w:sz w:val="24"/>
          <w:szCs w:val="24"/>
        </w:rPr>
        <w:t xml:space="preserve">) and MSM or JF1 strains, which were derived from Figure 3B, are denoted above each chromosome. Gray boxes depict gaps in the B6 reference sequence.  </w:t>
      </w:r>
    </w:p>
    <w:p w:rsidR="000D5E03" w:rsidRPr="00E85D7F" w:rsidRDefault="000D5E03" w:rsidP="000D5E03">
      <w:pPr>
        <w:spacing w:line="360" w:lineRule="auto"/>
        <w:rPr>
          <w:rFonts w:ascii="Times New Roman" w:hAnsi="Times New Roman"/>
          <w:sz w:val="24"/>
          <w:szCs w:val="24"/>
        </w:rPr>
      </w:pPr>
    </w:p>
    <w:p w:rsidR="000D5E03" w:rsidRPr="00E85D7F" w:rsidRDefault="000D5E03" w:rsidP="000D5E03">
      <w:pPr>
        <w:spacing w:line="360" w:lineRule="auto"/>
        <w:rPr>
          <w:rFonts w:ascii="Times New Roman" w:hAnsi="Times New Roman"/>
          <w:b/>
          <w:sz w:val="24"/>
          <w:szCs w:val="24"/>
        </w:rPr>
      </w:pPr>
      <w:proofErr w:type="gramStart"/>
      <w:r w:rsidRPr="00E85D7F">
        <w:rPr>
          <w:rFonts w:ascii="Times New Roman" w:hAnsi="Times New Roman"/>
          <w:b/>
          <w:sz w:val="24"/>
          <w:szCs w:val="24"/>
        </w:rPr>
        <w:t>Supplemental Figure S10.</w:t>
      </w:r>
      <w:proofErr w:type="gramEnd"/>
      <w:r w:rsidRPr="00E85D7F">
        <w:rPr>
          <w:rFonts w:ascii="Times New Roman" w:hAnsi="Times New Roman"/>
          <w:b/>
          <w:sz w:val="24"/>
          <w:szCs w:val="24"/>
        </w:rPr>
        <w:t xml:space="preserve"> </w:t>
      </w:r>
      <w:r w:rsidRPr="00E85D7F">
        <w:rPr>
          <w:rFonts w:ascii="Times New Roman" w:hAnsi="Times New Roman"/>
          <w:sz w:val="24"/>
          <w:szCs w:val="24"/>
        </w:rPr>
        <w:t xml:space="preserve">The ratio of the number of </w:t>
      </w:r>
      <w:r w:rsidRPr="00E85D7F">
        <w:rPr>
          <w:rFonts w:ascii="Times New Roman" w:hAnsi="Times New Roman"/>
          <w:i/>
          <w:sz w:val="24"/>
          <w:szCs w:val="24"/>
        </w:rPr>
        <w:t xml:space="preserve">M. m. </w:t>
      </w:r>
      <w:proofErr w:type="spellStart"/>
      <w:r w:rsidRPr="00E85D7F">
        <w:rPr>
          <w:rFonts w:ascii="Times New Roman" w:hAnsi="Times New Roman"/>
          <w:i/>
          <w:sz w:val="24"/>
          <w:szCs w:val="24"/>
        </w:rPr>
        <w:t>molossinus</w:t>
      </w:r>
      <w:proofErr w:type="spellEnd"/>
      <w:r w:rsidRPr="00E85D7F">
        <w:rPr>
          <w:rFonts w:ascii="Times New Roman" w:hAnsi="Times New Roman"/>
          <w:sz w:val="24"/>
          <w:szCs w:val="24"/>
        </w:rPr>
        <w:t xml:space="preserve">-derived SNPs to the total number of SNPs in pairs of classical inbred strains. We calculated the number of SNPs between the classical inbred strains that reside in regions with high sequence similarity to the MSM genome. </w:t>
      </w:r>
    </w:p>
    <w:p w:rsidR="000D5E03" w:rsidRDefault="000D5E03" w:rsidP="000D5E03">
      <w:pPr>
        <w:spacing w:line="360" w:lineRule="auto"/>
        <w:rPr>
          <w:rFonts w:ascii="Times New Roman" w:hAnsi="Times New Roman"/>
          <w:sz w:val="24"/>
          <w:szCs w:val="24"/>
        </w:rPr>
      </w:pPr>
    </w:p>
    <w:p w:rsidR="000D5E03" w:rsidRDefault="000D5E03" w:rsidP="000D5E03">
      <w:pPr>
        <w:spacing w:line="360" w:lineRule="auto"/>
        <w:rPr>
          <w:rFonts w:ascii="Times New Roman" w:hAnsi="Times New Roman"/>
          <w:sz w:val="24"/>
          <w:szCs w:val="24"/>
        </w:rPr>
      </w:pPr>
    </w:p>
    <w:p w:rsidR="000D5E03" w:rsidRDefault="000D5E03" w:rsidP="000D5E03">
      <w:pPr>
        <w:spacing w:line="360" w:lineRule="auto"/>
        <w:rPr>
          <w:rFonts w:ascii="Times New Roman" w:hAnsi="Times New Roman"/>
          <w:sz w:val="24"/>
          <w:szCs w:val="24"/>
        </w:rPr>
      </w:pPr>
    </w:p>
    <w:p w:rsidR="000D5E03" w:rsidRDefault="000D5E03" w:rsidP="000D5E03">
      <w:pPr>
        <w:spacing w:line="360" w:lineRule="auto"/>
        <w:rPr>
          <w:rFonts w:ascii="Times New Roman" w:hAnsi="Times New Roman"/>
          <w:sz w:val="24"/>
          <w:szCs w:val="24"/>
        </w:rPr>
      </w:pPr>
    </w:p>
    <w:p w:rsidR="000D5E03" w:rsidRDefault="000D5E03" w:rsidP="000D5E03">
      <w:pPr>
        <w:spacing w:line="360" w:lineRule="auto"/>
        <w:rPr>
          <w:rFonts w:ascii="Times New Roman" w:hAnsi="Times New Roman"/>
          <w:sz w:val="24"/>
          <w:szCs w:val="24"/>
        </w:rPr>
      </w:pPr>
    </w:p>
    <w:p w:rsidR="000D5E03" w:rsidRDefault="000D5E03" w:rsidP="000D5E03">
      <w:pPr>
        <w:spacing w:line="360" w:lineRule="auto"/>
        <w:rPr>
          <w:rFonts w:ascii="Times New Roman" w:hAnsi="Times New Roman"/>
          <w:sz w:val="24"/>
          <w:szCs w:val="24"/>
        </w:rPr>
      </w:pPr>
    </w:p>
    <w:p w:rsidR="000D5E03" w:rsidRPr="00E85D7F" w:rsidRDefault="000D5E03" w:rsidP="000D5E03">
      <w:pPr>
        <w:spacing w:line="360" w:lineRule="auto"/>
        <w:rPr>
          <w:rFonts w:ascii="Times New Roman" w:hAnsi="Times New Roman"/>
          <w:sz w:val="24"/>
          <w:szCs w:val="24"/>
        </w:rPr>
      </w:pPr>
    </w:p>
    <w:p w:rsidR="00627D0E" w:rsidRDefault="000D5E03">
      <w:bookmarkStart w:id="0" w:name="_GoBack"/>
      <w:bookmarkEnd w:id="0"/>
    </w:p>
    <w:sectPr w:rsidR="00627D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E03"/>
    <w:rsid w:val="000D5E03"/>
    <w:rsid w:val="009A21C0"/>
    <w:rsid w:val="00B36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E03"/>
    <w:pPr>
      <w:widowControl w:val="0"/>
      <w:spacing w:after="0" w:line="240" w:lineRule="auto"/>
      <w:jc w:val="both"/>
    </w:pPr>
    <w:rPr>
      <w:rFonts w:ascii="Century" w:eastAsia="MS Mincho" w:hAnsi="Century" w:cs="Times New Roman"/>
      <w:kern w:val="2"/>
      <w:sz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E03"/>
    <w:pPr>
      <w:widowControl w:val="0"/>
      <w:spacing w:after="0" w:line="240" w:lineRule="auto"/>
      <w:jc w:val="both"/>
    </w:pPr>
    <w:rPr>
      <w:rFonts w:ascii="Century" w:eastAsia="MS Mincho" w:hAnsi="Century" w:cs="Times New Roman"/>
      <w:kern w:val="2"/>
      <w:sz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Cold Spring Harbor Laboratory</Company>
  <LinksUpToDate>false</LinksUpToDate>
  <CharactersWithSpaces>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Kulesa</dc:creator>
  <cp:lastModifiedBy>Tara Kulesa</cp:lastModifiedBy>
  <cp:revision>1</cp:revision>
  <dcterms:created xsi:type="dcterms:W3CDTF">2013-05-14T14:33:00Z</dcterms:created>
  <dcterms:modified xsi:type="dcterms:W3CDTF">2013-05-14T14:34:00Z</dcterms:modified>
</cp:coreProperties>
</file>