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A0" w:rsidRDefault="00C42FA0" w:rsidP="00C42FA0">
      <w:pPr>
        <w:pageBreakBefore/>
        <w:spacing w:after="170"/>
        <w:rPr>
          <w:b/>
          <w:bCs/>
        </w:rPr>
      </w:pPr>
      <w:r>
        <w:rPr>
          <w:b/>
          <w:bCs/>
        </w:rPr>
        <w:t>SUPPLEMENTAL MATERIAL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</w:pPr>
      <w:proofErr w:type="gramStart"/>
      <w:r>
        <w:rPr>
          <w:b/>
          <w:bCs/>
        </w:rPr>
        <w:t>Supplemental Figure</w:t>
      </w:r>
      <w:r>
        <w:rPr>
          <w:rFonts w:eastAsia="Times New Roman"/>
          <w:b/>
          <w:bCs/>
        </w:rPr>
        <w:t xml:space="preserve"> 1</w:t>
      </w:r>
      <w:r>
        <w:rPr>
          <w:b/>
          <w:bCs/>
        </w:rPr>
        <w:t>.</w:t>
      </w:r>
      <w:proofErr w:type="gramEnd"/>
      <w:r>
        <w:rPr>
          <w:rFonts w:eastAsia="Times New Roman"/>
        </w:rPr>
        <w:t xml:space="preserve"> </w:t>
      </w:r>
      <w:r>
        <w:t>Cell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proofErr w:type="spellStart"/>
      <w:r>
        <w:t>dendrogram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78</w:t>
      </w:r>
      <w:r>
        <w:rPr>
          <w:rFonts w:eastAsia="Times New Roman"/>
        </w:rPr>
        <w:t xml:space="preserve"> </w:t>
      </w:r>
      <w:r>
        <w:t>ENCODE</w:t>
      </w:r>
      <w:r>
        <w:rPr>
          <w:rFonts w:eastAsia="Times New Roman"/>
        </w:rPr>
        <w:t xml:space="preserve"> </w:t>
      </w:r>
      <w:r>
        <w:t>cell</w:t>
      </w:r>
      <w:r>
        <w:rPr>
          <w:rFonts w:eastAsia="Times New Roman"/>
        </w:rPr>
        <w:t xml:space="preserve"> </w:t>
      </w:r>
      <w:r>
        <w:t>types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hierarchically</w:t>
      </w:r>
      <w:r>
        <w:rPr>
          <w:rFonts w:eastAsia="Times New Roman"/>
        </w:rPr>
        <w:t xml:space="preserve"> </w:t>
      </w:r>
      <w:r>
        <w:t>clustered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 degree of overlap of their</w:t>
      </w:r>
      <w:r>
        <w:rPr>
          <w:rFonts w:eastAsia="Times New Roman"/>
        </w:rPr>
        <w:t xml:space="preserve"> </w:t>
      </w:r>
      <w:r>
        <w:t>hypersensitive</w:t>
      </w:r>
      <w:r>
        <w:rPr>
          <w:rFonts w:eastAsia="Times New Roman"/>
        </w:rPr>
        <w:t xml:space="preserve"> </w:t>
      </w:r>
      <w:r>
        <w:t>regions,</w:t>
      </w:r>
      <w:r>
        <w:rPr>
          <w:rFonts w:eastAsia="Times New Roman"/>
        </w:rPr>
        <w:t xml:space="preserve"> </w:t>
      </w:r>
      <w:r>
        <w:t>resulting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41 </w:t>
      </w:r>
      <w:r>
        <w:t>cell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clusters (see Methods).</w:t>
      </w:r>
      <w:r>
        <w:rPr>
          <w:rFonts w:eastAsia="Times New Roman"/>
        </w:rPr>
        <w:t xml:space="preserve"> </w:t>
      </w:r>
      <w:r>
        <w:t xml:space="preserve">The </w:t>
      </w:r>
      <w:r>
        <w:rPr>
          <w:rFonts w:eastAsia="Times New Roman"/>
        </w:rPr>
        <w:t xml:space="preserve">inner </w:t>
      </w:r>
      <w:r>
        <w:t>structure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clusters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shown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black,</w:t>
      </w:r>
      <w:r>
        <w:rPr>
          <w:rFonts w:eastAsia="Times New Roman"/>
        </w:rPr>
        <w:t xml:space="preserve"> </w:t>
      </w:r>
      <w:r>
        <w:t>whereas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relationships</w:t>
      </w:r>
      <w:r>
        <w:rPr>
          <w:rFonts w:eastAsia="Times New Roman"/>
        </w:rPr>
        <w:t xml:space="preserve"> </w:t>
      </w:r>
      <w:r>
        <w:t>between</w:t>
      </w:r>
      <w:r>
        <w:rPr>
          <w:rFonts w:eastAsia="Times New Roman"/>
        </w:rPr>
        <w:t xml:space="preserve"> the </w:t>
      </w:r>
      <w:r>
        <w:t>clusters</w:t>
      </w:r>
      <w:r>
        <w:rPr>
          <w:rFonts w:eastAsia="Times New Roman"/>
        </w:rPr>
        <w:t xml:space="preserve"> are </w:t>
      </w:r>
      <w:r>
        <w:t>shown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red.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</w:pPr>
      <w:proofErr w:type="gramStart"/>
      <w:r>
        <w:rPr>
          <w:b/>
          <w:bCs/>
        </w:rPr>
        <w:t>Supplemental Figure 2.</w:t>
      </w:r>
      <w:proofErr w:type="gramEnd"/>
      <w:r>
        <w:t xml:space="preserve"> </w:t>
      </w:r>
      <w:proofErr w:type="gramStart"/>
      <w:r>
        <w:t>The effect of motif complex orientation</w:t>
      </w:r>
      <w:r>
        <w:rPr>
          <w:rFonts w:eastAsia="Times New Roman"/>
        </w:rPr>
        <w:t>.</w:t>
      </w:r>
      <w:proofErr w:type="gramEnd"/>
      <w:r>
        <w:t xml:space="preserve"> </w:t>
      </w:r>
      <w:proofErr w:type="gramStart"/>
      <w:r>
        <w:t>As in Fig. 1, but indicating the number of motif complex occurrences for both of the possible motif orientations in a motif complex.</w:t>
      </w:r>
      <w:proofErr w:type="gramEnd"/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Supplemental Figure 3.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Cluster of highly similar motif complexes corresponding to AR–FOXA1 </w:t>
      </w:r>
      <w:proofErr w:type="spellStart"/>
      <w:r>
        <w:rPr>
          <w:rFonts w:eastAsia="Times New Roman"/>
        </w:rPr>
        <w:t>cooperativity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The top 10 overrepresented motif complexes comprising row 6 in Fig. 2 are shown. The color of the motif bounding boxes indicates motif orientation relative to TRANSFAC: blue – same orientation, red – opposite.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</w:pPr>
      <w:proofErr w:type="gramStart"/>
      <w:r>
        <w:rPr>
          <w:b/>
          <w:bCs/>
        </w:rPr>
        <w:t>Supplemental Figure 4.</w:t>
      </w:r>
      <w:proofErr w:type="gramEnd"/>
      <w:r>
        <w:t xml:space="preserve"> </w:t>
      </w:r>
      <w:proofErr w:type="gramStart"/>
      <w:r>
        <w:t>Same as Fig. 5, but after motif trimming (see Methods).</w:t>
      </w:r>
      <w:proofErr w:type="gramEnd"/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Supplemental Figure 5.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Converging FOXA1 </w:t>
      </w:r>
      <w:proofErr w:type="spellStart"/>
      <w:r>
        <w:rPr>
          <w:rFonts w:eastAsia="Times New Roman"/>
        </w:rPr>
        <w:t>homodimer</w:t>
      </w:r>
      <w:proofErr w:type="spellEnd"/>
      <w:r>
        <w:rPr>
          <w:rFonts w:eastAsia="Times New Roman"/>
        </w:rPr>
        <w:t xml:space="preserve"> 3D structure (Fig. 6C) seen from a different perspective.</w:t>
      </w:r>
      <w:proofErr w:type="gramEnd"/>
      <w:r>
        <w:rPr>
          <w:rFonts w:eastAsia="Times New Roman"/>
        </w:rPr>
        <w:t xml:space="preserve"> Notably, C termini do not overlap.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Supplemental Table 1.</w:t>
      </w:r>
      <w:proofErr w:type="gramEnd"/>
      <w:r>
        <w:rPr>
          <w:rFonts w:eastAsia="Times New Roman"/>
        </w:rPr>
        <w:t xml:space="preserve"> Known </w:t>
      </w:r>
      <w:proofErr w:type="spellStart"/>
      <w:r>
        <w:rPr>
          <w:rFonts w:eastAsia="Times New Roman"/>
        </w:rPr>
        <w:t>dimeric</w:t>
      </w:r>
      <w:proofErr w:type="spellEnd"/>
      <w:r>
        <w:rPr>
          <w:rFonts w:eastAsia="Times New Roman"/>
        </w:rPr>
        <w:t xml:space="preserve"> DNA-binding transcription factor complexes.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</w:pPr>
      <w:proofErr w:type="gramStart"/>
      <w:r>
        <w:rPr>
          <w:b/>
          <w:bCs/>
        </w:rPr>
        <w:t>Supplemental Table 2.</w:t>
      </w:r>
      <w:proofErr w:type="gramEnd"/>
      <w:r>
        <w:t xml:space="preserve"> </w:t>
      </w:r>
      <w:proofErr w:type="spellStart"/>
      <w:r>
        <w:t>DNase</w:t>
      </w:r>
      <w:proofErr w:type="spellEnd"/>
      <w:r>
        <w:t> I hypersensitivity datasets used in this study. Datasets covering 78 distinct cell types, generated by the ENCODE group at the University of Washington, were obtained from the UCSC Genome Browser (</w:t>
      </w:r>
      <w:proofErr w:type="spellStart"/>
      <w:r>
        <w:t>wgEncodeUwDnase</w:t>
      </w:r>
      <w:proofErr w:type="spellEnd"/>
      <w:r>
        <w:t xml:space="preserve"> track, hg19 read alignments).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</w:pPr>
      <w:proofErr w:type="gramStart"/>
      <w:r>
        <w:rPr>
          <w:b/>
          <w:bCs/>
        </w:rPr>
        <w:t>Supplemental Table 3.</w:t>
      </w:r>
      <w:proofErr w:type="gramEnd"/>
      <w:r>
        <w:t xml:space="preserve"> </w:t>
      </w:r>
      <w:proofErr w:type="gramStart"/>
      <w:r>
        <w:t>Cell-type–specific statistics of our predictions.</w:t>
      </w:r>
      <w:proofErr w:type="gramEnd"/>
      <w:r>
        <w:t xml:space="preserve"> For each of the 41 cell types (i.e. cell type clusters) we indicate the number and total length of cell-type–specific hypersensitive sites, the number of overrepresented motif complexes and the number of predicted cooperative interactions.</w:t>
      </w:r>
    </w:p>
    <w:p w:rsidR="00C42FA0" w:rsidRDefault="00C42FA0" w:rsidP="00C42FA0">
      <w:pPr>
        <w:rPr>
          <w:b/>
          <w:bCs/>
        </w:rPr>
      </w:pPr>
    </w:p>
    <w:p w:rsidR="00C42FA0" w:rsidRDefault="00C42FA0" w:rsidP="00C42FA0">
      <w:pPr>
        <w:spacing w:after="17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Supplemental Table 4.</w:t>
      </w:r>
      <w:proofErr w:type="gramEnd"/>
      <w:r>
        <w:rPr>
          <w:rFonts w:eastAsia="Times New Roman"/>
        </w:rPr>
        <w:t xml:space="preserve"> Detailed list of all 603 predicted cooperative interactions. Each of the 5,233 rows corresponds to an overrepresented motif complex. Their clustering into 603 predictions is indicated in the </w:t>
      </w:r>
      <w:proofErr w:type="spellStart"/>
      <w:r>
        <w:rPr>
          <w:rFonts w:eastAsia="Times New Roman"/>
        </w:rPr>
        <w:t>cluster_id</w:t>
      </w:r>
      <w:proofErr w:type="spellEnd"/>
      <w:r>
        <w:rPr>
          <w:rFonts w:eastAsia="Times New Roman"/>
        </w:rPr>
        <w:t xml:space="preserve"> column, with the first row in each cluster corresponding to signature motif complex.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A0"/>
    <w:rsid w:val="00267A7B"/>
    <w:rsid w:val="0027073C"/>
    <w:rsid w:val="008420E3"/>
    <w:rsid w:val="00B55501"/>
    <w:rsid w:val="00C14746"/>
    <w:rsid w:val="00C42FA0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Macintosh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2013-05-14T15:10:00Z</dcterms:created>
  <dcterms:modified xsi:type="dcterms:W3CDTF">2013-05-14T15:11:00Z</dcterms:modified>
</cp:coreProperties>
</file>