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B9CB5" w14:textId="3EACE3F2" w:rsidR="001A0CA6" w:rsidRPr="00547D5C" w:rsidRDefault="000B2550" w:rsidP="000D233B">
      <w:pPr>
        <w:spacing w:before="120" w:line="360" w:lineRule="auto"/>
        <w:rPr>
          <w:b/>
        </w:rPr>
      </w:pPr>
      <w:r>
        <w:rPr>
          <w:b/>
        </w:rPr>
        <w:t xml:space="preserve">Supplemental Material for Newburger et al:  </w:t>
      </w:r>
      <w:r w:rsidR="001A0CA6" w:rsidRPr="00547D5C">
        <w:rPr>
          <w:b/>
        </w:rPr>
        <w:t>Validation</w:t>
      </w:r>
      <w:r w:rsidR="00055261" w:rsidRPr="00547D5C">
        <w:rPr>
          <w:b/>
        </w:rPr>
        <w:t xml:space="preserve"> of SNV calls and phylogenetic classes by targeted PCR</w:t>
      </w:r>
    </w:p>
    <w:p w14:paraId="6091BBBB" w14:textId="7AE14951" w:rsidR="00560193" w:rsidRPr="00560193" w:rsidRDefault="00560193" w:rsidP="000D233B">
      <w:pPr>
        <w:spacing w:before="120" w:line="360" w:lineRule="auto"/>
        <w:rPr>
          <w:u w:val="single"/>
        </w:rPr>
      </w:pPr>
      <w:r>
        <w:rPr>
          <w:u w:val="single"/>
        </w:rPr>
        <w:t xml:space="preserve">Validation </w:t>
      </w:r>
      <w:r w:rsidRPr="00560193">
        <w:rPr>
          <w:u w:val="single"/>
        </w:rPr>
        <w:t>Design</w:t>
      </w:r>
    </w:p>
    <w:p w14:paraId="3542F326" w14:textId="3F8E0F56" w:rsidR="007156E1" w:rsidRDefault="001A0CA6" w:rsidP="000D233B">
      <w:pPr>
        <w:spacing w:before="120" w:line="360" w:lineRule="auto"/>
      </w:pPr>
      <w:r>
        <w:t xml:space="preserve">We designed primers to </w:t>
      </w:r>
      <w:r w:rsidR="000E4C1C">
        <w:t xml:space="preserve">target </w:t>
      </w:r>
      <w:r>
        <w:t>a ran</w:t>
      </w:r>
      <w:r w:rsidR="00342EA0">
        <w:t xml:space="preserve">dom subset of SNVs within each sample-specific and </w:t>
      </w:r>
      <w:r>
        <w:t>phylogenetic class</w:t>
      </w:r>
      <w:r w:rsidR="000E4C1C">
        <w:t xml:space="preserve"> for validation</w:t>
      </w:r>
      <w:r w:rsidR="007B03B3">
        <w:t>, using</w:t>
      </w:r>
      <w:r w:rsidR="000E4C1C">
        <w:t xml:space="preserve"> </w:t>
      </w:r>
      <w:r w:rsidR="00E807C5">
        <w:t>target-</w:t>
      </w:r>
      <w:r w:rsidR="000E4C1C">
        <w:t>specific PCR amplification followed by sequencing</w:t>
      </w:r>
      <w:r>
        <w:t xml:space="preserve">.  </w:t>
      </w:r>
      <w:r w:rsidR="00E807C5">
        <w:t xml:space="preserve">We </w:t>
      </w:r>
      <w:r w:rsidR="00206823">
        <w:t>focused on</w:t>
      </w:r>
      <w:r w:rsidR="00E807C5">
        <w:t xml:space="preserve"> Patients 2 and 6 because </w:t>
      </w:r>
      <w:r w:rsidR="0047213F">
        <w:t xml:space="preserve">their lesions </w:t>
      </w:r>
      <w:r w:rsidR="00E807C5">
        <w:t>have the greatest phylogenetic complexity</w:t>
      </w:r>
      <w:r w:rsidR="00CA1209">
        <w:t xml:space="preserve"> </w:t>
      </w:r>
      <w:r w:rsidR="00E807C5">
        <w:t xml:space="preserve">(Fig. 5) and therefore constitute the most stringent test of the main results of our study. </w:t>
      </w:r>
      <w:r>
        <w:t xml:space="preserve">192 </w:t>
      </w:r>
      <w:r w:rsidR="00CA1209">
        <w:t xml:space="preserve">and 196 </w:t>
      </w:r>
      <w:r>
        <w:t>primer sets were designed</w:t>
      </w:r>
      <w:r w:rsidR="00103125" w:rsidRPr="00103125">
        <w:t xml:space="preserve"> </w:t>
      </w:r>
      <w:r w:rsidR="00103125">
        <w:t>for Patients 2 and 6</w:t>
      </w:r>
      <w:r w:rsidR="00CA1209">
        <w:t>, respectively</w:t>
      </w:r>
      <w:r w:rsidR="00E807C5">
        <w:t xml:space="preserve">, such that </w:t>
      </w:r>
      <w:r w:rsidR="00206823">
        <w:t>each</w:t>
      </w:r>
      <w:r w:rsidR="00E807C5">
        <w:t xml:space="preserve"> SNV to be validated was within approximately 40 bases of the sequence start site</w:t>
      </w:r>
      <w:r>
        <w:t>. Primer design wa</w:t>
      </w:r>
      <w:r w:rsidR="007B03B3">
        <w:t>s optimized for multiplexing.  Primers contained Illumina linker sequences</w:t>
      </w:r>
      <w:r w:rsidR="0047213F">
        <w:t xml:space="preserve"> to facilitate sequencing</w:t>
      </w:r>
      <w:r w:rsidR="007B03B3">
        <w:t>.  The initial target-specific multiplex PCR was performed with slow-annealing.  A second PCR using Illumina</w:t>
      </w:r>
      <w:r w:rsidR="00CA1209">
        <w:t>-compatible</w:t>
      </w:r>
      <w:r w:rsidR="007B03B3">
        <w:t xml:space="preserve"> primers added barcodes and yielded preparative amounts of material.  All b</w:t>
      </w:r>
      <w:r w:rsidR="000E4C1C">
        <w:t>arcoded samples from a single patient were combined into a single</w:t>
      </w:r>
      <w:r w:rsidR="007156E1">
        <w:t xml:space="preserve"> lane of HiSeq2000</w:t>
      </w:r>
      <w:r w:rsidR="007B03B3">
        <w:t xml:space="preserve"> for</w:t>
      </w:r>
      <w:r w:rsidR="007156E1">
        <w:t xml:space="preserve"> sequencing.</w:t>
      </w:r>
    </w:p>
    <w:p w14:paraId="3E08AF47" w14:textId="7AA83C4E" w:rsidR="007156E1" w:rsidRDefault="00CA1209" w:rsidP="000D233B">
      <w:pPr>
        <w:spacing w:before="120" w:line="360" w:lineRule="auto"/>
      </w:pPr>
      <w:r>
        <w:t>For Patient 2, 192 of 192</w:t>
      </w:r>
      <w:r w:rsidR="000E4C1C">
        <w:t xml:space="preserve"> targets </w:t>
      </w:r>
      <w:r w:rsidR="00F367D0">
        <w:t>successfully</w:t>
      </w:r>
      <w:r w:rsidR="000E4C1C">
        <w:t xml:space="preserve"> generated </w:t>
      </w:r>
      <w:r w:rsidR="00AE504E">
        <w:t>enough reads to support validation</w:t>
      </w:r>
      <w:r w:rsidR="000E4C1C">
        <w:t>, with</w:t>
      </w:r>
      <w:r w:rsidR="007156E1">
        <w:t xml:space="preserve"> a mean coverage (number of reads per target per sample) of </w:t>
      </w:r>
      <w:r w:rsidR="000E4C1C">
        <w:t>al</w:t>
      </w:r>
      <w:r w:rsidR="007156E1">
        <w:t xml:space="preserve">most 190,000. </w:t>
      </w:r>
      <w:r w:rsidR="00CC0FAB">
        <w:t xml:space="preserve"> </w:t>
      </w:r>
      <w:r w:rsidR="007156E1">
        <w:t>For Patient 6, 195</w:t>
      </w:r>
      <w:r w:rsidR="00AE504E">
        <w:t xml:space="preserve"> of 196 targets were successful</w:t>
      </w:r>
      <w:r w:rsidR="000E4C1C">
        <w:t xml:space="preserve">, with </w:t>
      </w:r>
      <w:r w:rsidR="007156E1">
        <w:t>a</w:t>
      </w:r>
      <w:r w:rsidR="000E4C1C">
        <w:t xml:space="preserve"> mean </w:t>
      </w:r>
      <w:r w:rsidR="007156E1">
        <w:t>coverage</w:t>
      </w:r>
      <w:r w:rsidR="000E4C1C">
        <w:t xml:space="preserve"> </w:t>
      </w:r>
      <w:r w:rsidR="007156E1">
        <w:t>of just over 43,000.</w:t>
      </w:r>
    </w:p>
    <w:p w14:paraId="2C92E0C4" w14:textId="3BAD42FA" w:rsidR="008E2536" w:rsidRDefault="000460FE" w:rsidP="000D233B">
      <w:pPr>
        <w:spacing w:before="120" w:line="360" w:lineRule="auto"/>
      </w:pPr>
      <w:r>
        <w:t xml:space="preserve">Amplification and sequencing </w:t>
      </w:r>
      <w:r w:rsidR="00CD43D1">
        <w:t xml:space="preserve">were </w:t>
      </w:r>
      <w:r>
        <w:t xml:space="preserve">performed with all targets (each pool containing all PCR </w:t>
      </w:r>
      <w:r w:rsidR="005A442E">
        <w:t xml:space="preserve">196 patient-specific </w:t>
      </w:r>
      <w:r>
        <w:t>primer</w:t>
      </w:r>
      <w:r w:rsidR="005A442E">
        <w:t xml:space="preserve"> pair</w:t>
      </w:r>
      <w:r>
        <w:t>s) on all samples (which were amplified separately) of each patient.  This design supported two levels of validation for both patients</w:t>
      </w:r>
      <w:r w:rsidR="0039175B">
        <w:t xml:space="preserve">, which </w:t>
      </w:r>
      <w:r w:rsidR="00AE504E">
        <w:t xml:space="preserve">we </w:t>
      </w:r>
      <w:r w:rsidR="008E2536">
        <w:t>denote A and B.</w:t>
      </w:r>
      <w:r w:rsidR="00471944">
        <w:t xml:space="preserve">  </w:t>
      </w:r>
      <w:r w:rsidR="00AA35BC">
        <w:t>Two more</w:t>
      </w:r>
      <w:r w:rsidR="00471944">
        <w:t xml:space="preserve"> type</w:t>
      </w:r>
      <w:r w:rsidR="00AA35BC">
        <w:t>s</w:t>
      </w:r>
      <w:r w:rsidR="00471944">
        <w:t xml:space="preserve"> of validation, C</w:t>
      </w:r>
      <w:r w:rsidR="00AA35BC">
        <w:t xml:space="preserve"> and D</w:t>
      </w:r>
      <w:r w:rsidR="00471944">
        <w:t>, w</w:t>
      </w:r>
      <w:r w:rsidR="00AA35BC">
        <w:t>ere</w:t>
      </w:r>
      <w:r w:rsidR="00471944">
        <w:t xml:space="preserve"> possible in Patient 6.</w:t>
      </w:r>
      <w:r w:rsidR="00DC6A9B">
        <w:t xml:space="preserve">  For a visual representation of the results from Patient 6 please see </w:t>
      </w:r>
      <w:r w:rsidR="000B2550">
        <w:t>Supplemental Fig. S4</w:t>
      </w:r>
      <w:r w:rsidR="00DC6A9B">
        <w:t>.</w:t>
      </w:r>
    </w:p>
    <w:p w14:paraId="1A651649" w14:textId="3314A4FE" w:rsidR="00471944" w:rsidRPr="00547D5C" w:rsidRDefault="00471944" w:rsidP="000D233B">
      <w:pPr>
        <w:spacing w:before="120" w:line="360" w:lineRule="auto"/>
        <w:rPr>
          <w:u w:val="single"/>
        </w:rPr>
      </w:pPr>
      <w:r w:rsidRPr="00547D5C">
        <w:rPr>
          <w:u w:val="single"/>
        </w:rPr>
        <w:t>Validation A</w:t>
      </w:r>
    </w:p>
    <w:p w14:paraId="45B3F7AC" w14:textId="36E98E12" w:rsidR="008E2536" w:rsidRDefault="00471944" w:rsidP="000D233B">
      <w:pPr>
        <w:spacing w:before="120" w:line="360" w:lineRule="auto"/>
      </w:pPr>
      <w:r>
        <w:t xml:space="preserve">Validation A is the simplest of the </w:t>
      </w:r>
      <w:r w:rsidR="004A1FF9">
        <w:t xml:space="preserve">four </w:t>
      </w:r>
      <w:r>
        <w:t xml:space="preserve">approaches.  It asks whether </w:t>
      </w:r>
      <w:r w:rsidR="000460FE">
        <w:t xml:space="preserve">the validation </w:t>
      </w:r>
      <w:r>
        <w:t xml:space="preserve">PCR/sequencing </w:t>
      </w:r>
      <w:r w:rsidR="000460FE">
        <w:t>support</w:t>
      </w:r>
      <w:r>
        <w:t>s</w:t>
      </w:r>
      <w:r w:rsidR="000460FE">
        <w:t xml:space="preserve"> the </w:t>
      </w:r>
      <w:r w:rsidR="00AE504E">
        <w:t xml:space="preserve">initial </w:t>
      </w:r>
      <w:r w:rsidR="000460FE">
        <w:t>SNV call at all</w:t>
      </w:r>
      <w:r w:rsidR="008E2536">
        <w:t xml:space="preserve">, i.e., </w:t>
      </w:r>
      <w:r>
        <w:t>whether</w:t>
      </w:r>
      <w:r w:rsidR="008E2536">
        <w:t xml:space="preserve"> the alternate allele </w:t>
      </w:r>
      <w:r>
        <w:t xml:space="preserve">is </w:t>
      </w:r>
      <w:r w:rsidR="008E2536">
        <w:t xml:space="preserve">detectable </w:t>
      </w:r>
      <w:r w:rsidR="00366A0C">
        <w:t xml:space="preserve">well </w:t>
      </w:r>
      <w:r w:rsidR="008E2536">
        <w:t>above background</w:t>
      </w:r>
      <w:r w:rsidR="004A1FF9">
        <w:t xml:space="preserve"> in at least one sample</w:t>
      </w:r>
      <w:r>
        <w:t>.</w:t>
      </w:r>
    </w:p>
    <w:p w14:paraId="63682F4B" w14:textId="7AFBF0E5" w:rsidR="005A442E" w:rsidRDefault="001B37F2" w:rsidP="000D233B">
      <w:pPr>
        <w:spacing w:before="120" w:line="360" w:lineRule="auto"/>
      </w:pPr>
      <w:r>
        <w:t>A for Patient 2 i</w:t>
      </w:r>
      <w:r w:rsidR="00CA1209">
        <w:t>s 192/192</w:t>
      </w:r>
      <w:r w:rsidR="00AE504E">
        <w:t xml:space="preserve"> = 100%.</w:t>
      </w:r>
    </w:p>
    <w:p w14:paraId="650FA88E" w14:textId="44FA750B" w:rsidR="00AE504E" w:rsidRDefault="001B37F2" w:rsidP="000D233B">
      <w:pPr>
        <w:spacing w:before="120" w:line="360" w:lineRule="auto"/>
      </w:pPr>
      <w:r>
        <w:t>A for Patient 6 i</w:t>
      </w:r>
      <w:r w:rsidR="00AE504E">
        <w:t>s 180/195 = 92%.</w:t>
      </w:r>
    </w:p>
    <w:p w14:paraId="48688482" w14:textId="3910B3D2" w:rsidR="00AE504E" w:rsidRDefault="00AE504E" w:rsidP="000D233B">
      <w:pPr>
        <w:spacing w:before="120" w:line="360" w:lineRule="auto"/>
      </w:pPr>
      <w:r>
        <w:t xml:space="preserve">12 of the false positives of Patient 6 </w:t>
      </w:r>
      <w:r w:rsidR="001B37F2">
        <w:t>are</w:t>
      </w:r>
      <w:r>
        <w:t xml:space="preserve"> </w:t>
      </w:r>
      <w:r w:rsidR="00953EEF">
        <w:t xml:space="preserve">SNVs that </w:t>
      </w:r>
      <w:r w:rsidR="00BE3A4E">
        <w:t>had</w:t>
      </w:r>
      <w:r w:rsidR="00953EEF">
        <w:t xml:space="preserve"> </w:t>
      </w:r>
      <w:r w:rsidR="00BE3A4E">
        <w:t xml:space="preserve">initially been </w:t>
      </w:r>
      <w:r w:rsidR="00953EEF">
        <w:t xml:space="preserve">called </w:t>
      </w:r>
      <w:r w:rsidR="00BE3A4E">
        <w:t xml:space="preserve">as </w:t>
      </w:r>
      <w:r w:rsidR="00953EEF">
        <w:t>private to the</w:t>
      </w:r>
      <w:r>
        <w:t xml:space="preserve"> ENA sample</w:t>
      </w:r>
      <w:r w:rsidR="00953EEF">
        <w:t xml:space="preserve">. </w:t>
      </w:r>
      <w:r w:rsidR="004A1FF9">
        <w:t xml:space="preserve"> </w:t>
      </w:r>
      <w:r>
        <w:t xml:space="preserve">Excluding the ENA-only calls, the validation rate improves to </w:t>
      </w:r>
      <w:r w:rsidR="00953EEF">
        <w:t>172/175 = 98%.</w:t>
      </w:r>
    </w:p>
    <w:p w14:paraId="7E9B4AA6" w14:textId="756E2983" w:rsidR="00953EEF" w:rsidRDefault="00055261" w:rsidP="000D233B">
      <w:pPr>
        <w:spacing w:before="120" w:line="360" w:lineRule="auto"/>
      </w:pPr>
      <w:r>
        <w:lastRenderedPageBreak/>
        <w:t xml:space="preserve">In this context, we note that SNVs that </w:t>
      </w:r>
      <w:r w:rsidR="001B37F2">
        <w:t>are</w:t>
      </w:r>
      <w:r>
        <w:t xml:space="preserve"> present in the ENA and also in another sample ha</w:t>
      </w:r>
      <w:r w:rsidR="001B37F2">
        <w:t xml:space="preserve">ve </w:t>
      </w:r>
      <w:r>
        <w:t xml:space="preserve">a much better validation rate than those present in the ENA alone, due to the </w:t>
      </w:r>
      <w:r w:rsidR="00471944">
        <w:t>additional</w:t>
      </w:r>
      <w:r>
        <w:t xml:space="preserve"> signal provided by the other samples.</w:t>
      </w:r>
    </w:p>
    <w:p w14:paraId="524DD030" w14:textId="6864DCE5" w:rsidR="00BE3A4E" w:rsidRDefault="00BE3A4E" w:rsidP="000D233B">
      <w:pPr>
        <w:spacing w:before="120" w:line="360" w:lineRule="auto"/>
      </w:pPr>
      <w:r>
        <w:t>We conclude</w:t>
      </w:r>
      <w:r w:rsidR="001B37F2">
        <w:t xml:space="preserve"> that our initial SNV calls had</w:t>
      </w:r>
      <w:r>
        <w:t xml:space="preserve"> a high degree of specificity.  SNVs present in more than one </w:t>
      </w:r>
      <w:r w:rsidR="001B37F2">
        <w:t>sample, which comprise the classes that are most important for our study,</w:t>
      </w:r>
      <w:r>
        <w:t xml:space="preserve"> have an almost perfect validation rate.</w:t>
      </w:r>
    </w:p>
    <w:p w14:paraId="1AEAC90C" w14:textId="3C2F8F96" w:rsidR="00BE3A4E" w:rsidRPr="00547D5C" w:rsidRDefault="00BE3A4E" w:rsidP="000D233B">
      <w:pPr>
        <w:spacing w:before="120" w:line="360" w:lineRule="auto"/>
        <w:rPr>
          <w:u w:val="single"/>
        </w:rPr>
      </w:pPr>
      <w:r w:rsidRPr="00547D5C">
        <w:rPr>
          <w:u w:val="single"/>
        </w:rPr>
        <w:t>Validation B</w:t>
      </w:r>
    </w:p>
    <w:p w14:paraId="569A784B" w14:textId="4196F057" w:rsidR="00471944" w:rsidRDefault="00BE3A4E" w:rsidP="000D233B">
      <w:pPr>
        <w:spacing w:before="120" w:line="360" w:lineRule="auto"/>
      </w:pPr>
      <w:r>
        <w:t>Validation</w:t>
      </w:r>
      <w:r w:rsidR="006353EC">
        <w:t xml:space="preserve"> B addresses sample-specificity and whether the assignment of an SNV to a </w:t>
      </w:r>
      <w:r w:rsidR="001B37F2">
        <w:t xml:space="preserve">specific </w:t>
      </w:r>
      <w:r w:rsidR="006353EC">
        <w:t xml:space="preserve">class, especially to a phylogenetically informative class, was correct.  The most stringent metric is to ask </w:t>
      </w:r>
      <w:r w:rsidR="001B37F2">
        <w:t>what fraction of</w:t>
      </w:r>
      <w:r w:rsidR="006353EC">
        <w:t xml:space="preserve"> SNV</w:t>
      </w:r>
      <w:r w:rsidR="001B37F2">
        <w:t>s</w:t>
      </w:r>
      <w:r w:rsidR="006353EC">
        <w:t xml:space="preserve"> </w:t>
      </w:r>
      <w:r w:rsidR="001B37F2">
        <w:t xml:space="preserve">are validated to be present in precisely the same set of samples as the initial assignment based on the whole genome sequence, and to count each </w:t>
      </w:r>
      <w:r w:rsidR="00DC6A9B">
        <w:t xml:space="preserve">with a </w:t>
      </w:r>
      <w:r w:rsidR="001B37F2">
        <w:t>misassignment as incorrect.</w:t>
      </w:r>
      <w:r w:rsidR="00547D5C">
        <w:t xml:space="preserve">  It uses those SNVs that were validated to be present (validation A).</w:t>
      </w:r>
    </w:p>
    <w:p w14:paraId="477A3F6F" w14:textId="1AA820B2" w:rsidR="001B37F2" w:rsidRDefault="00772F7C" w:rsidP="000D233B">
      <w:pPr>
        <w:spacing w:before="120" w:line="360" w:lineRule="auto"/>
      </w:pPr>
      <w:r>
        <w:t>B for Patient 2 is 180/192</w:t>
      </w:r>
      <w:r w:rsidR="001B37F2">
        <w:t xml:space="preserve"> = 94%</w:t>
      </w:r>
      <w:r w:rsidR="00431C2B">
        <w:t>.</w:t>
      </w:r>
    </w:p>
    <w:p w14:paraId="5F637AEE" w14:textId="1D9F9551" w:rsidR="00431C2B" w:rsidRDefault="00431C2B" w:rsidP="000D233B">
      <w:pPr>
        <w:spacing w:before="120" w:line="360" w:lineRule="auto"/>
      </w:pPr>
      <w:r>
        <w:t xml:space="preserve">11 of the 12 miscalls involve an SNV that </w:t>
      </w:r>
      <w:r w:rsidR="00B90FAB">
        <w:t>was initially</w:t>
      </w:r>
      <w:r>
        <w:t xml:space="preserve"> called as IDC-only, but is in fact an SNV shared between the EN and the IDC.  Recall that this class had low alternate allele frequencies in the EN, so these were simply missed in the genome-wide data due to their very low frequency.</w:t>
      </w:r>
    </w:p>
    <w:p w14:paraId="128FFBA7" w14:textId="119360CC" w:rsidR="00055261" w:rsidRDefault="001B37F2" w:rsidP="000D233B">
      <w:pPr>
        <w:spacing w:before="120" w:line="360" w:lineRule="auto"/>
      </w:pPr>
      <w:r>
        <w:t xml:space="preserve">B for Patient 6 is </w:t>
      </w:r>
      <w:r w:rsidR="00431C2B">
        <w:t>176/180 = 98%.</w:t>
      </w:r>
    </w:p>
    <w:p w14:paraId="0EC9D20C" w14:textId="5CF29416" w:rsidR="001A0CA6" w:rsidRDefault="00B90FAB" w:rsidP="000D233B">
      <w:pPr>
        <w:spacing w:before="120" w:line="360" w:lineRule="auto"/>
      </w:pPr>
      <w:r>
        <w:t xml:space="preserve">In summary, our class </w:t>
      </w:r>
      <w:r w:rsidR="00431C2B">
        <w:t>assignments are highly accurate and the small amount of error does not affect the study’s results or conclusions in any way.</w:t>
      </w:r>
    </w:p>
    <w:p w14:paraId="268B0DA9" w14:textId="104F6601" w:rsidR="00953EEF" w:rsidRDefault="00431C2B" w:rsidP="000D233B">
      <w:pPr>
        <w:spacing w:before="120" w:line="360" w:lineRule="auto"/>
      </w:pPr>
      <w:r>
        <w:rPr>
          <w:u w:val="single"/>
        </w:rPr>
        <w:t>Validation C</w:t>
      </w:r>
    </w:p>
    <w:p w14:paraId="5C2C065D" w14:textId="15880A03" w:rsidR="00431C2B" w:rsidRDefault="00431C2B" w:rsidP="000D233B">
      <w:pPr>
        <w:spacing w:before="120" w:line="360" w:lineRule="auto"/>
      </w:pPr>
      <w:r>
        <w:t xml:space="preserve">In Patient 6, we were able to go back to the archival tissue and recover </w:t>
      </w:r>
      <w:r w:rsidR="00AA35BC">
        <w:t xml:space="preserve">additional (separate) IDC </w:t>
      </w:r>
      <w:r w:rsidR="00926F52">
        <w:t>material</w:t>
      </w:r>
      <w:r w:rsidR="00AA35BC">
        <w:t xml:space="preserve"> as well as a sample of normal tissue.  In what might be called a “biological” validation, we can therefore ask what fraction of SNVs present in the original IDC are also present in the two new IDC</w:t>
      </w:r>
      <w:r w:rsidR="00926F52">
        <w:t xml:space="preserve"> </w:t>
      </w:r>
      <w:r w:rsidR="00AA35BC">
        <w:t>s</w:t>
      </w:r>
      <w:r w:rsidR="00926F52">
        <w:t>amples</w:t>
      </w:r>
      <w:r w:rsidR="00AA35BC">
        <w:t>.</w:t>
      </w:r>
    </w:p>
    <w:p w14:paraId="19450644" w14:textId="4B684815" w:rsidR="00AA35BC" w:rsidRDefault="00AA35BC" w:rsidP="000D233B">
      <w:pPr>
        <w:spacing w:before="120" w:line="360" w:lineRule="auto"/>
      </w:pPr>
      <w:r w:rsidRPr="00B90FAB">
        <w:rPr>
          <w:i/>
        </w:rPr>
        <w:t>Class IDC-only</w:t>
      </w:r>
      <w:r>
        <w:t xml:space="preserve">:  18 of </w:t>
      </w:r>
      <w:r w:rsidR="00B90FAB">
        <w:t xml:space="preserve">the </w:t>
      </w:r>
      <w:r>
        <w:t xml:space="preserve">19 IDC-only SNVs </w:t>
      </w:r>
      <w:r w:rsidR="00B90FAB">
        <w:t xml:space="preserve">tested </w:t>
      </w:r>
      <w:r>
        <w:t>also appear in both new IDC</w:t>
      </w:r>
      <w:r w:rsidR="00926F52">
        <w:t xml:space="preserve"> </w:t>
      </w:r>
      <w:r>
        <w:t>samples.  The one SNV that is not present in the new IDC samples has the lowest alternate allele frequency in the original IDC</w:t>
      </w:r>
      <w:r w:rsidR="00926F52">
        <w:t xml:space="preserve"> sample</w:t>
      </w:r>
      <w:r>
        <w:t>, indicating that it marks a subclone not present outside of this sample.</w:t>
      </w:r>
    </w:p>
    <w:p w14:paraId="32EFBF3D" w14:textId="3A7B400E" w:rsidR="00AA35BC" w:rsidRDefault="00AA35BC" w:rsidP="000D233B">
      <w:pPr>
        <w:spacing w:before="120" w:line="360" w:lineRule="auto"/>
      </w:pPr>
      <w:r w:rsidRPr="00B90FAB">
        <w:rPr>
          <w:i/>
        </w:rPr>
        <w:t>Phylogenetically informative classes that include IDC</w:t>
      </w:r>
      <w:r>
        <w:t xml:space="preserve">:  </w:t>
      </w:r>
      <w:r w:rsidR="004D676A">
        <w:t>50 out of 50 SNVs were present in the new IDC samples.</w:t>
      </w:r>
    </w:p>
    <w:p w14:paraId="25553A58" w14:textId="762C058F" w:rsidR="004D676A" w:rsidRDefault="004D676A" w:rsidP="000D233B">
      <w:pPr>
        <w:spacing w:before="120" w:line="360" w:lineRule="auto"/>
      </w:pPr>
      <w:r>
        <w:lastRenderedPageBreak/>
        <w:t xml:space="preserve">Thus, this validation shows that mutations we find in a single IDC isolate are fully supported by their presence in independent IDC isolates, and that our false-positive rate for this class is </w:t>
      </w:r>
      <w:r w:rsidR="00B90FAB">
        <w:t>effectively zero</w:t>
      </w:r>
      <w:r>
        <w:t>.</w:t>
      </w:r>
    </w:p>
    <w:p w14:paraId="48623E36" w14:textId="7BF96911" w:rsidR="004D676A" w:rsidRDefault="004D676A" w:rsidP="000D233B">
      <w:pPr>
        <w:spacing w:before="120" w:line="360" w:lineRule="auto"/>
      </w:pPr>
      <w:r>
        <w:rPr>
          <w:u w:val="single"/>
        </w:rPr>
        <w:t>Validation D</w:t>
      </w:r>
    </w:p>
    <w:p w14:paraId="427E9860" w14:textId="7AA22178" w:rsidR="006B6FFE" w:rsidRDefault="00FB2A20" w:rsidP="000D233B">
      <w:pPr>
        <w:spacing w:before="120" w:line="360" w:lineRule="auto"/>
      </w:pPr>
      <w:r>
        <w:t>T</w:t>
      </w:r>
      <w:r w:rsidR="004D676A">
        <w:t>he addition of a sample of normal tissue from the ipsilateral breast in close proximity to the other lesions allowed us to ask whether any SNVs we targeted would give a false-pos</w:t>
      </w:r>
      <w:r w:rsidR="00B90FAB">
        <w:t xml:space="preserve">itive signal in the validation.  </w:t>
      </w:r>
      <w:r w:rsidR="006B6FFE">
        <w:t>The seven SNVs we tested that were shared among all ipsilateral samples were also positive in this normal sample, as expected for SNVs that arose early in breast development;  none of the remaining SNVs that were private to one sample or comprised the phylogenetically informative classes (N=18</w:t>
      </w:r>
      <w:r w:rsidR="00CC0FAB">
        <w:t>8</w:t>
      </w:r>
      <w:r w:rsidR="006B6FFE">
        <w:t>) had signal above background in the normal sample</w:t>
      </w:r>
      <w:r w:rsidR="00926F52">
        <w:t>, again underscoring superior specificity of our somatic SNV calls</w:t>
      </w:r>
      <w:r w:rsidR="006B6FFE">
        <w:t>.</w:t>
      </w:r>
    </w:p>
    <w:p w14:paraId="298845C5" w14:textId="77777777" w:rsidR="005E7F7C" w:rsidRDefault="005E7F7C" w:rsidP="000D233B">
      <w:pPr>
        <w:spacing w:before="120" w:line="360" w:lineRule="auto"/>
      </w:pPr>
    </w:p>
    <w:p w14:paraId="6BE94E76" w14:textId="2CAA56FD" w:rsidR="005E7F7C" w:rsidRPr="00103125" w:rsidRDefault="005E7F7C" w:rsidP="000D233B">
      <w:pPr>
        <w:spacing w:before="120" w:line="360" w:lineRule="auto"/>
        <w:rPr>
          <w:b/>
        </w:rPr>
      </w:pPr>
      <w:r w:rsidRPr="00103125">
        <w:rPr>
          <w:b/>
        </w:rPr>
        <w:t xml:space="preserve">Validation of </w:t>
      </w:r>
      <w:r w:rsidR="00926F52">
        <w:rPr>
          <w:b/>
        </w:rPr>
        <w:t xml:space="preserve">the </w:t>
      </w:r>
      <w:r w:rsidRPr="00103125">
        <w:rPr>
          <w:b/>
        </w:rPr>
        <w:t>“Evidence</w:t>
      </w:r>
      <w:r w:rsidR="00926F52">
        <w:rPr>
          <w:b/>
        </w:rPr>
        <w:t>-</w:t>
      </w:r>
      <w:r w:rsidRPr="00103125">
        <w:rPr>
          <w:b/>
        </w:rPr>
        <w:t>of</w:t>
      </w:r>
      <w:r w:rsidR="00926F52">
        <w:rPr>
          <w:b/>
        </w:rPr>
        <w:t>-</w:t>
      </w:r>
      <w:r w:rsidRPr="00103125">
        <w:rPr>
          <w:b/>
        </w:rPr>
        <w:t>Presence” criterion</w:t>
      </w:r>
    </w:p>
    <w:p w14:paraId="36D1EE58" w14:textId="26CBA58A" w:rsidR="008236BE" w:rsidRDefault="007A46E7" w:rsidP="005E7F7C">
      <w:pPr>
        <w:spacing w:before="120" w:line="360" w:lineRule="auto"/>
      </w:pPr>
      <w:r>
        <w:t>The validation data also allowed us to examine</w:t>
      </w:r>
      <w:r w:rsidR="005E7F7C">
        <w:t xml:space="preserve"> whether </w:t>
      </w:r>
      <w:r w:rsidR="00430478">
        <w:t>the</w:t>
      </w:r>
      <w:r w:rsidR="005E7F7C">
        <w:t xml:space="preserve"> reassignment of SNVs according to our </w:t>
      </w:r>
      <w:r w:rsidR="005E7F7C" w:rsidRPr="006D0E15">
        <w:rPr>
          <w:i/>
        </w:rPr>
        <w:t>evidence</w:t>
      </w:r>
      <w:r w:rsidR="005E7F7C">
        <w:rPr>
          <w:i/>
        </w:rPr>
        <w:t>-</w:t>
      </w:r>
      <w:r w:rsidR="005E7F7C" w:rsidRPr="006D0E15">
        <w:rPr>
          <w:i/>
        </w:rPr>
        <w:t>of</w:t>
      </w:r>
      <w:r w:rsidR="005E7F7C">
        <w:rPr>
          <w:i/>
        </w:rPr>
        <w:t>-</w:t>
      </w:r>
      <w:r w:rsidR="005E7F7C" w:rsidRPr="005E7F7C">
        <w:rPr>
          <w:i/>
        </w:rPr>
        <w:t>presence</w:t>
      </w:r>
      <w:r w:rsidR="005E7F7C">
        <w:t xml:space="preserve"> criterion improved accuracy over GATK multi-sample calling. </w:t>
      </w:r>
      <w:r>
        <w:t xml:space="preserve"> </w:t>
      </w:r>
      <w:r w:rsidR="00430478">
        <w:t>A</w:t>
      </w:r>
      <w:r w:rsidR="008236BE">
        <w:t>s we describe in the manuscript, we first perform the standard GATK multi-sample SNV calling</w:t>
      </w:r>
      <w:r w:rsidR="00430478">
        <w:t xml:space="preserve"> to identify the set of somatic SNVs in a patient.  </w:t>
      </w:r>
      <w:r w:rsidR="001C4A76">
        <w:t>GATK results include</w:t>
      </w:r>
      <w:r w:rsidR="00573426">
        <w:t xml:space="preserve"> class membership, i.e., in which sample the alternate allele of the SNV is present. </w:t>
      </w:r>
      <w:r w:rsidR="001C4A76">
        <w:t xml:space="preserve"> </w:t>
      </w:r>
      <w:r w:rsidR="00573426">
        <w:t>But w</w:t>
      </w:r>
      <w:r w:rsidR="008236BE">
        <w:t>e</w:t>
      </w:r>
      <w:r w:rsidR="00430478">
        <w:t xml:space="preserve"> </w:t>
      </w:r>
      <w:r w:rsidR="00926F52">
        <w:t xml:space="preserve">adjust </w:t>
      </w:r>
      <w:r w:rsidR="00573426">
        <w:t xml:space="preserve">this </w:t>
      </w:r>
      <w:r w:rsidR="00430478">
        <w:t>class membership</w:t>
      </w:r>
      <w:r w:rsidR="00926F52">
        <w:t xml:space="preserve"> using</w:t>
      </w:r>
      <w:r w:rsidR="008236BE">
        <w:t xml:space="preserve"> </w:t>
      </w:r>
      <w:r w:rsidR="00926F52">
        <w:t>our “</w:t>
      </w:r>
      <w:r w:rsidR="008236BE">
        <w:t>evidence-of-presence</w:t>
      </w:r>
      <w:r w:rsidR="00926F52">
        <w:t>” criterion</w:t>
      </w:r>
      <w:r w:rsidR="008236BE">
        <w:t xml:space="preserve">, which </w:t>
      </w:r>
      <w:r w:rsidR="00430478">
        <w:t>asks whether there is evidence for the alternate allele of an SNV in a sample where GATK did not call it.  The logic is</w:t>
      </w:r>
      <w:r w:rsidR="008236BE">
        <w:t xml:space="preserve"> as follows</w:t>
      </w:r>
      <w:r w:rsidR="00430478">
        <w:t>:</w:t>
      </w:r>
      <w:r w:rsidR="008236BE">
        <w:t xml:space="preserve"> </w:t>
      </w:r>
      <w:r w:rsidR="00926F52">
        <w:t xml:space="preserve"> </w:t>
      </w:r>
      <w:r w:rsidR="008236BE">
        <w:t>Assume that a</w:t>
      </w:r>
      <w:r w:rsidR="00926F52">
        <w:t>n</w:t>
      </w:r>
      <w:r w:rsidR="008236BE">
        <w:t xml:space="preserve"> SNV is called by GATK in sample A of a given patient, but not in sample B. </w:t>
      </w:r>
      <w:r>
        <w:t xml:space="preserve"> </w:t>
      </w:r>
      <w:r w:rsidR="008236BE">
        <w:t xml:space="preserve">Assume that in sample B, there are two (or more) reads supporting that SNV. (This situation is common with GATK.) </w:t>
      </w:r>
      <w:r>
        <w:t xml:space="preserve"> </w:t>
      </w:r>
      <w:r w:rsidR="008236BE">
        <w:t xml:space="preserve">Due to its presence in sample A, the SNV has a high prior probability of being a true </w:t>
      </w:r>
      <w:r w:rsidR="00E4301F">
        <w:t xml:space="preserve">somatic </w:t>
      </w:r>
      <w:r w:rsidR="008236BE">
        <w:t>SNV</w:t>
      </w:r>
      <w:r w:rsidR="00573426">
        <w:t xml:space="preserve"> in sample B,</w:t>
      </w:r>
      <w:r w:rsidR="008236BE">
        <w:t xml:space="preserve"> rather than resulting from coincidence of sequencing errors in the two or more reads supporting it. </w:t>
      </w:r>
      <w:r>
        <w:t xml:space="preserve"> </w:t>
      </w:r>
      <w:r w:rsidR="008236BE">
        <w:t xml:space="preserve">Recall that typically fewer than 1000 somatic SNVs are called per sample; this is </w:t>
      </w:r>
      <w:r w:rsidR="00E4301F">
        <w:t xml:space="preserve">several orders of magnitude fewer positions than the entire genome, and therefore it is possible to use a more sensitive criterion for detection of SNVs in these positions than </w:t>
      </w:r>
      <w:r w:rsidR="00430478">
        <w:t xml:space="preserve">for </w:t>
      </w:r>
      <w:r w:rsidR="00430478" w:rsidRPr="00430478">
        <w:rPr>
          <w:i/>
        </w:rPr>
        <w:t>de novo</w:t>
      </w:r>
      <w:r w:rsidR="00430478">
        <w:t xml:space="preserve"> discovery </w:t>
      </w:r>
      <w:r w:rsidR="00E4301F">
        <w:t xml:space="preserve">in the entire genome, without increasing the false positive rate </w:t>
      </w:r>
      <w:r w:rsidR="00A40B1D">
        <w:t>substantial</w:t>
      </w:r>
      <w:r w:rsidR="00430478">
        <w:t>ly</w:t>
      </w:r>
      <w:r w:rsidR="00E4301F">
        <w:t xml:space="preserve">. </w:t>
      </w:r>
      <w:r>
        <w:t xml:space="preserve">The validation data show </w:t>
      </w:r>
      <w:r w:rsidR="00573426">
        <w:t>that application of the evidence-of-presence criterion indeed improves call</w:t>
      </w:r>
      <w:r w:rsidR="00E4301F">
        <w:t xml:space="preserve"> accuracy</w:t>
      </w:r>
      <w:r w:rsidR="00573426">
        <w:t xml:space="preserve"> </w:t>
      </w:r>
      <w:r>
        <w:t xml:space="preserve">over the GATK </w:t>
      </w:r>
      <w:r w:rsidR="00573426">
        <w:t>class assignments</w:t>
      </w:r>
      <w:r>
        <w:t>:</w:t>
      </w:r>
    </w:p>
    <w:p w14:paraId="37D023D8" w14:textId="7C2E1659" w:rsidR="005E7F7C" w:rsidRDefault="005E7F7C" w:rsidP="005E7F7C">
      <w:pPr>
        <w:spacing w:before="120" w:line="360" w:lineRule="auto"/>
      </w:pPr>
      <w:r>
        <w:t xml:space="preserve">In Patient 2, 17 SNVs within our validation set </w:t>
      </w:r>
      <w:r w:rsidR="00EF0F56">
        <w:t>had been</w:t>
      </w:r>
      <w:r>
        <w:t xml:space="preserve"> reassigned according to evidence</w:t>
      </w:r>
      <w:r w:rsidR="00E4301F">
        <w:t>-</w:t>
      </w:r>
      <w:r>
        <w:t>of</w:t>
      </w:r>
      <w:r w:rsidR="00E4301F">
        <w:t>-</w:t>
      </w:r>
      <w:r>
        <w:t xml:space="preserve">presence. In 14 out of these 17 cases, the reassignment detected the mutations in samples that </w:t>
      </w:r>
      <w:r>
        <w:lastRenderedPageBreak/>
        <w:t>were validated, thus improving over GATK calls; in 3 cases the reassignment created a false positive, i.e., detecting an SNV in a sample which was not supported by our validation. Similarly, in Patient 6, of the 14 SNVs within our validation set that were reassigned according to evidence-of-presence, 11 were correctly reassigned, in 3 cases evidence-of-presence called an SNV in one additional false positive sample. In summary, we concluded that evidence-of-presence significantly improved class assignments over GATK.</w:t>
      </w:r>
    </w:p>
    <w:p w14:paraId="7073F209" w14:textId="77777777" w:rsidR="005E7F7C" w:rsidRDefault="005E7F7C" w:rsidP="000D233B">
      <w:pPr>
        <w:spacing w:before="120" w:line="360" w:lineRule="auto"/>
      </w:pPr>
    </w:p>
    <w:p w14:paraId="0B9EA7A2" w14:textId="2FC6B105" w:rsidR="00560193" w:rsidRPr="00103125" w:rsidRDefault="00560193" w:rsidP="000D233B">
      <w:pPr>
        <w:spacing w:before="120" w:line="360" w:lineRule="auto"/>
        <w:rPr>
          <w:b/>
        </w:rPr>
      </w:pPr>
      <w:r w:rsidRPr="00103125">
        <w:rPr>
          <w:b/>
        </w:rPr>
        <w:t>Conclusion</w:t>
      </w:r>
    </w:p>
    <w:p w14:paraId="35854DDB" w14:textId="00EF49C4" w:rsidR="000D233B" w:rsidRDefault="00560193" w:rsidP="000D233B">
      <w:pPr>
        <w:spacing w:before="120" w:line="360" w:lineRule="auto"/>
      </w:pPr>
      <w:r>
        <w:t xml:space="preserve">The results from the four approaches to validation reveal the robustness of the </w:t>
      </w:r>
      <w:r w:rsidR="001D7341">
        <w:t xml:space="preserve">genome-wide </w:t>
      </w:r>
      <w:r>
        <w:t>data, particularly of the phylogenetically informative classes, which form a cornerstone of our study.</w:t>
      </w:r>
      <w:r w:rsidR="008338F5">
        <w:t xml:space="preserve">  </w:t>
      </w:r>
      <w:r w:rsidR="002D4CED">
        <w:t>The results from the assessment of the evidence-of-presence criterion versus original GATK calls underscore the power of multisample calling and the technical robustness of our analytic approaches.</w:t>
      </w:r>
    </w:p>
    <w:p w14:paraId="7481EBBF" w14:textId="77777777" w:rsidR="00560193" w:rsidRDefault="00560193" w:rsidP="000D233B">
      <w:pPr>
        <w:spacing w:before="120" w:line="360" w:lineRule="auto"/>
      </w:pPr>
    </w:p>
    <w:p w14:paraId="1E732C17" w14:textId="77777777" w:rsidR="000B2550" w:rsidRDefault="000B2550">
      <w:pPr>
        <w:rPr>
          <w:b/>
        </w:rPr>
      </w:pPr>
      <w:r>
        <w:rPr>
          <w:b/>
        </w:rPr>
        <w:br w:type="page"/>
      </w:r>
    </w:p>
    <w:p w14:paraId="436F3743" w14:textId="77777777" w:rsidR="000B2550" w:rsidRPr="004E43B3" w:rsidRDefault="000B2550" w:rsidP="000B2550">
      <w:pPr>
        <w:rPr>
          <w:b/>
          <w:sz w:val="24"/>
        </w:rPr>
      </w:pPr>
      <w:r>
        <w:rPr>
          <w:b/>
          <w:sz w:val="24"/>
        </w:rPr>
        <w:lastRenderedPageBreak/>
        <w:t>Supplemental</w:t>
      </w:r>
      <w:r w:rsidRPr="004E43B3">
        <w:rPr>
          <w:b/>
          <w:sz w:val="24"/>
        </w:rPr>
        <w:t xml:space="preserve"> Figure Legends</w:t>
      </w:r>
    </w:p>
    <w:p w14:paraId="1CA7D511" w14:textId="77777777" w:rsidR="000B2550" w:rsidRDefault="000B2550" w:rsidP="000B2550"/>
    <w:p w14:paraId="6DA5AAD7" w14:textId="76ED889E" w:rsidR="000B2550" w:rsidRDefault="000B2550" w:rsidP="000B2550">
      <w:r w:rsidRPr="009300CB">
        <w:rPr>
          <w:b/>
        </w:rPr>
        <w:t>Fig</w:t>
      </w:r>
      <w:r w:rsidR="00AA2475">
        <w:rPr>
          <w:b/>
        </w:rPr>
        <w:t>ure</w:t>
      </w:r>
      <w:r w:rsidRPr="009300CB">
        <w:rPr>
          <w:b/>
        </w:rPr>
        <w:t xml:space="preserve"> </w:t>
      </w:r>
      <w:r>
        <w:rPr>
          <w:b/>
        </w:rPr>
        <w:t>S</w:t>
      </w:r>
      <w:r w:rsidRPr="009300CB">
        <w:rPr>
          <w:b/>
        </w:rPr>
        <w:t>1.  Overall workflow of the project</w:t>
      </w:r>
      <w:r>
        <w:t xml:space="preserve"> from clinical sample to genome evolution inference.</w:t>
      </w:r>
    </w:p>
    <w:p w14:paraId="0797E6C1" w14:textId="77777777" w:rsidR="000B2550" w:rsidRDefault="000B2550" w:rsidP="000B2550"/>
    <w:p w14:paraId="697C3C46" w14:textId="119EF9E2" w:rsidR="000B2550" w:rsidRPr="009300CB" w:rsidRDefault="000B2550" w:rsidP="000B2550">
      <w:pPr>
        <w:rPr>
          <w:b/>
        </w:rPr>
      </w:pPr>
      <w:r w:rsidRPr="009300CB">
        <w:rPr>
          <w:b/>
        </w:rPr>
        <w:t>Fig</w:t>
      </w:r>
      <w:r w:rsidR="00AA2475">
        <w:rPr>
          <w:b/>
        </w:rPr>
        <w:t>ure</w:t>
      </w:r>
      <w:r w:rsidRPr="009300CB">
        <w:rPr>
          <w:b/>
        </w:rPr>
        <w:t xml:space="preserve"> </w:t>
      </w:r>
      <w:r>
        <w:rPr>
          <w:b/>
        </w:rPr>
        <w:t>S</w:t>
      </w:r>
      <w:r w:rsidRPr="009300CB">
        <w:rPr>
          <w:b/>
        </w:rPr>
        <w:t>2.  Representative histology for each sample.</w:t>
      </w:r>
    </w:p>
    <w:p w14:paraId="5E21322E" w14:textId="77777777" w:rsidR="000B2550" w:rsidRDefault="000B2550" w:rsidP="000B2550"/>
    <w:p w14:paraId="3A8EE601" w14:textId="1AE50216" w:rsidR="000B2550" w:rsidRDefault="000B2550" w:rsidP="000B2550">
      <w:r w:rsidRPr="009300CB">
        <w:rPr>
          <w:b/>
        </w:rPr>
        <w:t>Fig</w:t>
      </w:r>
      <w:r w:rsidR="00AA2475">
        <w:rPr>
          <w:b/>
        </w:rPr>
        <w:t>ure</w:t>
      </w:r>
      <w:r w:rsidRPr="009300CB">
        <w:rPr>
          <w:b/>
        </w:rPr>
        <w:t xml:space="preserve"> </w:t>
      </w:r>
      <w:r>
        <w:rPr>
          <w:b/>
        </w:rPr>
        <w:t>S</w:t>
      </w:r>
      <w:r w:rsidRPr="009300CB">
        <w:rPr>
          <w:b/>
        </w:rPr>
        <w:t>3.  Read statistics for each sample.</w:t>
      </w:r>
      <w:r>
        <w:t xml:space="preserve">  Number of confidently mapped reads is on the Y axis.  Horizontal line corresponds to 50x average coverage of the genome, not considering that a small percentage of the genome does not support confident read mapping.</w:t>
      </w:r>
    </w:p>
    <w:p w14:paraId="171A7F4B" w14:textId="77777777" w:rsidR="000B2550" w:rsidRDefault="000B2550" w:rsidP="000B2550"/>
    <w:p w14:paraId="6E922C4C" w14:textId="5E8DB532" w:rsidR="000B2550" w:rsidRDefault="000B2550" w:rsidP="000B2550">
      <w:r>
        <w:rPr>
          <w:b/>
        </w:rPr>
        <w:t>Fig</w:t>
      </w:r>
      <w:r w:rsidR="00AA2475">
        <w:rPr>
          <w:b/>
        </w:rPr>
        <w:t>ure</w:t>
      </w:r>
      <w:r>
        <w:rPr>
          <w:b/>
        </w:rPr>
        <w:t xml:space="preserve"> S4.</w:t>
      </w:r>
      <w:r w:rsidRPr="00301270">
        <w:rPr>
          <w:b/>
        </w:rPr>
        <w:t xml:space="preserve">  Alternate allele frequencies in each tested private class (green binary code) or phylogenetically informative class (magenta binary code) of somatic SNVs of Patient 6.</w:t>
      </w:r>
      <w:r w:rsidRPr="00301270">
        <w:t xml:space="preserve">  Code denotes the class of SNV as determined by the whole genome sequence analysis.  Starred samples were not present in the whole genome analysis.  Each SNV corresponds to a bar whose position is repeated stereotypically for each sample.  SNVs are sorted by position in the genome.  N denotes the number of SNVs (and therefore the number of bars per sample) in each class.  Presence/absence patterns from the validation experiment are visible as clustered bars, denoting consistently high alternate allele frequencies of SNVs in the sample.  High validation rate and therefore concordance in class assignments is visible as correspondence between the whole-genome-derived presence/absence code and the blocks of above-background alternate allele frequencies.</w:t>
      </w:r>
    </w:p>
    <w:p w14:paraId="78BA4775" w14:textId="77777777" w:rsidR="000B2550" w:rsidRPr="00301270" w:rsidRDefault="000B2550" w:rsidP="000B2550"/>
    <w:p w14:paraId="1D544A6B" w14:textId="7D6D29A2" w:rsidR="000B2550" w:rsidRPr="00A260A0" w:rsidRDefault="000B2550" w:rsidP="000B2550">
      <w:r>
        <w:rPr>
          <w:b/>
        </w:rPr>
        <w:t>Fig</w:t>
      </w:r>
      <w:r w:rsidR="00AA2475">
        <w:rPr>
          <w:b/>
        </w:rPr>
        <w:t>ure</w:t>
      </w:r>
      <w:r>
        <w:rPr>
          <w:b/>
        </w:rPr>
        <w:t xml:space="preserve"> S5</w:t>
      </w:r>
      <w:r w:rsidRPr="009300CB">
        <w:rPr>
          <w:b/>
        </w:rPr>
        <w:t xml:space="preserve">.  </w:t>
      </w:r>
      <w:r>
        <w:rPr>
          <w:b/>
        </w:rPr>
        <w:t>Dinucleotide mutation rates for each patient.</w:t>
      </w:r>
      <w:r>
        <w:t xml:space="preserve">  Plots are the same as Fig. 2c-e, except that here SNV classes are pooled for each patient.  Rates are in units of “substitution per dinucleotide type”, and vary overall between patients because the number of mutations varies from case to case.  In all cases, transitions in CpG dincleotides have a much higher rate than all other mutations.</w:t>
      </w:r>
    </w:p>
    <w:p w14:paraId="45B7A889" w14:textId="77777777" w:rsidR="000B2550" w:rsidRDefault="000B2550" w:rsidP="000B2550"/>
    <w:p w14:paraId="19BA6AAA" w14:textId="289DD45B" w:rsidR="00620C21" w:rsidRDefault="000B2550" w:rsidP="000B2550">
      <w:r w:rsidRPr="009300CB">
        <w:rPr>
          <w:b/>
        </w:rPr>
        <w:t>Fig</w:t>
      </w:r>
      <w:r w:rsidR="00AA2475">
        <w:rPr>
          <w:b/>
        </w:rPr>
        <w:t>ure</w:t>
      </w:r>
      <w:r w:rsidRPr="009300CB">
        <w:rPr>
          <w:b/>
        </w:rPr>
        <w:t xml:space="preserve">s </w:t>
      </w:r>
      <w:r>
        <w:rPr>
          <w:b/>
        </w:rPr>
        <w:t>S6</w:t>
      </w:r>
      <w:r w:rsidRPr="009300CB">
        <w:rPr>
          <w:b/>
        </w:rPr>
        <w:t>-</w:t>
      </w:r>
      <w:r>
        <w:rPr>
          <w:b/>
        </w:rPr>
        <w:t>S11</w:t>
      </w:r>
      <w:r w:rsidRPr="009300CB">
        <w:rPr>
          <w:b/>
        </w:rPr>
        <w:t>.  Rainfall plots</w:t>
      </w:r>
      <w:r>
        <w:t xml:space="preserve"> depicting the distance between neighboring somatic SNVs.  Y axis is on log10 scale to emphasize clustered SNVs.  Chromosomes are colored in order, 1 is first, X is last.  Each point represents the distance between an SNV and the previous SNV.  Each plot is a phylogenetic class of SNVs, with the samples in which they are found listed on the right.  </w:t>
      </w:r>
      <w:r w:rsidR="00E6691F">
        <w:t>The table below lists all regions in which 4 or more SNVs clustered with an average spacing of 2 kb or less.</w:t>
      </w:r>
    </w:p>
    <w:tbl>
      <w:tblPr>
        <w:tblW w:w="8300" w:type="dxa"/>
        <w:tblInd w:w="93" w:type="dxa"/>
        <w:tblLook w:val="04A0" w:firstRow="1" w:lastRow="0" w:firstColumn="1" w:lastColumn="0" w:noHBand="0" w:noVBand="1"/>
      </w:tblPr>
      <w:tblGrid>
        <w:gridCol w:w="940"/>
        <w:gridCol w:w="680"/>
        <w:gridCol w:w="1300"/>
        <w:gridCol w:w="1300"/>
        <w:gridCol w:w="1060"/>
        <w:gridCol w:w="1300"/>
        <w:gridCol w:w="1720"/>
      </w:tblGrid>
      <w:tr w:rsidR="00620C21" w:rsidRPr="00620C21" w14:paraId="22733912" w14:textId="77777777" w:rsidTr="00620C21">
        <w:trPr>
          <w:trHeight w:val="300"/>
        </w:trPr>
        <w:tc>
          <w:tcPr>
            <w:tcW w:w="940" w:type="dxa"/>
            <w:tcBorders>
              <w:top w:val="nil"/>
              <w:left w:val="nil"/>
              <w:bottom w:val="nil"/>
              <w:right w:val="nil"/>
            </w:tcBorders>
            <w:shd w:val="clear" w:color="auto" w:fill="auto"/>
            <w:noWrap/>
            <w:vAlign w:val="bottom"/>
            <w:hideMark/>
          </w:tcPr>
          <w:p w14:paraId="3E3C9FC0" w14:textId="77777777" w:rsidR="00620C21" w:rsidRPr="00620C21" w:rsidRDefault="00620C21" w:rsidP="00620C21">
            <w:pPr>
              <w:rPr>
                <w:rFonts w:ascii="Verdana" w:eastAsia="Times New Roman" w:hAnsi="Verdana" w:cs="Times New Roman"/>
                <w:b/>
                <w:bCs/>
                <w:color w:val="000000"/>
                <w:sz w:val="16"/>
                <w:szCs w:val="16"/>
                <w:lang w:eastAsia="en-US"/>
              </w:rPr>
            </w:pPr>
            <w:r w:rsidRPr="00620C21">
              <w:rPr>
                <w:rFonts w:ascii="Verdana" w:eastAsia="Times New Roman" w:hAnsi="Verdana" w:cs="Times New Roman"/>
                <w:b/>
                <w:bCs/>
                <w:color w:val="000000"/>
                <w:sz w:val="16"/>
                <w:szCs w:val="16"/>
                <w:lang w:eastAsia="en-US"/>
              </w:rPr>
              <w:t>Patient</w:t>
            </w:r>
          </w:p>
        </w:tc>
        <w:tc>
          <w:tcPr>
            <w:tcW w:w="680" w:type="dxa"/>
            <w:tcBorders>
              <w:top w:val="nil"/>
              <w:left w:val="nil"/>
              <w:bottom w:val="nil"/>
              <w:right w:val="nil"/>
            </w:tcBorders>
            <w:shd w:val="clear" w:color="auto" w:fill="auto"/>
            <w:noWrap/>
            <w:vAlign w:val="bottom"/>
            <w:hideMark/>
          </w:tcPr>
          <w:p w14:paraId="36C9533B" w14:textId="77777777" w:rsidR="00620C21" w:rsidRPr="00620C21" w:rsidRDefault="00620C21" w:rsidP="00620C21">
            <w:pPr>
              <w:rPr>
                <w:rFonts w:ascii="Verdana" w:eastAsia="Times New Roman" w:hAnsi="Verdana" w:cs="Times New Roman"/>
                <w:b/>
                <w:bCs/>
                <w:color w:val="000000"/>
                <w:sz w:val="16"/>
                <w:szCs w:val="16"/>
                <w:lang w:eastAsia="en-US"/>
              </w:rPr>
            </w:pPr>
            <w:r w:rsidRPr="00620C21">
              <w:rPr>
                <w:rFonts w:ascii="Verdana" w:eastAsia="Times New Roman" w:hAnsi="Verdana" w:cs="Times New Roman"/>
                <w:b/>
                <w:bCs/>
                <w:color w:val="000000"/>
                <w:sz w:val="16"/>
                <w:szCs w:val="16"/>
                <w:lang w:eastAsia="en-US"/>
              </w:rPr>
              <w:t>Chr</w:t>
            </w:r>
          </w:p>
        </w:tc>
        <w:tc>
          <w:tcPr>
            <w:tcW w:w="1300" w:type="dxa"/>
            <w:tcBorders>
              <w:top w:val="nil"/>
              <w:left w:val="nil"/>
              <w:bottom w:val="nil"/>
              <w:right w:val="nil"/>
            </w:tcBorders>
            <w:shd w:val="clear" w:color="auto" w:fill="auto"/>
            <w:noWrap/>
            <w:vAlign w:val="bottom"/>
            <w:hideMark/>
          </w:tcPr>
          <w:p w14:paraId="648AC70A" w14:textId="77777777" w:rsidR="00620C21" w:rsidRPr="00620C21" w:rsidRDefault="00620C21" w:rsidP="00620C21">
            <w:pPr>
              <w:rPr>
                <w:rFonts w:ascii="Verdana" w:eastAsia="Times New Roman" w:hAnsi="Verdana" w:cs="Times New Roman"/>
                <w:b/>
                <w:bCs/>
                <w:color w:val="000000"/>
                <w:sz w:val="16"/>
                <w:szCs w:val="16"/>
                <w:lang w:eastAsia="en-US"/>
              </w:rPr>
            </w:pPr>
            <w:r w:rsidRPr="00620C21">
              <w:rPr>
                <w:rFonts w:ascii="Verdana" w:eastAsia="Times New Roman" w:hAnsi="Verdana" w:cs="Times New Roman"/>
                <w:b/>
                <w:bCs/>
                <w:color w:val="000000"/>
                <w:sz w:val="16"/>
                <w:szCs w:val="16"/>
                <w:lang w:eastAsia="en-US"/>
              </w:rPr>
              <w:t>Start</w:t>
            </w:r>
          </w:p>
        </w:tc>
        <w:tc>
          <w:tcPr>
            <w:tcW w:w="1300" w:type="dxa"/>
            <w:tcBorders>
              <w:top w:val="nil"/>
              <w:left w:val="nil"/>
              <w:bottom w:val="nil"/>
              <w:right w:val="nil"/>
            </w:tcBorders>
            <w:shd w:val="clear" w:color="auto" w:fill="auto"/>
            <w:noWrap/>
            <w:vAlign w:val="bottom"/>
            <w:hideMark/>
          </w:tcPr>
          <w:p w14:paraId="3B02A4D9" w14:textId="77777777" w:rsidR="00620C21" w:rsidRPr="00620C21" w:rsidRDefault="00620C21" w:rsidP="00620C21">
            <w:pPr>
              <w:rPr>
                <w:rFonts w:ascii="Verdana" w:eastAsia="Times New Roman" w:hAnsi="Verdana" w:cs="Times New Roman"/>
                <w:b/>
                <w:bCs/>
                <w:color w:val="000000"/>
                <w:sz w:val="16"/>
                <w:szCs w:val="16"/>
                <w:lang w:eastAsia="en-US"/>
              </w:rPr>
            </w:pPr>
            <w:r w:rsidRPr="00620C21">
              <w:rPr>
                <w:rFonts w:ascii="Verdana" w:eastAsia="Times New Roman" w:hAnsi="Verdana" w:cs="Times New Roman"/>
                <w:b/>
                <w:bCs/>
                <w:color w:val="000000"/>
                <w:sz w:val="16"/>
                <w:szCs w:val="16"/>
                <w:lang w:eastAsia="en-US"/>
              </w:rPr>
              <w:t>End</w:t>
            </w:r>
          </w:p>
        </w:tc>
        <w:tc>
          <w:tcPr>
            <w:tcW w:w="1060" w:type="dxa"/>
            <w:tcBorders>
              <w:top w:val="nil"/>
              <w:left w:val="nil"/>
              <w:bottom w:val="nil"/>
              <w:right w:val="nil"/>
            </w:tcBorders>
            <w:shd w:val="clear" w:color="auto" w:fill="auto"/>
            <w:noWrap/>
            <w:vAlign w:val="bottom"/>
            <w:hideMark/>
          </w:tcPr>
          <w:p w14:paraId="6F7AE6FB" w14:textId="77777777" w:rsidR="00620C21" w:rsidRPr="00620C21" w:rsidRDefault="00620C21" w:rsidP="00620C21">
            <w:pPr>
              <w:rPr>
                <w:rFonts w:ascii="Verdana" w:eastAsia="Times New Roman" w:hAnsi="Verdana" w:cs="Times New Roman"/>
                <w:b/>
                <w:bCs/>
                <w:color w:val="000000"/>
                <w:sz w:val="16"/>
                <w:szCs w:val="16"/>
                <w:lang w:eastAsia="en-US"/>
              </w:rPr>
            </w:pPr>
            <w:r w:rsidRPr="00620C21">
              <w:rPr>
                <w:rFonts w:ascii="Verdana" w:eastAsia="Times New Roman" w:hAnsi="Verdana" w:cs="Times New Roman"/>
                <w:b/>
                <w:bCs/>
                <w:color w:val="000000"/>
                <w:sz w:val="16"/>
                <w:szCs w:val="16"/>
                <w:lang w:eastAsia="en-US"/>
              </w:rPr>
              <w:t>Number</w:t>
            </w:r>
          </w:p>
        </w:tc>
        <w:tc>
          <w:tcPr>
            <w:tcW w:w="1300" w:type="dxa"/>
            <w:tcBorders>
              <w:top w:val="nil"/>
              <w:left w:val="nil"/>
              <w:bottom w:val="nil"/>
              <w:right w:val="nil"/>
            </w:tcBorders>
            <w:shd w:val="clear" w:color="auto" w:fill="auto"/>
            <w:noWrap/>
            <w:vAlign w:val="bottom"/>
            <w:hideMark/>
          </w:tcPr>
          <w:p w14:paraId="58FC1654" w14:textId="77777777" w:rsidR="00620C21" w:rsidRPr="00620C21" w:rsidRDefault="00620C21" w:rsidP="00620C21">
            <w:pPr>
              <w:rPr>
                <w:rFonts w:ascii="Verdana" w:eastAsia="Times New Roman" w:hAnsi="Verdana" w:cs="Times New Roman"/>
                <w:b/>
                <w:bCs/>
                <w:color w:val="000000"/>
                <w:sz w:val="16"/>
                <w:szCs w:val="16"/>
                <w:lang w:eastAsia="en-US"/>
              </w:rPr>
            </w:pPr>
            <w:r w:rsidRPr="00620C21">
              <w:rPr>
                <w:rFonts w:ascii="Verdana" w:eastAsia="Times New Roman" w:hAnsi="Verdana" w:cs="Times New Roman"/>
                <w:b/>
                <w:bCs/>
                <w:color w:val="000000"/>
                <w:sz w:val="16"/>
                <w:szCs w:val="16"/>
                <w:lang w:eastAsia="en-US"/>
              </w:rPr>
              <w:t>Avg Spacing</w:t>
            </w:r>
          </w:p>
        </w:tc>
        <w:tc>
          <w:tcPr>
            <w:tcW w:w="1720" w:type="dxa"/>
            <w:tcBorders>
              <w:top w:val="nil"/>
              <w:left w:val="nil"/>
              <w:bottom w:val="nil"/>
              <w:right w:val="nil"/>
            </w:tcBorders>
            <w:shd w:val="clear" w:color="auto" w:fill="auto"/>
            <w:noWrap/>
            <w:vAlign w:val="bottom"/>
            <w:hideMark/>
          </w:tcPr>
          <w:p w14:paraId="59F18B20" w14:textId="77777777" w:rsidR="00620C21" w:rsidRPr="00620C21" w:rsidRDefault="00620C21" w:rsidP="00620C21">
            <w:pPr>
              <w:rPr>
                <w:rFonts w:ascii="Verdana" w:eastAsia="Times New Roman" w:hAnsi="Verdana" w:cs="Times New Roman"/>
                <w:b/>
                <w:bCs/>
                <w:color w:val="000000"/>
                <w:sz w:val="16"/>
                <w:szCs w:val="16"/>
                <w:lang w:eastAsia="en-US"/>
              </w:rPr>
            </w:pPr>
            <w:r w:rsidRPr="00620C21">
              <w:rPr>
                <w:rFonts w:ascii="Verdana" w:eastAsia="Times New Roman" w:hAnsi="Verdana" w:cs="Times New Roman"/>
                <w:b/>
                <w:bCs/>
                <w:color w:val="000000"/>
                <w:sz w:val="16"/>
                <w:szCs w:val="16"/>
                <w:lang w:eastAsia="en-US"/>
              </w:rPr>
              <w:t>Samples</w:t>
            </w:r>
          </w:p>
        </w:tc>
      </w:tr>
      <w:tr w:rsidR="00620C21" w:rsidRPr="00764247" w14:paraId="0162F5AC" w14:textId="77777777" w:rsidTr="00E6691F">
        <w:trPr>
          <w:trHeight w:val="225"/>
        </w:trPr>
        <w:tc>
          <w:tcPr>
            <w:tcW w:w="940" w:type="dxa"/>
            <w:tcBorders>
              <w:top w:val="nil"/>
              <w:left w:val="nil"/>
              <w:bottom w:val="nil"/>
              <w:right w:val="nil"/>
            </w:tcBorders>
            <w:shd w:val="clear" w:color="auto" w:fill="auto"/>
            <w:noWrap/>
            <w:vAlign w:val="bottom"/>
            <w:hideMark/>
          </w:tcPr>
          <w:p w14:paraId="39613757"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2</w:t>
            </w:r>
          </w:p>
        </w:tc>
        <w:tc>
          <w:tcPr>
            <w:tcW w:w="680" w:type="dxa"/>
            <w:tcBorders>
              <w:top w:val="nil"/>
              <w:left w:val="nil"/>
              <w:bottom w:val="nil"/>
              <w:right w:val="nil"/>
            </w:tcBorders>
            <w:shd w:val="clear" w:color="auto" w:fill="auto"/>
            <w:noWrap/>
            <w:vAlign w:val="bottom"/>
            <w:hideMark/>
          </w:tcPr>
          <w:p w14:paraId="6194C93D"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2</w:t>
            </w:r>
          </w:p>
        </w:tc>
        <w:tc>
          <w:tcPr>
            <w:tcW w:w="1300" w:type="dxa"/>
            <w:tcBorders>
              <w:top w:val="nil"/>
              <w:left w:val="nil"/>
              <w:bottom w:val="nil"/>
              <w:right w:val="nil"/>
            </w:tcBorders>
            <w:shd w:val="clear" w:color="auto" w:fill="auto"/>
            <w:noWrap/>
            <w:vAlign w:val="bottom"/>
            <w:hideMark/>
          </w:tcPr>
          <w:p w14:paraId="23F911B0"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213236995</w:t>
            </w:r>
          </w:p>
        </w:tc>
        <w:tc>
          <w:tcPr>
            <w:tcW w:w="1300" w:type="dxa"/>
            <w:tcBorders>
              <w:top w:val="nil"/>
              <w:left w:val="nil"/>
              <w:bottom w:val="nil"/>
              <w:right w:val="nil"/>
            </w:tcBorders>
            <w:shd w:val="clear" w:color="auto" w:fill="auto"/>
            <w:noWrap/>
            <w:vAlign w:val="bottom"/>
            <w:hideMark/>
          </w:tcPr>
          <w:p w14:paraId="25284F53"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213240923</w:t>
            </w:r>
          </w:p>
        </w:tc>
        <w:tc>
          <w:tcPr>
            <w:tcW w:w="1060" w:type="dxa"/>
            <w:tcBorders>
              <w:top w:val="nil"/>
              <w:left w:val="nil"/>
              <w:bottom w:val="nil"/>
              <w:right w:val="nil"/>
            </w:tcBorders>
            <w:shd w:val="clear" w:color="auto" w:fill="auto"/>
            <w:noWrap/>
            <w:vAlign w:val="bottom"/>
            <w:hideMark/>
          </w:tcPr>
          <w:p w14:paraId="1677FA72"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4</w:t>
            </w:r>
          </w:p>
        </w:tc>
        <w:tc>
          <w:tcPr>
            <w:tcW w:w="1300" w:type="dxa"/>
            <w:tcBorders>
              <w:top w:val="nil"/>
              <w:left w:val="nil"/>
              <w:bottom w:val="nil"/>
              <w:right w:val="nil"/>
            </w:tcBorders>
            <w:shd w:val="clear" w:color="auto" w:fill="auto"/>
            <w:noWrap/>
            <w:vAlign w:val="bottom"/>
            <w:hideMark/>
          </w:tcPr>
          <w:p w14:paraId="13CFB258"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982.00</w:t>
            </w:r>
          </w:p>
        </w:tc>
        <w:tc>
          <w:tcPr>
            <w:tcW w:w="1720" w:type="dxa"/>
            <w:tcBorders>
              <w:top w:val="nil"/>
              <w:left w:val="nil"/>
              <w:bottom w:val="nil"/>
              <w:right w:val="nil"/>
            </w:tcBorders>
            <w:shd w:val="clear" w:color="auto" w:fill="auto"/>
            <w:noWrap/>
            <w:vAlign w:val="bottom"/>
            <w:hideMark/>
          </w:tcPr>
          <w:p w14:paraId="21F9A606"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IDC</w:t>
            </w:r>
          </w:p>
        </w:tc>
      </w:tr>
      <w:tr w:rsidR="00620C21" w:rsidRPr="00764247" w14:paraId="0FA2E1BF" w14:textId="77777777" w:rsidTr="00E6691F">
        <w:trPr>
          <w:trHeight w:val="171"/>
        </w:trPr>
        <w:tc>
          <w:tcPr>
            <w:tcW w:w="940" w:type="dxa"/>
            <w:tcBorders>
              <w:top w:val="nil"/>
              <w:left w:val="nil"/>
              <w:bottom w:val="nil"/>
              <w:right w:val="nil"/>
            </w:tcBorders>
            <w:shd w:val="clear" w:color="auto" w:fill="auto"/>
            <w:noWrap/>
            <w:vAlign w:val="bottom"/>
            <w:hideMark/>
          </w:tcPr>
          <w:p w14:paraId="4C777185"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2</w:t>
            </w:r>
          </w:p>
        </w:tc>
        <w:tc>
          <w:tcPr>
            <w:tcW w:w="680" w:type="dxa"/>
            <w:tcBorders>
              <w:top w:val="nil"/>
              <w:left w:val="nil"/>
              <w:bottom w:val="nil"/>
              <w:right w:val="nil"/>
            </w:tcBorders>
            <w:shd w:val="clear" w:color="auto" w:fill="auto"/>
            <w:noWrap/>
            <w:vAlign w:val="bottom"/>
            <w:hideMark/>
          </w:tcPr>
          <w:p w14:paraId="1D4AD156"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7</w:t>
            </w:r>
          </w:p>
        </w:tc>
        <w:tc>
          <w:tcPr>
            <w:tcW w:w="1300" w:type="dxa"/>
            <w:tcBorders>
              <w:top w:val="nil"/>
              <w:left w:val="nil"/>
              <w:bottom w:val="nil"/>
              <w:right w:val="nil"/>
            </w:tcBorders>
            <w:shd w:val="clear" w:color="auto" w:fill="auto"/>
            <w:noWrap/>
            <w:vAlign w:val="bottom"/>
            <w:hideMark/>
          </w:tcPr>
          <w:p w14:paraId="5A4DA343" w14:textId="77777777" w:rsidR="00620C21" w:rsidRPr="00764247" w:rsidRDefault="00620C21" w:rsidP="00620C21">
            <w:pPr>
              <w:jc w:val="right"/>
              <w:rPr>
                <w:rFonts w:ascii="Verdana" w:eastAsia="Times New Roman" w:hAnsi="Verdana" w:cs="Arial"/>
                <w:color w:val="000000"/>
                <w:sz w:val="18"/>
                <w:szCs w:val="18"/>
                <w:lang w:eastAsia="en-US"/>
              </w:rPr>
            </w:pPr>
            <w:r w:rsidRPr="00764247">
              <w:rPr>
                <w:rFonts w:ascii="Verdana" w:eastAsia="Times New Roman" w:hAnsi="Verdana" w:cs="Arial"/>
                <w:color w:val="000000"/>
                <w:sz w:val="18"/>
                <w:szCs w:val="18"/>
                <w:lang w:eastAsia="en-US"/>
              </w:rPr>
              <w:t>39124057</w:t>
            </w:r>
          </w:p>
        </w:tc>
        <w:tc>
          <w:tcPr>
            <w:tcW w:w="1300" w:type="dxa"/>
            <w:tcBorders>
              <w:top w:val="nil"/>
              <w:left w:val="nil"/>
              <w:bottom w:val="nil"/>
              <w:right w:val="nil"/>
            </w:tcBorders>
            <w:shd w:val="clear" w:color="auto" w:fill="auto"/>
            <w:noWrap/>
            <w:vAlign w:val="bottom"/>
            <w:hideMark/>
          </w:tcPr>
          <w:p w14:paraId="6F7D2511" w14:textId="77777777" w:rsidR="00620C21" w:rsidRPr="00764247" w:rsidRDefault="00620C21" w:rsidP="00620C21">
            <w:pPr>
              <w:jc w:val="right"/>
              <w:rPr>
                <w:rFonts w:ascii="Verdana" w:eastAsia="Times New Roman" w:hAnsi="Verdana" w:cs="Arial"/>
                <w:color w:val="000000"/>
                <w:sz w:val="18"/>
                <w:szCs w:val="18"/>
                <w:lang w:eastAsia="en-US"/>
              </w:rPr>
            </w:pPr>
            <w:r w:rsidRPr="00764247">
              <w:rPr>
                <w:rFonts w:ascii="Verdana" w:eastAsia="Times New Roman" w:hAnsi="Verdana" w:cs="Arial"/>
                <w:color w:val="000000"/>
                <w:sz w:val="18"/>
                <w:szCs w:val="18"/>
                <w:lang w:eastAsia="en-US"/>
              </w:rPr>
              <w:t>39125590</w:t>
            </w:r>
          </w:p>
        </w:tc>
        <w:tc>
          <w:tcPr>
            <w:tcW w:w="1060" w:type="dxa"/>
            <w:tcBorders>
              <w:top w:val="nil"/>
              <w:left w:val="nil"/>
              <w:bottom w:val="nil"/>
              <w:right w:val="nil"/>
            </w:tcBorders>
            <w:shd w:val="clear" w:color="auto" w:fill="auto"/>
            <w:noWrap/>
            <w:vAlign w:val="bottom"/>
            <w:hideMark/>
          </w:tcPr>
          <w:p w14:paraId="2F03F450"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4</w:t>
            </w:r>
          </w:p>
        </w:tc>
        <w:tc>
          <w:tcPr>
            <w:tcW w:w="1300" w:type="dxa"/>
            <w:tcBorders>
              <w:top w:val="nil"/>
              <w:left w:val="nil"/>
              <w:bottom w:val="nil"/>
              <w:right w:val="nil"/>
            </w:tcBorders>
            <w:shd w:val="clear" w:color="auto" w:fill="auto"/>
            <w:noWrap/>
            <w:vAlign w:val="bottom"/>
            <w:hideMark/>
          </w:tcPr>
          <w:p w14:paraId="45C073B5"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383.25</w:t>
            </w:r>
          </w:p>
        </w:tc>
        <w:tc>
          <w:tcPr>
            <w:tcW w:w="1720" w:type="dxa"/>
            <w:tcBorders>
              <w:top w:val="nil"/>
              <w:left w:val="nil"/>
              <w:bottom w:val="nil"/>
              <w:right w:val="nil"/>
            </w:tcBorders>
            <w:shd w:val="clear" w:color="auto" w:fill="auto"/>
            <w:noWrap/>
            <w:vAlign w:val="bottom"/>
            <w:hideMark/>
          </w:tcPr>
          <w:p w14:paraId="0323CE02"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DCIS</w:t>
            </w:r>
          </w:p>
        </w:tc>
      </w:tr>
      <w:tr w:rsidR="00620C21" w:rsidRPr="00764247" w14:paraId="45756498" w14:textId="77777777" w:rsidTr="00E6691F">
        <w:trPr>
          <w:trHeight w:val="153"/>
        </w:trPr>
        <w:tc>
          <w:tcPr>
            <w:tcW w:w="940" w:type="dxa"/>
            <w:tcBorders>
              <w:top w:val="nil"/>
              <w:left w:val="nil"/>
              <w:bottom w:val="nil"/>
              <w:right w:val="nil"/>
            </w:tcBorders>
            <w:shd w:val="clear" w:color="auto" w:fill="auto"/>
            <w:noWrap/>
            <w:vAlign w:val="bottom"/>
            <w:hideMark/>
          </w:tcPr>
          <w:p w14:paraId="76BB06A5"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3</w:t>
            </w:r>
          </w:p>
        </w:tc>
        <w:tc>
          <w:tcPr>
            <w:tcW w:w="680" w:type="dxa"/>
            <w:tcBorders>
              <w:top w:val="nil"/>
              <w:left w:val="nil"/>
              <w:bottom w:val="nil"/>
              <w:right w:val="nil"/>
            </w:tcBorders>
            <w:shd w:val="clear" w:color="auto" w:fill="auto"/>
            <w:noWrap/>
            <w:vAlign w:val="bottom"/>
            <w:hideMark/>
          </w:tcPr>
          <w:p w14:paraId="7FFAE9DD"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w:t>
            </w:r>
          </w:p>
        </w:tc>
        <w:tc>
          <w:tcPr>
            <w:tcW w:w="1300" w:type="dxa"/>
            <w:tcBorders>
              <w:top w:val="nil"/>
              <w:left w:val="nil"/>
              <w:bottom w:val="nil"/>
              <w:right w:val="nil"/>
            </w:tcBorders>
            <w:shd w:val="clear" w:color="auto" w:fill="auto"/>
            <w:noWrap/>
            <w:vAlign w:val="bottom"/>
            <w:hideMark/>
          </w:tcPr>
          <w:p w14:paraId="57EAC24A"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155411742</w:t>
            </w:r>
          </w:p>
        </w:tc>
        <w:tc>
          <w:tcPr>
            <w:tcW w:w="1300" w:type="dxa"/>
            <w:tcBorders>
              <w:top w:val="nil"/>
              <w:left w:val="nil"/>
              <w:bottom w:val="nil"/>
              <w:right w:val="nil"/>
            </w:tcBorders>
            <w:shd w:val="clear" w:color="auto" w:fill="auto"/>
            <w:noWrap/>
            <w:vAlign w:val="bottom"/>
            <w:hideMark/>
          </w:tcPr>
          <w:p w14:paraId="642C6639"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155415246</w:t>
            </w:r>
          </w:p>
        </w:tc>
        <w:tc>
          <w:tcPr>
            <w:tcW w:w="1060" w:type="dxa"/>
            <w:tcBorders>
              <w:top w:val="nil"/>
              <w:left w:val="nil"/>
              <w:bottom w:val="nil"/>
              <w:right w:val="nil"/>
            </w:tcBorders>
            <w:shd w:val="clear" w:color="auto" w:fill="auto"/>
            <w:noWrap/>
            <w:vAlign w:val="bottom"/>
            <w:hideMark/>
          </w:tcPr>
          <w:p w14:paraId="165A94A4"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5</w:t>
            </w:r>
          </w:p>
        </w:tc>
        <w:tc>
          <w:tcPr>
            <w:tcW w:w="1300" w:type="dxa"/>
            <w:tcBorders>
              <w:top w:val="nil"/>
              <w:left w:val="nil"/>
              <w:bottom w:val="nil"/>
              <w:right w:val="nil"/>
            </w:tcBorders>
            <w:shd w:val="clear" w:color="auto" w:fill="auto"/>
            <w:noWrap/>
            <w:vAlign w:val="bottom"/>
            <w:hideMark/>
          </w:tcPr>
          <w:p w14:paraId="2C051BB1"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700.80</w:t>
            </w:r>
          </w:p>
        </w:tc>
        <w:tc>
          <w:tcPr>
            <w:tcW w:w="1720" w:type="dxa"/>
            <w:tcBorders>
              <w:top w:val="nil"/>
              <w:left w:val="nil"/>
              <w:bottom w:val="nil"/>
              <w:right w:val="nil"/>
            </w:tcBorders>
            <w:shd w:val="clear" w:color="auto" w:fill="auto"/>
            <w:noWrap/>
            <w:vAlign w:val="bottom"/>
            <w:hideMark/>
          </w:tcPr>
          <w:p w14:paraId="5B040D0C"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DCIS+IDC</w:t>
            </w:r>
          </w:p>
        </w:tc>
      </w:tr>
      <w:tr w:rsidR="00620C21" w:rsidRPr="00764247" w14:paraId="450A4CF1" w14:textId="77777777" w:rsidTr="00E6691F">
        <w:trPr>
          <w:trHeight w:val="135"/>
        </w:trPr>
        <w:tc>
          <w:tcPr>
            <w:tcW w:w="940" w:type="dxa"/>
            <w:tcBorders>
              <w:top w:val="nil"/>
              <w:left w:val="nil"/>
              <w:bottom w:val="nil"/>
              <w:right w:val="nil"/>
            </w:tcBorders>
            <w:shd w:val="clear" w:color="auto" w:fill="auto"/>
            <w:noWrap/>
            <w:vAlign w:val="bottom"/>
            <w:hideMark/>
          </w:tcPr>
          <w:p w14:paraId="43A0EFE3"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3</w:t>
            </w:r>
          </w:p>
        </w:tc>
        <w:tc>
          <w:tcPr>
            <w:tcW w:w="680" w:type="dxa"/>
            <w:tcBorders>
              <w:top w:val="nil"/>
              <w:left w:val="nil"/>
              <w:bottom w:val="nil"/>
              <w:right w:val="nil"/>
            </w:tcBorders>
            <w:shd w:val="clear" w:color="auto" w:fill="auto"/>
            <w:noWrap/>
            <w:vAlign w:val="bottom"/>
            <w:hideMark/>
          </w:tcPr>
          <w:p w14:paraId="101FBB0C"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w:t>
            </w:r>
          </w:p>
        </w:tc>
        <w:tc>
          <w:tcPr>
            <w:tcW w:w="1300" w:type="dxa"/>
            <w:tcBorders>
              <w:top w:val="nil"/>
              <w:left w:val="nil"/>
              <w:bottom w:val="nil"/>
              <w:right w:val="nil"/>
            </w:tcBorders>
            <w:shd w:val="clear" w:color="auto" w:fill="auto"/>
            <w:noWrap/>
            <w:vAlign w:val="bottom"/>
            <w:hideMark/>
          </w:tcPr>
          <w:p w14:paraId="2C577E32"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144020460</w:t>
            </w:r>
          </w:p>
        </w:tc>
        <w:tc>
          <w:tcPr>
            <w:tcW w:w="1300" w:type="dxa"/>
            <w:tcBorders>
              <w:top w:val="nil"/>
              <w:left w:val="nil"/>
              <w:bottom w:val="nil"/>
              <w:right w:val="nil"/>
            </w:tcBorders>
            <w:shd w:val="clear" w:color="auto" w:fill="auto"/>
            <w:noWrap/>
            <w:vAlign w:val="bottom"/>
            <w:hideMark/>
          </w:tcPr>
          <w:p w14:paraId="33911EE7"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144028917</w:t>
            </w:r>
          </w:p>
        </w:tc>
        <w:tc>
          <w:tcPr>
            <w:tcW w:w="1060" w:type="dxa"/>
            <w:tcBorders>
              <w:top w:val="nil"/>
              <w:left w:val="nil"/>
              <w:bottom w:val="nil"/>
              <w:right w:val="nil"/>
            </w:tcBorders>
            <w:shd w:val="clear" w:color="auto" w:fill="auto"/>
            <w:noWrap/>
            <w:vAlign w:val="bottom"/>
            <w:hideMark/>
          </w:tcPr>
          <w:p w14:paraId="615B5C7B"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w:t>
            </w:r>
          </w:p>
        </w:tc>
        <w:tc>
          <w:tcPr>
            <w:tcW w:w="1300" w:type="dxa"/>
            <w:tcBorders>
              <w:top w:val="nil"/>
              <w:left w:val="nil"/>
              <w:bottom w:val="nil"/>
              <w:right w:val="nil"/>
            </w:tcBorders>
            <w:shd w:val="clear" w:color="auto" w:fill="auto"/>
            <w:noWrap/>
            <w:vAlign w:val="bottom"/>
            <w:hideMark/>
          </w:tcPr>
          <w:p w14:paraId="08F7CF5A"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1409.50</w:t>
            </w:r>
          </w:p>
        </w:tc>
        <w:tc>
          <w:tcPr>
            <w:tcW w:w="1720" w:type="dxa"/>
            <w:tcBorders>
              <w:top w:val="nil"/>
              <w:left w:val="nil"/>
              <w:bottom w:val="nil"/>
              <w:right w:val="nil"/>
            </w:tcBorders>
            <w:shd w:val="clear" w:color="auto" w:fill="auto"/>
            <w:noWrap/>
            <w:vAlign w:val="bottom"/>
            <w:hideMark/>
          </w:tcPr>
          <w:p w14:paraId="25DA5C0E"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DCIS+IDC</w:t>
            </w:r>
          </w:p>
        </w:tc>
      </w:tr>
      <w:tr w:rsidR="00620C21" w:rsidRPr="00764247" w14:paraId="5282D3C7" w14:textId="77777777" w:rsidTr="00E6691F">
        <w:trPr>
          <w:trHeight w:val="135"/>
        </w:trPr>
        <w:tc>
          <w:tcPr>
            <w:tcW w:w="940" w:type="dxa"/>
            <w:tcBorders>
              <w:top w:val="nil"/>
              <w:left w:val="nil"/>
              <w:bottom w:val="nil"/>
              <w:right w:val="nil"/>
            </w:tcBorders>
            <w:shd w:val="clear" w:color="auto" w:fill="auto"/>
            <w:noWrap/>
            <w:vAlign w:val="bottom"/>
            <w:hideMark/>
          </w:tcPr>
          <w:p w14:paraId="37369ACF"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3</w:t>
            </w:r>
          </w:p>
        </w:tc>
        <w:tc>
          <w:tcPr>
            <w:tcW w:w="680" w:type="dxa"/>
            <w:tcBorders>
              <w:top w:val="nil"/>
              <w:left w:val="nil"/>
              <w:bottom w:val="nil"/>
              <w:right w:val="nil"/>
            </w:tcBorders>
            <w:shd w:val="clear" w:color="auto" w:fill="auto"/>
            <w:noWrap/>
            <w:vAlign w:val="bottom"/>
            <w:hideMark/>
          </w:tcPr>
          <w:p w14:paraId="44DDC832"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9</w:t>
            </w:r>
          </w:p>
        </w:tc>
        <w:tc>
          <w:tcPr>
            <w:tcW w:w="1300" w:type="dxa"/>
            <w:tcBorders>
              <w:top w:val="nil"/>
              <w:left w:val="nil"/>
              <w:bottom w:val="nil"/>
              <w:right w:val="nil"/>
            </w:tcBorders>
            <w:shd w:val="clear" w:color="auto" w:fill="auto"/>
            <w:noWrap/>
            <w:vAlign w:val="bottom"/>
            <w:hideMark/>
          </w:tcPr>
          <w:p w14:paraId="0B560D92"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32772944</w:t>
            </w:r>
          </w:p>
        </w:tc>
        <w:tc>
          <w:tcPr>
            <w:tcW w:w="1300" w:type="dxa"/>
            <w:tcBorders>
              <w:top w:val="nil"/>
              <w:left w:val="nil"/>
              <w:bottom w:val="nil"/>
              <w:right w:val="nil"/>
            </w:tcBorders>
            <w:shd w:val="clear" w:color="auto" w:fill="auto"/>
            <w:noWrap/>
            <w:vAlign w:val="bottom"/>
            <w:hideMark/>
          </w:tcPr>
          <w:p w14:paraId="7F5340A0"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32778700</w:t>
            </w:r>
          </w:p>
        </w:tc>
        <w:tc>
          <w:tcPr>
            <w:tcW w:w="1060" w:type="dxa"/>
            <w:tcBorders>
              <w:top w:val="nil"/>
              <w:left w:val="nil"/>
              <w:bottom w:val="nil"/>
              <w:right w:val="nil"/>
            </w:tcBorders>
            <w:shd w:val="clear" w:color="auto" w:fill="auto"/>
            <w:noWrap/>
            <w:vAlign w:val="bottom"/>
            <w:hideMark/>
          </w:tcPr>
          <w:p w14:paraId="37E328DF"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10</w:t>
            </w:r>
          </w:p>
        </w:tc>
        <w:tc>
          <w:tcPr>
            <w:tcW w:w="1300" w:type="dxa"/>
            <w:tcBorders>
              <w:top w:val="nil"/>
              <w:left w:val="nil"/>
              <w:bottom w:val="nil"/>
              <w:right w:val="nil"/>
            </w:tcBorders>
            <w:shd w:val="clear" w:color="auto" w:fill="auto"/>
            <w:noWrap/>
            <w:vAlign w:val="bottom"/>
            <w:hideMark/>
          </w:tcPr>
          <w:p w14:paraId="20A3B879"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575.60</w:t>
            </w:r>
          </w:p>
        </w:tc>
        <w:tc>
          <w:tcPr>
            <w:tcW w:w="1720" w:type="dxa"/>
            <w:tcBorders>
              <w:top w:val="nil"/>
              <w:left w:val="nil"/>
              <w:bottom w:val="nil"/>
              <w:right w:val="nil"/>
            </w:tcBorders>
            <w:shd w:val="clear" w:color="auto" w:fill="auto"/>
            <w:noWrap/>
            <w:vAlign w:val="bottom"/>
            <w:hideMark/>
          </w:tcPr>
          <w:p w14:paraId="43E8BC0B"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DCIS+IDC</w:t>
            </w:r>
          </w:p>
        </w:tc>
      </w:tr>
      <w:tr w:rsidR="00620C21" w:rsidRPr="00764247" w14:paraId="0A35191C" w14:textId="77777777" w:rsidTr="00E6691F">
        <w:trPr>
          <w:trHeight w:val="207"/>
        </w:trPr>
        <w:tc>
          <w:tcPr>
            <w:tcW w:w="940" w:type="dxa"/>
            <w:tcBorders>
              <w:top w:val="nil"/>
              <w:left w:val="nil"/>
              <w:bottom w:val="nil"/>
              <w:right w:val="nil"/>
            </w:tcBorders>
            <w:shd w:val="clear" w:color="auto" w:fill="auto"/>
            <w:noWrap/>
            <w:vAlign w:val="bottom"/>
            <w:hideMark/>
          </w:tcPr>
          <w:p w14:paraId="000354B6"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3</w:t>
            </w:r>
          </w:p>
        </w:tc>
        <w:tc>
          <w:tcPr>
            <w:tcW w:w="680" w:type="dxa"/>
            <w:tcBorders>
              <w:top w:val="nil"/>
              <w:left w:val="nil"/>
              <w:bottom w:val="nil"/>
              <w:right w:val="nil"/>
            </w:tcBorders>
            <w:shd w:val="clear" w:color="auto" w:fill="auto"/>
            <w:noWrap/>
            <w:vAlign w:val="bottom"/>
            <w:hideMark/>
          </w:tcPr>
          <w:p w14:paraId="1AD56E4F"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11</w:t>
            </w:r>
          </w:p>
        </w:tc>
        <w:tc>
          <w:tcPr>
            <w:tcW w:w="1300" w:type="dxa"/>
            <w:tcBorders>
              <w:top w:val="nil"/>
              <w:left w:val="nil"/>
              <w:bottom w:val="nil"/>
              <w:right w:val="nil"/>
            </w:tcBorders>
            <w:shd w:val="clear" w:color="auto" w:fill="auto"/>
            <w:noWrap/>
            <w:vAlign w:val="bottom"/>
            <w:hideMark/>
          </w:tcPr>
          <w:p w14:paraId="08F59C47"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67353948</w:t>
            </w:r>
          </w:p>
        </w:tc>
        <w:tc>
          <w:tcPr>
            <w:tcW w:w="1300" w:type="dxa"/>
            <w:tcBorders>
              <w:top w:val="nil"/>
              <w:left w:val="nil"/>
              <w:bottom w:val="nil"/>
              <w:right w:val="nil"/>
            </w:tcBorders>
            <w:shd w:val="clear" w:color="auto" w:fill="auto"/>
            <w:noWrap/>
            <w:vAlign w:val="bottom"/>
            <w:hideMark/>
          </w:tcPr>
          <w:p w14:paraId="51790D59"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67361484</w:t>
            </w:r>
          </w:p>
        </w:tc>
        <w:tc>
          <w:tcPr>
            <w:tcW w:w="1060" w:type="dxa"/>
            <w:tcBorders>
              <w:top w:val="nil"/>
              <w:left w:val="nil"/>
              <w:bottom w:val="nil"/>
              <w:right w:val="nil"/>
            </w:tcBorders>
            <w:shd w:val="clear" w:color="auto" w:fill="auto"/>
            <w:noWrap/>
            <w:vAlign w:val="bottom"/>
            <w:hideMark/>
          </w:tcPr>
          <w:p w14:paraId="2C01DE58"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7</w:t>
            </w:r>
          </w:p>
        </w:tc>
        <w:tc>
          <w:tcPr>
            <w:tcW w:w="1300" w:type="dxa"/>
            <w:tcBorders>
              <w:top w:val="nil"/>
              <w:left w:val="nil"/>
              <w:bottom w:val="nil"/>
              <w:right w:val="nil"/>
            </w:tcBorders>
            <w:shd w:val="clear" w:color="auto" w:fill="auto"/>
            <w:noWrap/>
            <w:vAlign w:val="bottom"/>
            <w:hideMark/>
          </w:tcPr>
          <w:p w14:paraId="5EBBB161"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1076.57</w:t>
            </w:r>
          </w:p>
        </w:tc>
        <w:tc>
          <w:tcPr>
            <w:tcW w:w="1720" w:type="dxa"/>
            <w:tcBorders>
              <w:top w:val="nil"/>
              <w:left w:val="nil"/>
              <w:bottom w:val="nil"/>
              <w:right w:val="nil"/>
            </w:tcBorders>
            <w:shd w:val="clear" w:color="auto" w:fill="auto"/>
            <w:noWrap/>
            <w:vAlign w:val="bottom"/>
            <w:hideMark/>
          </w:tcPr>
          <w:p w14:paraId="6190C727"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DCIS+IDC</w:t>
            </w:r>
          </w:p>
        </w:tc>
      </w:tr>
      <w:tr w:rsidR="00620C21" w:rsidRPr="00764247" w14:paraId="729E30DD" w14:textId="77777777" w:rsidTr="00E6691F">
        <w:trPr>
          <w:trHeight w:val="180"/>
        </w:trPr>
        <w:tc>
          <w:tcPr>
            <w:tcW w:w="940" w:type="dxa"/>
            <w:tcBorders>
              <w:top w:val="nil"/>
              <w:left w:val="nil"/>
              <w:bottom w:val="nil"/>
              <w:right w:val="nil"/>
            </w:tcBorders>
            <w:shd w:val="clear" w:color="auto" w:fill="auto"/>
            <w:noWrap/>
            <w:vAlign w:val="bottom"/>
            <w:hideMark/>
          </w:tcPr>
          <w:p w14:paraId="3210F6E7"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4</w:t>
            </w:r>
          </w:p>
        </w:tc>
        <w:tc>
          <w:tcPr>
            <w:tcW w:w="680" w:type="dxa"/>
            <w:tcBorders>
              <w:top w:val="nil"/>
              <w:left w:val="nil"/>
              <w:bottom w:val="nil"/>
              <w:right w:val="nil"/>
            </w:tcBorders>
            <w:shd w:val="clear" w:color="auto" w:fill="auto"/>
            <w:noWrap/>
            <w:vAlign w:val="bottom"/>
            <w:hideMark/>
          </w:tcPr>
          <w:p w14:paraId="4FDCCA71"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17</w:t>
            </w:r>
          </w:p>
        </w:tc>
        <w:tc>
          <w:tcPr>
            <w:tcW w:w="1300" w:type="dxa"/>
            <w:tcBorders>
              <w:top w:val="nil"/>
              <w:left w:val="nil"/>
              <w:bottom w:val="nil"/>
              <w:right w:val="nil"/>
            </w:tcBorders>
            <w:shd w:val="clear" w:color="auto" w:fill="auto"/>
            <w:noWrap/>
            <w:vAlign w:val="bottom"/>
            <w:hideMark/>
          </w:tcPr>
          <w:p w14:paraId="644F38AD"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12848709</w:t>
            </w:r>
          </w:p>
        </w:tc>
        <w:tc>
          <w:tcPr>
            <w:tcW w:w="1300" w:type="dxa"/>
            <w:tcBorders>
              <w:top w:val="nil"/>
              <w:left w:val="nil"/>
              <w:bottom w:val="nil"/>
              <w:right w:val="nil"/>
            </w:tcBorders>
            <w:shd w:val="clear" w:color="auto" w:fill="auto"/>
            <w:noWrap/>
            <w:vAlign w:val="bottom"/>
            <w:hideMark/>
          </w:tcPr>
          <w:p w14:paraId="4E3E26B4"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12872423</w:t>
            </w:r>
          </w:p>
        </w:tc>
        <w:tc>
          <w:tcPr>
            <w:tcW w:w="1060" w:type="dxa"/>
            <w:tcBorders>
              <w:top w:val="nil"/>
              <w:left w:val="nil"/>
              <w:bottom w:val="nil"/>
              <w:right w:val="nil"/>
            </w:tcBorders>
            <w:shd w:val="clear" w:color="auto" w:fill="auto"/>
            <w:noWrap/>
            <w:vAlign w:val="bottom"/>
            <w:hideMark/>
          </w:tcPr>
          <w:p w14:paraId="415FA9C6"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23</w:t>
            </w:r>
          </w:p>
        </w:tc>
        <w:tc>
          <w:tcPr>
            <w:tcW w:w="1300" w:type="dxa"/>
            <w:tcBorders>
              <w:top w:val="nil"/>
              <w:left w:val="nil"/>
              <w:bottom w:val="nil"/>
              <w:right w:val="nil"/>
            </w:tcBorders>
            <w:shd w:val="clear" w:color="auto" w:fill="auto"/>
            <w:noWrap/>
            <w:vAlign w:val="bottom"/>
            <w:hideMark/>
          </w:tcPr>
          <w:p w14:paraId="0E00D75E"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1031.04</w:t>
            </w:r>
          </w:p>
        </w:tc>
        <w:tc>
          <w:tcPr>
            <w:tcW w:w="1720" w:type="dxa"/>
            <w:tcBorders>
              <w:top w:val="nil"/>
              <w:left w:val="nil"/>
              <w:bottom w:val="nil"/>
              <w:right w:val="nil"/>
            </w:tcBorders>
            <w:shd w:val="clear" w:color="auto" w:fill="auto"/>
            <w:noWrap/>
            <w:vAlign w:val="bottom"/>
            <w:hideMark/>
          </w:tcPr>
          <w:p w14:paraId="5152DABC"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IDC</w:t>
            </w:r>
          </w:p>
        </w:tc>
      </w:tr>
      <w:tr w:rsidR="00620C21" w:rsidRPr="00764247" w14:paraId="03F64834" w14:textId="77777777" w:rsidTr="00E6691F">
        <w:trPr>
          <w:trHeight w:val="162"/>
        </w:trPr>
        <w:tc>
          <w:tcPr>
            <w:tcW w:w="940" w:type="dxa"/>
            <w:tcBorders>
              <w:top w:val="nil"/>
              <w:left w:val="nil"/>
              <w:bottom w:val="nil"/>
              <w:right w:val="nil"/>
            </w:tcBorders>
            <w:shd w:val="clear" w:color="auto" w:fill="auto"/>
            <w:noWrap/>
            <w:vAlign w:val="bottom"/>
            <w:hideMark/>
          </w:tcPr>
          <w:p w14:paraId="39C594EF"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5</w:t>
            </w:r>
          </w:p>
        </w:tc>
        <w:tc>
          <w:tcPr>
            <w:tcW w:w="680" w:type="dxa"/>
            <w:tcBorders>
              <w:top w:val="nil"/>
              <w:left w:val="nil"/>
              <w:bottom w:val="nil"/>
              <w:right w:val="nil"/>
            </w:tcBorders>
            <w:shd w:val="clear" w:color="auto" w:fill="auto"/>
            <w:noWrap/>
            <w:vAlign w:val="bottom"/>
            <w:hideMark/>
          </w:tcPr>
          <w:p w14:paraId="6BEF5808"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w:t>
            </w:r>
          </w:p>
        </w:tc>
        <w:tc>
          <w:tcPr>
            <w:tcW w:w="1300" w:type="dxa"/>
            <w:tcBorders>
              <w:top w:val="nil"/>
              <w:left w:val="nil"/>
              <w:bottom w:val="nil"/>
              <w:right w:val="nil"/>
            </w:tcBorders>
            <w:shd w:val="clear" w:color="auto" w:fill="auto"/>
            <w:noWrap/>
            <w:vAlign w:val="bottom"/>
            <w:hideMark/>
          </w:tcPr>
          <w:p w14:paraId="5811287C"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191761330</w:t>
            </w:r>
          </w:p>
        </w:tc>
        <w:tc>
          <w:tcPr>
            <w:tcW w:w="1300" w:type="dxa"/>
            <w:tcBorders>
              <w:top w:val="nil"/>
              <w:left w:val="nil"/>
              <w:bottom w:val="nil"/>
              <w:right w:val="nil"/>
            </w:tcBorders>
            <w:shd w:val="clear" w:color="auto" w:fill="auto"/>
            <w:noWrap/>
            <w:vAlign w:val="bottom"/>
            <w:hideMark/>
          </w:tcPr>
          <w:p w14:paraId="254B075F"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191765102</w:t>
            </w:r>
          </w:p>
        </w:tc>
        <w:tc>
          <w:tcPr>
            <w:tcW w:w="1060" w:type="dxa"/>
            <w:tcBorders>
              <w:top w:val="nil"/>
              <w:left w:val="nil"/>
              <w:bottom w:val="nil"/>
              <w:right w:val="nil"/>
            </w:tcBorders>
            <w:shd w:val="clear" w:color="auto" w:fill="auto"/>
            <w:noWrap/>
            <w:vAlign w:val="bottom"/>
            <w:hideMark/>
          </w:tcPr>
          <w:p w14:paraId="4A6697AF"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w:t>
            </w:r>
          </w:p>
        </w:tc>
        <w:tc>
          <w:tcPr>
            <w:tcW w:w="1300" w:type="dxa"/>
            <w:tcBorders>
              <w:top w:val="nil"/>
              <w:left w:val="nil"/>
              <w:bottom w:val="nil"/>
              <w:right w:val="nil"/>
            </w:tcBorders>
            <w:shd w:val="clear" w:color="auto" w:fill="auto"/>
            <w:noWrap/>
            <w:vAlign w:val="bottom"/>
            <w:hideMark/>
          </w:tcPr>
          <w:p w14:paraId="5CD5FC0C"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628.67</w:t>
            </w:r>
          </w:p>
        </w:tc>
        <w:tc>
          <w:tcPr>
            <w:tcW w:w="1720" w:type="dxa"/>
            <w:tcBorders>
              <w:top w:val="nil"/>
              <w:left w:val="nil"/>
              <w:bottom w:val="nil"/>
              <w:right w:val="nil"/>
            </w:tcBorders>
            <w:shd w:val="clear" w:color="auto" w:fill="auto"/>
            <w:noWrap/>
            <w:vAlign w:val="bottom"/>
            <w:hideMark/>
          </w:tcPr>
          <w:p w14:paraId="183352A5"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IDC</w:t>
            </w:r>
          </w:p>
        </w:tc>
      </w:tr>
      <w:tr w:rsidR="00620C21" w:rsidRPr="00764247" w14:paraId="3521F96F" w14:textId="77777777" w:rsidTr="00E6691F">
        <w:trPr>
          <w:trHeight w:val="153"/>
        </w:trPr>
        <w:tc>
          <w:tcPr>
            <w:tcW w:w="940" w:type="dxa"/>
            <w:tcBorders>
              <w:top w:val="nil"/>
              <w:left w:val="nil"/>
              <w:bottom w:val="nil"/>
              <w:right w:val="nil"/>
            </w:tcBorders>
            <w:shd w:val="clear" w:color="auto" w:fill="auto"/>
            <w:noWrap/>
            <w:vAlign w:val="bottom"/>
            <w:hideMark/>
          </w:tcPr>
          <w:p w14:paraId="1A3CB894"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5</w:t>
            </w:r>
          </w:p>
        </w:tc>
        <w:tc>
          <w:tcPr>
            <w:tcW w:w="680" w:type="dxa"/>
            <w:tcBorders>
              <w:top w:val="nil"/>
              <w:left w:val="nil"/>
              <w:bottom w:val="nil"/>
              <w:right w:val="nil"/>
            </w:tcBorders>
            <w:shd w:val="clear" w:color="auto" w:fill="auto"/>
            <w:noWrap/>
            <w:vAlign w:val="bottom"/>
            <w:hideMark/>
          </w:tcPr>
          <w:p w14:paraId="2681B665"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w:t>
            </w:r>
          </w:p>
        </w:tc>
        <w:tc>
          <w:tcPr>
            <w:tcW w:w="1300" w:type="dxa"/>
            <w:tcBorders>
              <w:top w:val="nil"/>
              <w:left w:val="nil"/>
              <w:bottom w:val="nil"/>
              <w:right w:val="nil"/>
            </w:tcBorders>
            <w:shd w:val="clear" w:color="auto" w:fill="auto"/>
            <w:noWrap/>
            <w:vAlign w:val="bottom"/>
            <w:hideMark/>
          </w:tcPr>
          <w:p w14:paraId="593F161C"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191871875</w:t>
            </w:r>
          </w:p>
        </w:tc>
        <w:tc>
          <w:tcPr>
            <w:tcW w:w="1300" w:type="dxa"/>
            <w:tcBorders>
              <w:top w:val="nil"/>
              <w:left w:val="nil"/>
              <w:bottom w:val="nil"/>
              <w:right w:val="nil"/>
            </w:tcBorders>
            <w:shd w:val="clear" w:color="auto" w:fill="auto"/>
            <w:noWrap/>
            <w:vAlign w:val="bottom"/>
            <w:hideMark/>
          </w:tcPr>
          <w:p w14:paraId="64400CB5"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191879453</w:t>
            </w:r>
          </w:p>
        </w:tc>
        <w:tc>
          <w:tcPr>
            <w:tcW w:w="1060" w:type="dxa"/>
            <w:tcBorders>
              <w:top w:val="nil"/>
              <w:left w:val="nil"/>
              <w:bottom w:val="nil"/>
              <w:right w:val="nil"/>
            </w:tcBorders>
            <w:shd w:val="clear" w:color="auto" w:fill="auto"/>
            <w:noWrap/>
            <w:vAlign w:val="bottom"/>
            <w:hideMark/>
          </w:tcPr>
          <w:p w14:paraId="0834621C"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5</w:t>
            </w:r>
          </w:p>
        </w:tc>
        <w:tc>
          <w:tcPr>
            <w:tcW w:w="1300" w:type="dxa"/>
            <w:tcBorders>
              <w:top w:val="nil"/>
              <w:left w:val="nil"/>
              <w:bottom w:val="nil"/>
              <w:right w:val="nil"/>
            </w:tcBorders>
            <w:shd w:val="clear" w:color="auto" w:fill="auto"/>
            <w:noWrap/>
            <w:vAlign w:val="bottom"/>
            <w:hideMark/>
          </w:tcPr>
          <w:p w14:paraId="5CA4844B"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1515.60</w:t>
            </w:r>
          </w:p>
        </w:tc>
        <w:tc>
          <w:tcPr>
            <w:tcW w:w="1720" w:type="dxa"/>
            <w:tcBorders>
              <w:top w:val="nil"/>
              <w:left w:val="nil"/>
              <w:bottom w:val="nil"/>
              <w:right w:val="nil"/>
            </w:tcBorders>
            <w:shd w:val="clear" w:color="auto" w:fill="auto"/>
            <w:noWrap/>
            <w:vAlign w:val="bottom"/>
            <w:hideMark/>
          </w:tcPr>
          <w:p w14:paraId="2E740CF6"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IDC</w:t>
            </w:r>
          </w:p>
        </w:tc>
      </w:tr>
      <w:tr w:rsidR="00620C21" w:rsidRPr="00764247" w14:paraId="3CAC0936" w14:textId="77777777" w:rsidTr="00E6691F">
        <w:trPr>
          <w:trHeight w:val="225"/>
        </w:trPr>
        <w:tc>
          <w:tcPr>
            <w:tcW w:w="940" w:type="dxa"/>
            <w:tcBorders>
              <w:top w:val="nil"/>
              <w:left w:val="nil"/>
              <w:bottom w:val="nil"/>
              <w:right w:val="nil"/>
            </w:tcBorders>
            <w:shd w:val="clear" w:color="auto" w:fill="auto"/>
            <w:noWrap/>
            <w:vAlign w:val="bottom"/>
            <w:hideMark/>
          </w:tcPr>
          <w:p w14:paraId="736AD669"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5</w:t>
            </w:r>
          </w:p>
        </w:tc>
        <w:tc>
          <w:tcPr>
            <w:tcW w:w="680" w:type="dxa"/>
            <w:tcBorders>
              <w:top w:val="nil"/>
              <w:left w:val="nil"/>
              <w:bottom w:val="nil"/>
              <w:right w:val="nil"/>
            </w:tcBorders>
            <w:shd w:val="clear" w:color="auto" w:fill="auto"/>
            <w:noWrap/>
            <w:vAlign w:val="bottom"/>
            <w:hideMark/>
          </w:tcPr>
          <w:p w14:paraId="64B07819"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12</w:t>
            </w:r>
          </w:p>
        </w:tc>
        <w:tc>
          <w:tcPr>
            <w:tcW w:w="1300" w:type="dxa"/>
            <w:tcBorders>
              <w:top w:val="nil"/>
              <w:left w:val="nil"/>
              <w:bottom w:val="nil"/>
              <w:right w:val="nil"/>
            </w:tcBorders>
            <w:shd w:val="clear" w:color="auto" w:fill="auto"/>
            <w:noWrap/>
            <w:vAlign w:val="bottom"/>
            <w:hideMark/>
          </w:tcPr>
          <w:p w14:paraId="60FC3DF5" w14:textId="01B67CBF" w:rsidR="00620C21" w:rsidRPr="00764247" w:rsidRDefault="0068148B"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115440189</w:t>
            </w:r>
          </w:p>
        </w:tc>
        <w:tc>
          <w:tcPr>
            <w:tcW w:w="1300" w:type="dxa"/>
            <w:tcBorders>
              <w:top w:val="nil"/>
              <w:left w:val="nil"/>
              <w:bottom w:val="nil"/>
              <w:right w:val="nil"/>
            </w:tcBorders>
            <w:shd w:val="clear" w:color="auto" w:fill="auto"/>
            <w:noWrap/>
            <w:vAlign w:val="bottom"/>
            <w:hideMark/>
          </w:tcPr>
          <w:p w14:paraId="47E1C8E7"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115444068</w:t>
            </w:r>
          </w:p>
        </w:tc>
        <w:tc>
          <w:tcPr>
            <w:tcW w:w="1060" w:type="dxa"/>
            <w:tcBorders>
              <w:top w:val="nil"/>
              <w:left w:val="nil"/>
              <w:bottom w:val="nil"/>
              <w:right w:val="nil"/>
            </w:tcBorders>
            <w:shd w:val="clear" w:color="auto" w:fill="auto"/>
            <w:noWrap/>
            <w:vAlign w:val="bottom"/>
            <w:hideMark/>
          </w:tcPr>
          <w:p w14:paraId="3BE52B26" w14:textId="43206464" w:rsidR="00620C21" w:rsidRPr="00764247" w:rsidRDefault="008E503F"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w:t>
            </w:r>
          </w:p>
        </w:tc>
        <w:tc>
          <w:tcPr>
            <w:tcW w:w="1300" w:type="dxa"/>
            <w:tcBorders>
              <w:top w:val="nil"/>
              <w:left w:val="nil"/>
              <w:bottom w:val="nil"/>
              <w:right w:val="nil"/>
            </w:tcBorders>
            <w:shd w:val="clear" w:color="auto" w:fill="auto"/>
            <w:noWrap/>
            <w:vAlign w:val="bottom"/>
            <w:hideMark/>
          </w:tcPr>
          <w:p w14:paraId="61B5137D" w14:textId="325DE862" w:rsidR="00620C21" w:rsidRPr="00764247" w:rsidRDefault="0068148B"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646.5</w:t>
            </w:r>
            <w:r w:rsidR="008E503F" w:rsidRPr="00764247">
              <w:rPr>
                <w:rFonts w:ascii="Verdana" w:eastAsia="Times New Roman" w:hAnsi="Verdana" w:cs="Times New Roman"/>
                <w:color w:val="000000"/>
                <w:sz w:val="18"/>
                <w:szCs w:val="18"/>
                <w:lang w:eastAsia="en-US"/>
              </w:rPr>
              <w:t>0</w:t>
            </w:r>
          </w:p>
        </w:tc>
        <w:tc>
          <w:tcPr>
            <w:tcW w:w="1720" w:type="dxa"/>
            <w:tcBorders>
              <w:top w:val="nil"/>
              <w:left w:val="nil"/>
              <w:bottom w:val="nil"/>
              <w:right w:val="nil"/>
            </w:tcBorders>
            <w:shd w:val="clear" w:color="auto" w:fill="auto"/>
            <w:noWrap/>
            <w:vAlign w:val="bottom"/>
            <w:hideMark/>
          </w:tcPr>
          <w:p w14:paraId="7AB99592"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IDC</w:t>
            </w:r>
          </w:p>
        </w:tc>
      </w:tr>
      <w:tr w:rsidR="00620C21" w:rsidRPr="00764247" w14:paraId="49B34260" w14:textId="77777777" w:rsidTr="00E6691F">
        <w:trPr>
          <w:trHeight w:val="180"/>
        </w:trPr>
        <w:tc>
          <w:tcPr>
            <w:tcW w:w="940" w:type="dxa"/>
            <w:tcBorders>
              <w:top w:val="nil"/>
              <w:left w:val="nil"/>
              <w:bottom w:val="nil"/>
              <w:right w:val="nil"/>
            </w:tcBorders>
            <w:shd w:val="clear" w:color="auto" w:fill="auto"/>
            <w:noWrap/>
            <w:vAlign w:val="bottom"/>
            <w:hideMark/>
          </w:tcPr>
          <w:p w14:paraId="2EEA2A2B"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w:t>
            </w:r>
          </w:p>
        </w:tc>
        <w:tc>
          <w:tcPr>
            <w:tcW w:w="680" w:type="dxa"/>
            <w:tcBorders>
              <w:top w:val="nil"/>
              <w:left w:val="nil"/>
              <w:bottom w:val="nil"/>
              <w:right w:val="nil"/>
            </w:tcBorders>
            <w:shd w:val="clear" w:color="auto" w:fill="auto"/>
            <w:noWrap/>
            <w:vAlign w:val="bottom"/>
            <w:hideMark/>
          </w:tcPr>
          <w:p w14:paraId="68608D62"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4</w:t>
            </w:r>
          </w:p>
        </w:tc>
        <w:tc>
          <w:tcPr>
            <w:tcW w:w="1300" w:type="dxa"/>
            <w:tcBorders>
              <w:top w:val="nil"/>
              <w:left w:val="nil"/>
              <w:bottom w:val="nil"/>
              <w:right w:val="nil"/>
            </w:tcBorders>
            <w:shd w:val="clear" w:color="auto" w:fill="auto"/>
            <w:noWrap/>
            <w:vAlign w:val="bottom"/>
            <w:hideMark/>
          </w:tcPr>
          <w:p w14:paraId="5B1CD9AB"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18089719</w:t>
            </w:r>
          </w:p>
        </w:tc>
        <w:tc>
          <w:tcPr>
            <w:tcW w:w="1300" w:type="dxa"/>
            <w:tcBorders>
              <w:top w:val="nil"/>
              <w:left w:val="nil"/>
              <w:bottom w:val="nil"/>
              <w:right w:val="nil"/>
            </w:tcBorders>
            <w:shd w:val="clear" w:color="auto" w:fill="auto"/>
            <w:noWrap/>
            <w:vAlign w:val="bottom"/>
            <w:hideMark/>
          </w:tcPr>
          <w:p w14:paraId="7CD752A1"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18090328</w:t>
            </w:r>
          </w:p>
        </w:tc>
        <w:tc>
          <w:tcPr>
            <w:tcW w:w="1060" w:type="dxa"/>
            <w:tcBorders>
              <w:top w:val="nil"/>
              <w:left w:val="nil"/>
              <w:bottom w:val="nil"/>
              <w:right w:val="nil"/>
            </w:tcBorders>
            <w:shd w:val="clear" w:color="auto" w:fill="auto"/>
            <w:noWrap/>
            <w:vAlign w:val="bottom"/>
            <w:hideMark/>
          </w:tcPr>
          <w:p w14:paraId="6B89DEB3"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4</w:t>
            </w:r>
          </w:p>
        </w:tc>
        <w:tc>
          <w:tcPr>
            <w:tcW w:w="1300" w:type="dxa"/>
            <w:tcBorders>
              <w:top w:val="nil"/>
              <w:left w:val="nil"/>
              <w:bottom w:val="nil"/>
              <w:right w:val="nil"/>
            </w:tcBorders>
            <w:shd w:val="clear" w:color="auto" w:fill="auto"/>
            <w:noWrap/>
            <w:vAlign w:val="bottom"/>
            <w:hideMark/>
          </w:tcPr>
          <w:p w14:paraId="23316EBE"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152.25</w:t>
            </w:r>
          </w:p>
        </w:tc>
        <w:tc>
          <w:tcPr>
            <w:tcW w:w="1720" w:type="dxa"/>
            <w:tcBorders>
              <w:top w:val="nil"/>
              <w:left w:val="nil"/>
              <w:bottom w:val="nil"/>
              <w:right w:val="nil"/>
            </w:tcBorders>
            <w:shd w:val="clear" w:color="auto" w:fill="auto"/>
            <w:noWrap/>
            <w:vAlign w:val="bottom"/>
            <w:hideMark/>
          </w:tcPr>
          <w:p w14:paraId="3A723049"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DCIS</w:t>
            </w:r>
          </w:p>
        </w:tc>
      </w:tr>
      <w:tr w:rsidR="00620C21" w:rsidRPr="00764247" w14:paraId="00F8B829" w14:textId="77777777" w:rsidTr="00E6691F">
        <w:trPr>
          <w:trHeight w:val="144"/>
        </w:trPr>
        <w:tc>
          <w:tcPr>
            <w:tcW w:w="940" w:type="dxa"/>
            <w:tcBorders>
              <w:top w:val="nil"/>
              <w:left w:val="nil"/>
              <w:bottom w:val="nil"/>
              <w:right w:val="nil"/>
            </w:tcBorders>
            <w:shd w:val="clear" w:color="auto" w:fill="auto"/>
            <w:noWrap/>
            <w:vAlign w:val="bottom"/>
            <w:hideMark/>
          </w:tcPr>
          <w:p w14:paraId="1F3BD976"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w:t>
            </w:r>
          </w:p>
        </w:tc>
        <w:tc>
          <w:tcPr>
            <w:tcW w:w="680" w:type="dxa"/>
            <w:tcBorders>
              <w:top w:val="nil"/>
              <w:left w:val="nil"/>
              <w:bottom w:val="nil"/>
              <w:right w:val="nil"/>
            </w:tcBorders>
            <w:shd w:val="clear" w:color="auto" w:fill="auto"/>
            <w:noWrap/>
            <w:vAlign w:val="bottom"/>
            <w:hideMark/>
          </w:tcPr>
          <w:p w14:paraId="5612410C"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14</w:t>
            </w:r>
          </w:p>
        </w:tc>
        <w:tc>
          <w:tcPr>
            <w:tcW w:w="1300" w:type="dxa"/>
            <w:tcBorders>
              <w:top w:val="nil"/>
              <w:left w:val="nil"/>
              <w:bottom w:val="nil"/>
              <w:right w:val="nil"/>
            </w:tcBorders>
            <w:shd w:val="clear" w:color="auto" w:fill="auto"/>
            <w:noWrap/>
            <w:vAlign w:val="bottom"/>
            <w:hideMark/>
          </w:tcPr>
          <w:p w14:paraId="15563BE5"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54132251</w:t>
            </w:r>
          </w:p>
        </w:tc>
        <w:tc>
          <w:tcPr>
            <w:tcW w:w="1300" w:type="dxa"/>
            <w:tcBorders>
              <w:top w:val="nil"/>
              <w:left w:val="nil"/>
              <w:bottom w:val="nil"/>
              <w:right w:val="nil"/>
            </w:tcBorders>
            <w:shd w:val="clear" w:color="auto" w:fill="auto"/>
            <w:noWrap/>
            <w:vAlign w:val="bottom"/>
            <w:hideMark/>
          </w:tcPr>
          <w:p w14:paraId="284489C6"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54132444</w:t>
            </w:r>
          </w:p>
        </w:tc>
        <w:tc>
          <w:tcPr>
            <w:tcW w:w="1060" w:type="dxa"/>
            <w:tcBorders>
              <w:top w:val="nil"/>
              <w:left w:val="nil"/>
              <w:bottom w:val="nil"/>
              <w:right w:val="nil"/>
            </w:tcBorders>
            <w:shd w:val="clear" w:color="auto" w:fill="auto"/>
            <w:noWrap/>
            <w:vAlign w:val="bottom"/>
            <w:hideMark/>
          </w:tcPr>
          <w:p w14:paraId="686632A4"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4</w:t>
            </w:r>
          </w:p>
        </w:tc>
        <w:tc>
          <w:tcPr>
            <w:tcW w:w="1300" w:type="dxa"/>
            <w:tcBorders>
              <w:top w:val="nil"/>
              <w:left w:val="nil"/>
              <w:bottom w:val="nil"/>
              <w:right w:val="nil"/>
            </w:tcBorders>
            <w:shd w:val="clear" w:color="auto" w:fill="auto"/>
            <w:noWrap/>
            <w:vAlign w:val="bottom"/>
            <w:hideMark/>
          </w:tcPr>
          <w:p w14:paraId="33B1A2E2"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48.25</w:t>
            </w:r>
          </w:p>
        </w:tc>
        <w:tc>
          <w:tcPr>
            <w:tcW w:w="1720" w:type="dxa"/>
            <w:tcBorders>
              <w:top w:val="nil"/>
              <w:left w:val="nil"/>
              <w:bottom w:val="nil"/>
              <w:right w:val="nil"/>
            </w:tcBorders>
            <w:shd w:val="clear" w:color="auto" w:fill="auto"/>
            <w:noWrap/>
            <w:vAlign w:val="bottom"/>
            <w:hideMark/>
          </w:tcPr>
          <w:p w14:paraId="40C281C2" w14:textId="5B20BBA1" w:rsidR="00620C21" w:rsidRPr="00764247" w:rsidRDefault="00F14CB5"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DCIS</w:t>
            </w:r>
          </w:p>
        </w:tc>
      </w:tr>
      <w:tr w:rsidR="00620C21" w:rsidRPr="00764247" w14:paraId="4149BFD8" w14:textId="77777777" w:rsidTr="00E6691F">
        <w:trPr>
          <w:trHeight w:val="144"/>
        </w:trPr>
        <w:tc>
          <w:tcPr>
            <w:tcW w:w="940" w:type="dxa"/>
            <w:tcBorders>
              <w:top w:val="nil"/>
              <w:left w:val="nil"/>
              <w:bottom w:val="nil"/>
              <w:right w:val="nil"/>
            </w:tcBorders>
            <w:shd w:val="clear" w:color="auto" w:fill="auto"/>
            <w:noWrap/>
            <w:vAlign w:val="bottom"/>
            <w:hideMark/>
          </w:tcPr>
          <w:p w14:paraId="60BDB7B6"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w:t>
            </w:r>
          </w:p>
        </w:tc>
        <w:tc>
          <w:tcPr>
            <w:tcW w:w="680" w:type="dxa"/>
            <w:tcBorders>
              <w:top w:val="nil"/>
              <w:left w:val="nil"/>
              <w:bottom w:val="nil"/>
              <w:right w:val="nil"/>
            </w:tcBorders>
            <w:shd w:val="clear" w:color="auto" w:fill="auto"/>
            <w:noWrap/>
            <w:vAlign w:val="bottom"/>
            <w:hideMark/>
          </w:tcPr>
          <w:p w14:paraId="693DB182"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16</w:t>
            </w:r>
          </w:p>
        </w:tc>
        <w:tc>
          <w:tcPr>
            <w:tcW w:w="1300" w:type="dxa"/>
            <w:tcBorders>
              <w:top w:val="nil"/>
              <w:left w:val="nil"/>
              <w:bottom w:val="nil"/>
              <w:right w:val="nil"/>
            </w:tcBorders>
            <w:shd w:val="clear" w:color="auto" w:fill="auto"/>
            <w:noWrap/>
            <w:vAlign w:val="bottom"/>
            <w:hideMark/>
          </w:tcPr>
          <w:p w14:paraId="7ECFBF36"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85848354</w:t>
            </w:r>
          </w:p>
        </w:tc>
        <w:tc>
          <w:tcPr>
            <w:tcW w:w="1300" w:type="dxa"/>
            <w:tcBorders>
              <w:top w:val="nil"/>
              <w:left w:val="nil"/>
              <w:bottom w:val="nil"/>
              <w:right w:val="nil"/>
            </w:tcBorders>
            <w:shd w:val="clear" w:color="auto" w:fill="auto"/>
            <w:noWrap/>
            <w:vAlign w:val="bottom"/>
            <w:hideMark/>
          </w:tcPr>
          <w:p w14:paraId="02E7658B"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85854587</w:t>
            </w:r>
          </w:p>
        </w:tc>
        <w:tc>
          <w:tcPr>
            <w:tcW w:w="1060" w:type="dxa"/>
            <w:tcBorders>
              <w:top w:val="nil"/>
              <w:left w:val="nil"/>
              <w:bottom w:val="nil"/>
              <w:right w:val="nil"/>
            </w:tcBorders>
            <w:shd w:val="clear" w:color="auto" w:fill="auto"/>
            <w:noWrap/>
            <w:vAlign w:val="bottom"/>
            <w:hideMark/>
          </w:tcPr>
          <w:p w14:paraId="022F40C5"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6</w:t>
            </w:r>
          </w:p>
        </w:tc>
        <w:tc>
          <w:tcPr>
            <w:tcW w:w="1300" w:type="dxa"/>
            <w:tcBorders>
              <w:top w:val="nil"/>
              <w:left w:val="nil"/>
              <w:bottom w:val="nil"/>
              <w:right w:val="nil"/>
            </w:tcBorders>
            <w:shd w:val="clear" w:color="auto" w:fill="auto"/>
            <w:noWrap/>
            <w:vAlign w:val="bottom"/>
            <w:hideMark/>
          </w:tcPr>
          <w:p w14:paraId="69D46CAE" w14:textId="77777777" w:rsidR="00620C21" w:rsidRPr="00764247" w:rsidRDefault="00620C21" w:rsidP="00620C21">
            <w:pPr>
              <w:jc w:val="right"/>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1038.83</w:t>
            </w:r>
          </w:p>
        </w:tc>
        <w:tc>
          <w:tcPr>
            <w:tcW w:w="1720" w:type="dxa"/>
            <w:tcBorders>
              <w:top w:val="nil"/>
              <w:left w:val="nil"/>
              <w:bottom w:val="nil"/>
              <w:right w:val="nil"/>
            </w:tcBorders>
            <w:shd w:val="clear" w:color="auto" w:fill="auto"/>
            <w:noWrap/>
            <w:vAlign w:val="bottom"/>
            <w:hideMark/>
          </w:tcPr>
          <w:p w14:paraId="155A3902" w14:textId="77777777" w:rsidR="00620C21" w:rsidRPr="00764247" w:rsidRDefault="00620C21" w:rsidP="00620C21">
            <w:pPr>
              <w:rPr>
                <w:rFonts w:ascii="Verdana" w:eastAsia="Times New Roman" w:hAnsi="Verdana" w:cs="Times New Roman"/>
                <w:color w:val="000000"/>
                <w:sz w:val="18"/>
                <w:szCs w:val="18"/>
                <w:lang w:eastAsia="en-US"/>
              </w:rPr>
            </w:pPr>
            <w:r w:rsidRPr="00764247">
              <w:rPr>
                <w:rFonts w:ascii="Verdana" w:eastAsia="Times New Roman" w:hAnsi="Verdana" w:cs="Times New Roman"/>
                <w:color w:val="000000"/>
                <w:sz w:val="18"/>
                <w:szCs w:val="18"/>
                <w:lang w:eastAsia="en-US"/>
              </w:rPr>
              <w:t>ENA+DCIS+IDC</w:t>
            </w:r>
          </w:p>
        </w:tc>
      </w:tr>
    </w:tbl>
    <w:p w14:paraId="1F9AAEF0" w14:textId="77777777" w:rsidR="00620C21" w:rsidRDefault="00620C21" w:rsidP="000B2550">
      <w:bookmarkStart w:id="0" w:name="_GoBack"/>
      <w:bookmarkEnd w:id="0"/>
    </w:p>
    <w:p w14:paraId="2FE1D323" w14:textId="77777777" w:rsidR="00F14CB5" w:rsidRDefault="00F14CB5">
      <w:r>
        <w:br w:type="page"/>
      </w:r>
    </w:p>
    <w:p w14:paraId="165E76EB" w14:textId="11CAE5E2" w:rsidR="000B2550" w:rsidRDefault="000B2550" w:rsidP="000B2550">
      <w:r w:rsidRPr="009300CB">
        <w:rPr>
          <w:b/>
        </w:rPr>
        <w:lastRenderedPageBreak/>
        <w:t>Fig</w:t>
      </w:r>
      <w:r w:rsidR="00AA2475">
        <w:rPr>
          <w:b/>
        </w:rPr>
        <w:t>ure</w:t>
      </w:r>
      <w:r w:rsidRPr="009300CB">
        <w:rPr>
          <w:b/>
        </w:rPr>
        <w:t xml:space="preserve">s </w:t>
      </w:r>
      <w:r>
        <w:rPr>
          <w:b/>
        </w:rPr>
        <w:t>S</w:t>
      </w:r>
      <w:r w:rsidRPr="009300CB">
        <w:rPr>
          <w:b/>
        </w:rPr>
        <w:t>1</w:t>
      </w:r>
      <w:r>
        <w:rPr>
          <w:b/>
        </w:rPr>
        <w:t>1</w:t>
      </w:r>
      <w:r w:rsidRPr="009300CB">
        <w:rPr>
          <w:b/>
        </w:rPr>
        <w:t>-</w:t>
      </w:r>
      <w:r>
        <w:rPr>
          <w:b/>
        </w:rPr>
        <w:t>S</w:t>
      </w:r>
      <w:r w:rsidRPr="009300CB">
        <w:rPr>
          <w:b/>
        </w:rPr>
        <w:t>1</w:t>
      </w:r>
      <w:r>
        <w:rPr>
          <w:b/>
        </w:rPr>
        <w:t>6</w:t>
      </w:r>
      <w:r w:rsidRPr="009300CB">
        <w:rPr>
          <w:b/>
        </w:rPr>
        <w:t>.  L</w:t>
      </w:r>
      <w:r w:rsidRPr="00FE4598">
        <w:rPr>
          <w:b/>
        </w:rPr>
        <w:t xml:space="preserve">esser </w:t>
      </w:r>
      <w:r>
        <w:rPr>
          <w:b/>
        </w:rPr>
        <w:t>allele fraction plots</w:t>
      </w:r>
      <w:r>
        <w:t>.  SNVs are arranged by their order in the genome and LAF is plotted for each sample in windows of 1000 SNVs, overlapped by 500.  Aneuploidies are visible as precipitous drops in the LAF.  Chromosome boundaries are indicated by short vertical lines.</w:t>
      </w:r>
    </w:p>
    <w:p w14:paraId="4104CE8B" w14:textId="77777777" w:rsidR="000B2550" w:rsidRDefault="000B2550" w:rsidP="000B2550"/>
    <w:p w14:paraId="707474AC" w14:textId="638FE36E" w:rsidR="000B2550" w:rsidRDefault="000B2550" w:rsidP="000B2550">
      <w:r w:rsidRPr="00971172">
        <w:rPr>
          <w:b/>
        </w:rPr>
        <w:t>Fig</w:t>
      </w:r>
      <w:r w:rsidR="00AA2475">
        <w:rPr>
          <w:b/>
        </w:rPr>
        <w:t>ure</w:t>
      </w:r>
      <w:r w:rsidRPr="00971172">
        <w:rPr>
          <w:b/>
        </w:rPr>
        <w:t xml:space="preserve"> </w:t>
      </w:r>
      <w:r>
        <w:rPr>
          <w:b/>
        </w:rPr>
        <w:t>S</w:t>
      </w:r>
      <w:r w:rsidRPr="00971172">
        <w:rPr>
          <w:b/>
        </w:rPr>
        <w:t>1</w:t>
      </w:r>
      <w:r>
        <w:rPr>
          <w:b/>
        </w:rPr>
        <w:t>7</w:t>
      </w:r>
      <w:r w:rsidRPr="00971172">
        <w:rPr>
          <w:b/>
        </w:rPr>
        <w:t>. AAFs</w:t>
      </w:r>
      <w:r>
        <w:t xml:space="preserve"> of those SNVs that arose on the same lineage branch as the first Chromosome 1q ploidy gain, in each aneuploid sample.  Red points are SNVs on 1q, blue points are SNVs on all euploid chromosomes.</w:t>
      </w:r>
    </w:p>
    <w:p w14:paraId="02DD96F5" w14:textId="77777777" w:rsidR="006B6FFE" w:rsidRDefault="006B6FFE" w:rsidP="000B2550">
      <w:pPr>
        <w:spacing w:before="120" w:line="360" w:lineRule="auto"/>
      </w:pPr>
    </w:p>
    <w:sectPr w:rsidR="006B6FFE" w:rsidSect="00B260F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CA6"/>
    <w:rsid w:val="000460FE"/>
    <w:rsid w:val="00055261"/>
    <w:rsid w:val="000B2550"/>
    <w:rsid w:val="000D233B"/>
    <w:rsid w:val="000E4C1C"/>
    <w:rsid w:val="00103125"/>
    <w:rsid w:val="001665D1"/>
    <w:rsid w:val="001A0CA6"/>
    <w:rsid w:val="001B37F2"/>
    <w:rsid w:val="001C4A76"/>
    <w:rsid w:val="001C5B98"/>
    <w:rsid w:val="001D7341"/>
    <w:rsid w:val="002003EB"/>
    <w:rsid w:val="00206823"/>
    <w:rsid w:val="00210CAE"/>
    <w:rsid w:val="002161FE"/>
    <w:rsid w:val="00217BE4"/>
    <w:rsid w:val="002247B3"/>
    <w:rsid w:val="002D4CED"/>
    <w:rsid w:val="00334B82"/>
    <w:rsid w:val="00342EA0"/>
    <w:rsid w:val="00366A0C"/>
    <w:rsid w:val="00390E1B"/>
    <w:rsid w:val="0039175B"/>
    <w:rsid w:val="003964C1"/>
    <w:rsid w:val="00430478"/>
    <w:rsid w:val="00431C2B"/>
    <w:rsid w:val="00471944"/>
    <w:rsid w:val="0047213F"/>
    <w:rsid w:val="004A1FF9"/>
    <w:rsid w:val="004B2748"/>
    <w:rsid w:val="004D676A"/>
    <w:rsid w:val="004F6362"/>
    <w:rsid w:val="00547D5C"/>
    <w:rsid w:val="0055329B"/>
    <w:rsid w:val="00560193"/>
    <w:rsid w:val="00573426"/>
    <w:rsid w:val="00582EFE"/>
    <w:rsid w:val="005A442E"/>
    <w:rsid w:val="005B0D32"/>
    <w:rsid w:val="005E7F7C"/>
    <w:rsid w:val="005F1A6B"/>
    <w:rsid w:val="00620C21"/>
    <w:rsid w:val="006353EC"/>
    <w:rsid w:val="0068148B"/>
    <w:rsid w:val="006B6FFE"/>
    <w:rsid w:val="006D0E15"/>
    <w:rsid w:val="007156E1"/>
    <w:rsid w:val="00735666"/>
    <w:rsid w:val="00764247"/>
    <w:rsid w:val="00772F7C"/>
    <w:rsid w:val="007A46E7"/>
    <w:rsid w:val="007B03B3"/>
    <w:rsid w:val="008236BE"/>
    <w:rsid w:val="00831F87"/>
    <w:rsid w:val="008338F5"/>
    <w:rsid w:val="008E2536"/>
    <w:rsid w:val="008E4A64"/>
    <w:rsid w:val="008E503F"/>
    <w:rsid w:val="00926F52"/>
    <w:rsid w:val="00953EEF"/>
    <w:rsid w:val="009C5E2A"/>
    <w:rsid w:val="009C7E68"/>
    <w:rsid w:val="00A40B1D"/>
    <w:rsid w:val="00AA2475"/>
    <w:rsid w:val="00AA35BC"/>
    <w:rsid w:val="00AE504E"/>
    <w:rsid w:val="00B260FF"/>
    <w:rsid w:val="00B90FAB"/>
    <w:rsid w:val="00BE3A4E"/>
    <w:rsid w:val="00BE40B8"/>
    <w:rsid w:val="00BF2C39"/>
    <w:rsid w:val="00CA1209"/>
    <w:rsid w:val="00CC0757"/>
    <w:rsid w:val="00CC0FAB"/>
    <w:rsid w:val="00CD43D1"/>
    <w:rsid w:val="00D73772"/>
    <w:rsid w:val="00D761F2"/>
    <w:rsid w:val="00DC6A9B"/>
    <w:rsid w:val="00E4301F"/>
    <w:rsid w:val="00E6691F"/>
    <w:rsid w:val="00E807C5"/>
    <w:rsid w:val="00EF0F56"/>
    <w:rsid w:val="00F14CB5"/>
    <w:rsid w:val="00F16CC6"/>
    <w:rsid w:val="00F367D0"/>
    <w:rsid w:val="00F65292"/>
    <w:rsid w:val="00F91398"/>
    <w:rsid w:val="00FB2A20"/>
    <w:rsid w:val="00FB5E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48A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48"/>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213F"/>
    <w:rPr>
      <w:sz w:val="16"/>
      <w:szCs w:val="16"/>
    </w:rPr>
  </w:style>
  <w:style w:type="paragraph" w:styleId="CommentText">
    <w:name w:val="annotation text"/>
    <w:basedOn w:val="Normal"/>
    <w:link w:val="CommentTextChar"/>
    <w:uiPriority w:val="99"/>
    <w:semiHidden/>
    <w:unhideWhenUsed/>
    <w:rsid w:val="0047213F"/>
    <w:rPr>
      <w:sz w:val="20"/>
      <w:szCs w:val="20"/>
    </w:rPr>
  </w:style>
  <w:style w:type="character" w:customStyle="1" w:styleId="CommentTextChar">
    <w:name w:val="Comment Text Char"/>
    <w:basedOn w:val="DefaultParagraphFont"/>
    <w:link w:val="CommentText"/>
    <w:uiPriority w:val="99"/>
    <w:semiHidden/>
    <w:rsid w:val="0047213F"/>
    <w:rPr>
      <w:rFonts w:ascii="Arial" w:hAnsi="Arial"/>
    </w:rPr>
  </w:style>
  <w:style w:type="paragraph" w:styleId="CommentSubject">
    <w:name w:val="annotation subject"/>
    <w:basedOn w:val="CommentText"/>
    <w:next w:val="CommentText"/>
    <w:link w:val="CommentSubjectChar"/>
    <w:uiPriority w:val="99"/>
    <w:semiHidden/>
    <w:unhideWhenUsed/>
    <w:rsid w:val="0047213F"/>
    <w:rPr>
      <w:b/>
      <w:bCs/>
    </w:rPr>
  </w:style>
  <w:style w:type="character" w:customStyle="1" w:styleId="CommentSubjectChar">
    <w:name w:val="Comment Subject Char"/>
    <w:basedOn w:val="CommentTextChar"/>
    <w:link w:val="CommentSubject"/>
    <w:uiPriority w:val="99"/>
    <w:semiHidden/>
    <w:rsid w:val="0047213F"/>
    <w:rPr>
      <w:rFonts w:ascii="Arial" w:hAnsi="Arial"/>
      <w:b/>
      <w:bCs/>
    </w:rPr>
  </w:style>
  <w:style w:type="paragraph" w:styleId="BalloonText">
    <w:name w:val="Balloon Text"/>
    <w:basedOn w:val="Normal"/>
    <w:link w:val="BalloonTextChar"/>
    <w:uiPriority w:val="99"/>
    <w:semiHidden/>
    <w:unhideWhenUsed/>
    <w:rsid w:val="0047213F"/>
    <w:rPr>
      <w:rFonts w:ascii="Tahoma" w:hAnsi="Tahoma" w:cs="Tahoma"/>
      <w:sz w:val="16"/>
      <w:szCs w:val="16"/>
    </w:rPr>
  </w:style>
  <w:style w:type="character" w:customStyle="1" w:styleId="BalloonTextChar">
    <w:name w:val="Balloon Text Char"/>
    <w:basedOn w:val="DefaultParagraphFont"/>
    <w:link w:val="BalloonText"/>
    <w:uiPriority w:val="99"/>
    <w:semiHidden/>
    <w:rsid w:val="0047213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748"/>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213F"/>
    <w:rPr>
      <w:sz w:val="16"/>
      <w:szCs w:val="16"/>
    </w:rPr>
  </w:style>
  <w:style w:type="paragraph" w:styleId="CommentText">
    <w:name w:val="annotation text"/>
    <w:basedOn w:val="Normal"/>
    <w:link w:val="CommentTextChar"/>
    <w:uiPriority w:val="99"/>
    <w:semiHidden/>
    <w:unhideWhenUsed/>
    <w:rsid w:val="0047213F"/>
    <w:rPr>
      <w:sz w:val="20"/>
      <w:szCs w:val="20"/>
    </w:rPr>
  </w:style>
  <w:style w:type="character" w:customStyle="1" w:styleId="CommentTextChar">
    <w:name w:val="Comment Text Char"/>
    <w:basedOn w:val="DefaultParagraphFont"/>
    <w:link w:val="CommentText"/>
    <w:uiPriority w:val="99"/>
    <w:semiHidden/>
    <w:rsid w:val="0047213F"/>
    <w:rPr>
      <w:rFonts w:ascii="Arial" w:hAnsi="Arial"/>
    </w:rPr>
  </w:style>
  <w:style w:type="paragraph" w:styleId="CommentSubject">
    <w:name w:val="annotation subject"/>
    <w:basedOn w:val="CommentText"/>
    <w:next w:val="CommentText"/>
    <w:link w:val="CommentSubjectChar"/>
    <w:uiPriority w:val="99"/>
    <w:semiHidden/>
    <w:unhideWhenUsed/>
    <w:rsid w:val="0047213F"/>
    <w:rPr>
      <w:b/>
      <w:bCs/>
    </w:rPr>
  </w:style>
  <w:style w:type="character" w:customStyle="1" w:styleId="CommentSubjectChar">
    <w:name w:val="Comment Subject Char"/>
    <w:basedOn w:val="CommentTextChar"/>
    <w:link w:val="CommentSubject"/>
    <w:uiPriority w:val="99"/>
    <w:semiHidden/>
    <w:rsid w:val="0047213F"/>
    <w:rPr>
      <w:rFonts w:ascii="Arial" w:hAnsi="Arial"/>
      <w:b/>
      <w:bCs/>
    </w:rPr>
  </w:style>
  <w:style w:type="paragraph" w:styleId="BalloonText">
    <w:name w:val="Balloon Text"/>
    <w:basedOn w:val="Normal"/>
    <w:link w:val="BalloonTextChar"/>
    <w:uiPriority w:val="99"/>
    <w:semiHidden/>
    <w:unhideWhenUsed/>
    <w:rsid w:val="0047213F"/>
    <w:rPr>
      <w:rFonts w:ascii="Tahoma" w:hAnsi="Tahoma" w:cs="Tahoma"/>
      <w:sz w:val="16"/>
      <w:szCs w:val="16"/>
    </w:rPr>
  </w:style>
  <w:style w:type="character" w:customStyle="1" w:styleId="BalloonTextChar">
    <w:name w:val="Balloon Text Char"/>
    <w:basedOn w:val="DefaultParagraphFont"/>
    <w:link w:val="BalloonText"/>
    <w:uiPriority w:val="99"/>
    <w:semiHidden/>
    <w:rsid w:val="00472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87251">
      <w:bodyDiv w:val="1"/>
      <w:marLeft w:val="0"/>
      <w:marRight w:val="0"/>
      <w:marTop w:val="0"/>
      <w:marBottom w:val="0"/>
      <w:divBdr>
        <w:top w:val="none" w:sz="0" w:space="0" w:color="auto"/>
        <w:left w:val="none" w:sz="0" w:space="0" w:color="auto"/>
        <w:bottom w:val="none" w:sz="0" w:space="0" w:color="auto"/>
        <w:right w:val="none" w:sz="0" w:space="0" w:color="auto"/>
      </w:divBdr>
    </w:div>
    <w:div w:id="583879136">
      <w:bodyDiv w:val="1"/>
      <w:marLeft w:val="0"/>
      <w:marRight w:val="0"/>
      <w:marTop w:val="0"/>
      <w:marBottom w:val="0"/>
      <w:divBdr>
        <w:top w:val="none" w:sz="0" w:space="0" w:color="auto"/>
        <w:left w:val="none" w:sz="0" w:space="0" w:color="auto"/>
        <w:bottom w:val="none" w:sz="0" w:space="0" w:color="auto"/>
        <w:right w:val="none" w:sz="0" w:space="0" w:color="auto"/>
      </w:divBdr>
    </w:div>
    <w:div w:id="743912351">
      <w:bodyDiv w:val="1"/>
      <w:marLeft w:val="0"/>
      <w:marRight w:val="0"/>
      <w:marTop w:val="0"/>
      <w:marBottom w:val="0"/>
      <w:divBdr>
        <w:top w:val="none" w:sz="0" w:space="0" w:color="auto"/>
        <w:left w:val="none" w:sz="0" w:space="0" w:color="auto"/>
        <w:bottom w:val="none" w:sz="0" w:space="0" w:color="auto"/>
        <w:right w:val="none" w:sz="0" w:space="0" w:color="auto"/>
      </w:divBdr>
    </w:div>
    <w:div w:id="8618250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1701</Words>
  <Characters>9702</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Arend Sidow</dc:creator>
  <cp:lastModifiedBy>Arend Sidow</cp:lastModifiedBy>
  <cp:revision>8</cp:revision>
  <dcterms:created xsi:type="dcterms:W3CDTF">2012-11-06T17:03:00Z</dcterms:created>
  <dcterms:modified xsi:type="dcterms:W3CDTF">2013-01-31T00:17:00Z</dcterms:modified>
</cp:coreProperties>
</file>