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A1" w:rsidRPr="00CB0ED6" w:rsidRDefault="00E31BA1" w:rsidP="00E31BA1">
      <w:pPr>
        <w:spacing w:line="480" w:lineRule="auto"/>
        <w:jc w:val="both"/>
        <w:rPr>
          <w:b/>
        </w:rPr>
      </w:pPr>
      <w:r w:rsidRPr="00CB0ED6">
        <w:rPr>
          <w:b/>
        </w:rPr>
        <w:t xml:space="preserve">Supplemental Tables and Figure Legends. </w:t>
      </w:r>
    </w:p>
    <w:p w:rsidR="00E31BA1" w:rsidRPr="00CB0ED6" w:rsidRDefault="00E31BA1" w:rsidP="00E31BA1">
      <w:pPr>
        <w:autoSpaceDE w:val="0"/>
        <w:autoSpaceDN w:val="0"/>
        <w:adjustRightInd w:val="0"/>
        <w:spacing w:line="480" w:lineRule="auto"/>
        <w:jc w:val="both"/>
      </w:pPr>
      <w:r w:rsidRPr="00CB0ED6">
        <w:rPr>
          <w:b/>
        </w:rPr>
        <w:t>Supplemental Fig. S1</w:t>
      </w:r>
      <w:r w:rsidRPr="00CB0ED6">
        <w:t>.</w:t>
      </w:r>
      <w:r w:rsidRPr="00CB0ED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AC53D3">
        <w:rPr>
          <w:b/>
        </w:rPr>
        <w:t>Biofilm sample biomass and Fluorescence Activated Cell Sorting (FACS) biofilm sample.</w:t>
      </w:r>
      <w:r w:rsidRPr="00527E2F">
        <w:t xml:space="preserve"> </w:t>
      </w:r>
      <w:r w:rsidRPr="00CB0ED6">
        <w:t xml:space="preserve">(A) Sample biomass from sink drain biofilm obtained within a restroom adjacent to an emergency waiting room. </w:t>
      </w:r>
      <w:r>
        <w:t xml:space="preserve"> </w:t>
      </w:r>
      <w:proofErr w:type="gramStart"/>
      <w:r w:rsidRPr="00CB0ED6">
        <w:t>Image show</w:t>
      </w:r>
      <w:proofErr w:type="gramEnd"/>
      <w:r w:rsidRPr="00CB0ED6">
        <w:t xml:space="preserve"> the collected biomass prior to any processing. (B) Sorting gates used to sort events after staining with </w:t>
      </w:r>
      <w:proofErr w:type="spellStart"/>
      <w:r w:rsidRPr="00CB0ED6">
        <w:t>sybergreen</w:t>
      </w:r>
      <w:proofErr w:type="spellEnd"/>
      <w:r w:rsidRPr="00CB0ED6">
        <w:t xml:space="preserve"> DNA stain. </w:t>
      </w:r>
      <w:r>
        <w:t xml:space="preserve"> </w:t>
      </w:r>
      <w:r w:rsidRPr="00CB0ED6">
        <w:t xml:space="preserve">P1 represented high fluorescent particle events and background represents the region unstained sample events were located. </w:t>
      </w:r>
      <w:r>
        <w:t xml:space="preserve"> </w:t>
      </w:r>
      <w:r w:rsidRPr="00CB0ED6">
        <w:t>After DNA staining, the high fluorescent P1 region was chosen as a sort gate.</w:t>
      </w:r>
    </w:p>
    <w:p w:rsidR="00E31BA1" w:rsidRPr="00CB0ED6" w:rsidRDefault="00E31BA1" w:rsidP="00E31BA1">
      <w:pPr>
        <w:spacing w:line="480" w:lineRule="auto"/>
        <w:jc w:val="both"/>
        <w:rPr>
          <w:b/>
          <w:bCs/>
        </w:rPr>
      </w:pPr>
    </w:p>
    <w:p w:rsidR="00E31BA1" w:rsidRPr="00CB0ED6" w:rsidRDefault="00E31BA1" w:rsidP="00E31BA1">
      <w:pPr>
        <w:spacing w:line="480" w:lineRule="auto"/>
        <w:jc w:val="both"/>
      </w:pPr>
      <w:proofErr w:type="gramStart"/>
      <w:r w:rsidRPr="00CB0ED6">
        <w:rPr>
          <w:b/>
          <w:bCs/>
        </w:rPr>
        <w:t>Supplementary Figure S2.</w:t>
      </w:r>
      <w:proofErr w:type="gramEnd"/>
      <w:r w:rsidRPr="00AC53D3">
        <w:rPr>
          <w:b/>
          <w:bCs/>
        </w:rPr>
        <w:t xml:space="preserve">  Custom integrated Agilent Technologies </w:t>
      </w:r>
      <w:proofErr w:type="spellStart"/>
      <w:r w:rsidRPr="00AC53D3">
        <w:rPr>
          <w:b/>
          <w:bCs/>
        </w:rPr>
        <w:t>BioCel</w:t>
      </w:r>
      <w:proofErr w:type="spellEnd"/>
      <w:r w:rsidRPr="00AC53D3">
        <w:rPr>
          <w:b/>
          <w:bCs/>
        </w:rPr>
        <w:t xml:space="preserve"> 1200 liquid handling automated platform for high throughput single cell genomics.  </w:t>
      </w:r>
      <w:r w:rsidRPr="00CB0ED6">
        <w:t xml:space="preserve">The </w:t>
      </w:r>
      <w:proofErr w:type="spellStart"/>
      <w:r w:rsidRPr="00CB0ED6">
        <w:t>BioCel</w:t>
      </w:r>
      <w:proofErr w:type="spellEnd"/>
      <w:r w:rsidRPr="00CB0ED6">
        <w:t xml:space="preserve"> platform allows processing of more than 5,000 single cells per week through a multi-stage protocol that includes multiple displacement amplification (MDA) of DNA, MDA dilution and 16S </w:t>
      </w:r>
      <w:proofErr w:type="spellStart"/>
      <w:r w:rsidRPr="00CB0ED6">
        <w:t>rDNA</w:t>
      </w:r>
      <w:proofErr w:type="spellEnd"/>
      <w:r w:rsidRPr="00CB0ED6">
        <w:t xml:space="preserve"> PCR, MDA and PCR hit picking, </w:t>
      </w:r>
      <w:proofErr w:type="spellStart"/>
      <w:r w:rsidRPr="00CB0ED6">
        <w:t>Picogreen</w:t>
      </w:r>
      <w:proofErr w:type="spellEnd"/>
      <w:r w:rsidRPr="00CB0ED6">
        <w:t xml:space="preserve"> (Life Technologies) DNA quantitation, 16S </w:t>
      </w:r>
      <w:proofErr w:type="spellStart"/>
      <w:r w:rsidRPr="00CB0ED6">
        <w:t>Syto</w:t>
      </w:r>
      <w:proofErr w:type="spellEnd"/>
      <w:r w:rsidRPr="00CB0ED6">
        <w:t xml:space="preserve"> 9 (Life Technologies) melt curve assay, 16S </w:t>
      </w:r>
      <w:proofErr w:type="spellStart"/>
      <w:r w:rsidRPr="00CB0ED6">
        <w:t>rDNA</w:t>
      </w:r>
      <w:proofErr w:type="spellEnd"/>
      <w:r w:rsidRPr="00CB0ED6">
        <w:t xml:space="preserve"> </w:t>
      </w:r>
      <w:proofErr w:type="spellStart"/>
      <w:r w:rsidRPr="00CB0ED6">
        <w:t>Taqman</w:t>
      </w:r>
      <w:proofErr w:type="spellEnd"/>
      <w:r w:rsidRPr="00CB0ED6">
        <w:t xml:space="preserve"> </w:t>
      </w:r>
      <w:proofErr w:type="spellStart"/>
      <w:r w:rsidRPr="00CB0ED6">
        <w:t>qPCR</w:t>
      </w:r>
      <w:proofErr w:type="spellEnd"/>
      <w:r w:rsidRPr="00CB0ED6">
        <w:t>, and SAP/</w:t>
      </w:r>
      <w:proofErr w:type="spellStart"/>
      <w:r w:rsidRPr="00CB0ED6">
        <w:t>Exonuclease</w:t>
      </w:r>
      <w:proofErr w:type="spellEnd"/>
      <w:r w:rsidRPr="00CB0ED6">
        <w:t xml:space="preserve"> I (</w:t>
      </w:r>
      <w:proofErr w:type="spellStart"/>
      <w:r w:rsidRPr="00CB0ED6">
        <w:t>Affymetrix</w:t>
      </w:r>
      <w:proofErr w:type="spellEnd"/>
      <w:r w:rsidRPr="00CB0ED6">
        <w:t xml:space="preserve">) PCR treatment.  All liquid handling is performed on the </w:t>
      </w:r>
      <w:proofErr w:type="spellStart"/>
      <w:r w:rsidRPr="00CB0ED6">
        <w:t>BioCel</w:t>
      </w:r>
      <w:proofErr w:type="spellEnd"/>
      <w:r w:rsidRPr="00CB0ED6">
        <w:t xml:space="preserve"> with the </w:t>
      </w:r>
      <w:proofErr w:type="spellStart"/>
      <w:r w:rsidRPr="00CB0ED6">
        <w:t>BioRAPTR</w:t>
      </w:r>
      <w:proofErr w:type="spellEnd"/>
      <w:r w:rsidRPr="00CB0ED6">
        <w:t xml:space="preserve"> (Beckman Coulter) and Bravo (Agilent) performing non-contact dispensing and liquid transfer steps, respectively.</w:t>
      </w:r>
      <w:r>
        <w:t xml:space="preserve"> </w:t>
      </w:r>
      <w:r w:rsidRPr="00CB0ED6">
        <w:t xml:space="preserve"> The MDA isothermal reaction and PCR are performed offline on </w:t>
      </w:r>
      <w:proofErr w:type="spellStart"/>
      <w:r w:rsidRPr="00CB0ED6">
        <w:t>GeneAmp</w:t>
      </w:r>
      <w:proofErr w:type="spellEnd"/>
      <w:r w:rsidRPr="00CB0ED6">
        <w:t xml:space="preserve"> PCR system 9700 </w:t>
      </w:r>
      <w:proofErr w:type="spellStart"/>
      <w:r w:rsidRPr="00CB0ED6">
        <w:t>thermocyclers</w:t>
      </w:r>
      <w:proofErr w:type="spellEnd"/>
      <w:r w:rsidRPr="00CB0ED6">
        <w:t xml:space="preserve"> (Applied </w:t>
      </w:r>
      <w:proofErr w:type="spellStart"/>
      <w:r w:rsidRPr="00CB0ED6">
        <w:t>Biosystems</w:t>
      </w:r>
      <w:proofErr w:type="spellEnd"/>
      <w:r w:rsidRPr="00CB0ED6">
        <w:t xml:space="preserve">), while </w:t>
      </w:r>
      <w:proofErr w:type="spellStart"/>
      <w:r w:rsidRPr="00CB0ED6">
        <w:t>TaqMan</w:t>
      </w:r>
      <w:proofErr w:type="spellEnd"/>
      <w:r w:rsidRPr="00CB0ED6">
        <w:t xml:space="preserve"> or melt curve analysis </w:t>
      </w:r>
      <w:proofErr w:type="gramStart"/>
      <w:r w:rsidRPr="00CB0ED6">
        <w:t>are</w:t>
      </w:r>
      <w:proofErr w:type="gramEnd"/>
      <w:r w:rsidRPr="00CB0ED6">
        <w:t xml:space="preserve"> performed in-line on the ABI 7900HT (Applied </w:t>
      </w:r>
      <w:proofErr w:type="spellStart"/>
      <w:r w:rsidRPr="00CB0ED6">
        <w:t>Biosystems</w:t>
      </w:r>
      <w:proofErr w:type="spellEnd"/>
      <w:r w:rsidRPr="00CB0ED6">
        <w:t>).</w:t>
      </w:r>
      <w:r>
        <w:t xml:space="preserve"> </w:t>
      </w:r>
      <w:r w:rsidRPr="00CB0ED6">
        <w:t xml:space="preserve"> The platform includes barcode tracking of 384-well plates, and is integrated with a JCVI Laboratory Information Management System (LIMS).</w:t>
      </w:r>
    </w:p>
    <w:p w:rsidR="00E31BA1" w:rsidRPr="00CB0ED6" w:rsidRDefault="00E31BA1" w:rsidP="00E31BA1">
      <w:pPr>
        <w:pStyle w:val="NoSpacing"/>
        <w:spacing w:line="480" w:lineRule="auto"/>
        <w:jc w:val="both"/>
        <w:rPr>
          <w:sz w:val="24"/>
          <w:szCs w:val="24"/>
        </w:rPr>
      </w:pPr>
      <w:proofErr w:type="gramStart"/>
      <w:r w:rsidRPr="00CB0ED6">
        <w:rPr>
          <w:b/>
          <w:sz w:val="24"/>
          <w:szCs w:val="24"/>
        </w:rPr>
        <w:lastRenderedPageBreak/>
        <w:t>Supplemental Figure S3.</w:t>
      </w:r>
      <w:proofErr w:type="gramEnd"/>
      <w:r w:rsidRPr="00CB0ED6">
        <w:rPr>
          <w:sz w:val="24"/>
          <w:szCs w:val="24"/>
        </w:rPr>
        <w:t xml:space="preserve">  </w:t>
      </w:r>
      <w:r w:rsidRPr="00AC53D3">
        <w:rPr>
          <w:b/>
          <w:sz w:val="24"/>
          <w:szCs w:val="24"/>
        </w:rPr>
        <w:t xml:space="preserve">Variation in coverage levels for the three single cell </w:t>
      </w:r>
      <w:r w:rsidRPr="00AC53D3">
        <w:rPr>
          <w:b/>
          <w:i/>
          <w:sz w:val="24"/>
          <w:szCs w:val="24"/>
        </w:rPr>
        <w:t xml:space="preserve">P. </w:t>
      </w:r>
      <w:proofErr w:type="spellStart"/>
      <w:r w:rsidRPr="00AC53D3">
        <w:rPr>
          <w:b/>
          <w:i/>
          <w:sz w:val="24"/>
          <w:szCs w:val="24"/>
        </w:rPr>
        <w:t>gingivalis</w:t>
      </w:r>
      <w:proofErr w:type="spellEnd"/>
      <w:r w:rsidRPr="00AC53D3">
        <w:rPr>
          <w:b/>
          <w:i/>
          <w:sz w:val="24"/>
          <w:szCs w:val="24"/>
        </w:rPr>
        <w:t xml:space="preserve"> </w:t>
      </w:r>
      <w:r w:rsidRPr="00AC53D3">
        <w:rPr>
          <w:b/>
          <w:sz w:val="24"/>
          <w:szCs w:val="24"/>
        </w:rPr>
        <w:t>MDAs</w:t>
      </w:r>
      <w:r w:rsidRPr="00527E2F">
        <w:rPr>
          <w:sz w:val="24"/>
          <w:szCs w:val="24"/>
        </w:rPr>
        <w:t>.</w:t>
      </w:r>
      <w:r w:rsidRPr="00CB0E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B0ED6">
        <w:rPr>
          <w:sz w:val="24"/>
          <w:szCs w:val="24"/>
        </w:rPr>
        <w:t>The percent of bases with at least the indicated coverage is plotted.</w:t>
      </w:r>
    </w:p>
    <w:p w:rsidR="00E31BA1" w:rsidRPr="00CB0ED6" w:rsidRDefault="00E31BA1" w:rsidP="00E31BA1">
      <w:pPr>
        <w:pStyle w:val="NoSpacing"/>
        <w:spacing w:line="480" w:lineRule="auto"/>
        <w:jc w:val="both"/>
        <w:rPr>
          <w:sz w:val="24"/>
          <w:szCs w:val="24"/>
        </w:rPr>
      </w:pPr>
    </w:p>
    <w:p w:rsidR="00E31BA1" w:rsidRDefault="00E31BA1" w:rsidP="00E31BA1">
      <w:pPr>
        <w:spacing w:line="480" w:lineRule="auto"/>
        <w:jc w:val="both"/>
      </w:pPr>
      <w:proofErr w:type="gramStart"/>
      <w:r w:rsidRPr="00CB0ED6">
        <w:rPr>
          <w:b/>
        </w:rPr>
        <w:t>Supplemental Figure S4.</w:t>
      </w:r>
      <w:proofErr w:type="gramEnd"/>
      <w:r w:rsidRPr="00CB0ED6">
        <w:t xml:space="preserve">  </w:t>
      </w:r>
      <w:r w:rsidRPr="00AC53D3">
        <w:rPr>
          <w:b/>
        </w:rPr>
        <w:t>Single nucleotide polymorphisms and read coverage across the reference strain TDC60</w:t>
      </w:r>
      <w:r w:rsidRPr="00527E2F">
        <w:t xml:space="preserve">. </w:t>
      </w:r>
      <w:r>
        <w:t xml:space="preserve"> </w:t>
      </w:r>
      <w:r w:rsidRPr="00CB0ED6">
        <w:t xml:space="preserve">Row 1) genes; Row 2) </w:t>
      </w:r>
      <w:r>
        <w:t>m</w:t>
      </w:r>
      <w:r w:rsidRPr="00CB0ED6">
        <w:t>obile elements; Rows 3-5) MDA SNPs at a coverage of 30</w:t>
      </w:r>
      <w:r>
        <w:t>×</w:t>
      </w:r>
      <w:r w:rsidRPr="00CB0ED6">
        <w:t xml:space="preserve">; Rows 6-8) </w:t>
      </w:r>
      <w:proofErr w:type="spellStart"/>
      <w:r>
        <w:t>I</w:t>
      </w:r>
      <w:r w:rsidRPr="00CB0ED6">
        <w:t>llumina</w:t>
      </w:r>
      <w:proofErr w:type="spellEnd"/>
      <w:r w:rsidRPr="00CB0ED6">
        <w:t xml:space="preserve"> read coverage; Rows 9-11) 454 read coverage. </w:t>
      </w:r>
      <w:r>
        <w:t xml:space="preserve"> </w:t>
      </w:r>
      <w:r w:rsidRPr="00CB0ED6">
        <w:t>Read coverage is given for each on the x-axis and TDC60 genome position on the y-axis.</w:t>
      </w:r>
    </w:p>
    <w:p w:rsidR="00E31BA1" w:rsidRPr="00CB0ED6" w:rsidRDefault="00E31BA1" w:rsidP="00E31BA1">
      <w:pPr>
        <w:spacing w:line="480" w:lineRule="auto"/>
        <w:jc w:val="both"/>
      </w:pPr>
    </w:p>
    <w:p w:rsidR="00E31BA1" w:rsidRDefault="00E31BA1" w:rsidP="00E31BA1">
      <w:pPr>
        <w:pStyle w:val="NoSpacing"/>
        <w:spacing w:line="480" w:lineRule="auto"/>
        <w:jc w:val="both"/>
        <w:rPr>
          <w:sz w:val="24"/>
          <w:szCs w:val="24"/>
        </w:rPr>
      </w:pPr>
      <w:proofErr w:type="gramStart"/>
      <w:r w:rsidRPr="00CB0ED6">
        <w:rPr>
          <w:b/>
          <w:sz w:val="24"/>
          <w:szCs w:val="24"/>
        </w:rPr>
        <w:t>Supplemental Figure S5.</w:t>
      </w:r>
      <w:proofErr w:type="gramEnd"/>
      <w:r w:rsidRPr="00CB0ED6">
        <w:rPr>
          <w:sz w:val="24"/>
          <w:szCs w:val="24"/>
        </w:rPr>
        <w:t xml:space="preserve">  </w:t>
      </w:r>
      <w:r w:rsidRPr="00527E2F">
        <w:rPr>
          <w:b/>
          <w:sz w:val="24"/>
          <w:szCs w:val="24"/>
        </w:rPr>
        <w:t xml:space="preserve">Taxonomic classification of the </w:t>
      </w:r>
      <w:proofErr w:type="spellStart"/>
      <w:r w:rsidRPr="00527E2F">
        <w:rPr>
          <w:b/>
          <w:sz w:val="24"/>
          <w:szCs w:val="24"/>
        </w:rPr>
        <w:t>SPAdes</w:t>
      </w:r>
      <w:proofErr w:type="spellEnd"/>
      <w:r w:rsidRPr="00527E2F">
        <w:rPr>
          <w:b/>
          <w:sz w:val="24"/>
          <w:szCs w:val="24"/>
        </w:rPr>
        <w:t xml:space="preserve"> </w:t>
      </w:r>
      <w:r w:rsidRPr="00527E2F">
        <w:rPr>
          <w:b/>
          <w:i/>
          <w:sz w:val="24"/>
          <w:szCs w:val="24"/>
        </w:rPr>
        <w:t>de novo</w:t>
      </w:r>
      <w:r w:rsidRPr="00527E2F">
        <w:rPr>
          <w:b/>
          <w:sz w:val="24"/>
          <w:szCs w:val="24"/>
        </w:rPr>
        <w:t xml:space="preserve"> assembled </w:t>
      </w:r>
      <w:proofErr w:type="spellStart"/>
      <w:r w:rsidRPr="00527E2F">
        <w:rPr>
          <w:b/>
          <w:sz w:val="24"/>
          <w:szCs w:val="24"/>
        </w:rPr>
        <w:t>contigs</w:t>
      </w:r>
      <w:proofErr w:type="spellEnd"/>
      <w:r w:rsidRPr="00527E2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11E98">
        <w:rPr>
          <w:sz w:val="24"/>
          <w:szCs w:val="24"/>
        </w:rPr>
        <w:t xml:space="preserve"> </w:t>
      </w:r>
      <w:r w:rsidRPr="00CB0ED6">
        <w:rPr>
          <w:sz w:val="24"/>
          <w:szCs w:val="24"/>
        </w:rPr>
        <w:t xml:space="preserve">The largest proportion of the </w:t>
      </w:r>
      <w:proofErr w:type="spellStart"/>
      <w:r w:rsidRPr="00CB0ED6">
        <w:rPr>
          <w:sz w:val="24"/>
          <w:szCs w:val="24"/>
        </w:rPr>
        <w:t>contigs</w:t>
      </w:r>
      <w:proofErr w:type="spellEnd"/>
      <w:r w:rsidRPr="00CB0ED6">
        <w:rPr>
          <w:sz w:val="24"/>
          <w:szCs w:val="24"/>
        </w:rPr>
        <w:t xml:space="preserve"> of each assembled </w:t>
      </w:r>
      <w:proofErr w:type="gramStart"/>
      <w:r w:rsidRPr="00CB0ED6">
        <w:rPr>
          <w:sz w:val="24"/>
          <w:szCs w:val="24"/>
        </w:rPr>
        <w:t>genome were</w:t>
      </w:r>
      <w:proofErr w:type="gramEnd"/>
      <w:r w:rsidRPr="00CB0ED6">
        <w:rPr>
          <w:sz w:val="24"/>
          <w:szCs w:val="24"/>
        </w:rPr>
        <w:t xml:space="preserve"> classified as belonging to </w:t>
      </w:r>
      <w:proofErr w:type="spellStart"/>
      <w:r w:rsidRPr="00CB0ED6">
        <w:rPr>
          <w:i/>
          <w:iCs/>
          <w:sz w:val="24"/>
          <w:szCs w:val="24"/>
        </w:rPr>
        <w:t>Porphyromonas</w:t>
      </w:r>
      <w:proofErr w:type="spellEnd"/>
      <w:r w:rsidRPr="00CB0ED6">
        <w:rPr>
          <w:i/>
          <w:iCs/>
          <w:sz w:val="24"/>
          <w:szCs w:val="24"/>
        </w:rPr>
        <w:t xml:space="preserve"> </w:t>
      </w:r>
      <w:proofErr w:type="spellStart"/>
      <w:r w:rsidRPr="00CB0ED6">
        <w:rPr>
          <w:i/>
          <w:iCs/>
          <w:sz w:val="24"/>
          <w:szCs w:val="24"/>
        </w:rPr>
        <w:t>gingivalis</w:t>
      </w:r>
      <w:proofErr w:type="spellEnd"/>
      <w:r w:rsidRPr="00CB0ED6">
        <w:rPr>
          <w:sz w:val="24"/>
          <w:szCs w:val="24"/>
        </w:rPr>
        <w:t xml:space="preserve"> species using the MGTAXA tool.</w:t>
      </w:r>
    </w:p>
    <w:p w:rsidR="00E31BA1" w:rsidRPr="00CB0ED6" w:rsidRDefault="00E31BA1" w:rsidP="00E31BA1">
      <w:pPr>
        <w:pStyle w:val="NoSpacing"/>
        <w:spacing w:line="480" w:lineRule="auto"/>
        <w:jc w:val="both"/>
        <w:rPr>
          <w:b/>
          <w:sz w:val="24"/>
          <w:szCs w:val="24"/>
        </w:rPr>
      </w:pPr>
    </w:p>
    <w:p w:rsidR="00E31BA1" w:rsidRDefault="00E31BA1" w:rsidP="00E31BA1">
      <w:pPr>
        <w:spacing w:line="480" w:lineRule="auto"/>
        <w:jc w:val="both"/>
      </w:pPr>
      <w:r w:rsidRPr="00CB0ED6">
        <w:rPr>
          <w:b/>
        </w:rPr>
        <w:t>Supplemental Figure S6:</w:t>
      </w:r>
      <w:r w:rsidRPr="00CB0ED6">
        <w:t xml:space="preserve"> </w:t>
      </w:r>
      <w:r>
        <w:t xml:space="preserve"> </w:t>
      </w:r>
      <w:r w:rsidRPr="00527E2F">
        <w:rPr>
          <w:b/>
        </w:rPr>
        <w:t xml:space="preserve">Venn diagram depicting </w:t>
      </w:r>
      <w:proofErr w:type="spellStart"/>
      <w:r w:rsidRPr="00527E2F">
        <w:rPr>
          <w:b/>
        </w:rPr>
        <w:t>pangenome</w:t>
      </w:r>
      <w:proofErr w:type="spellEnd"/>
      <w:r w:rsidRPr="00527E2F">
        <w:rPr>
          <w:b/>
        </w:rPr>
        <w:t xml:space="preserve"> of </w:t>
      </w:r>
      <w:r w:rsidRPr="00527E2F">
        <w:rPr>
          <w:b/>
          <w:i/>
        </w:rPr>
        <w:t>P.</w:t>
      </w:r>
      <w:r w:rsidRPr="00527E2F">
        <w:rPr>
          <w:b/>
        </w:rPr>
        <w:t xml:space="preserve"> </w:t>
      </w:r>
      <w:proofErr w:type="spellStart"/>
      <w:r w:rsidRPr="00527E2F">
        <w:rPr>
          <w:b/>
          <w:i/>
        </w:rPr>
        <w:t>gingivalis</w:t>
      </w:r>
      <w:proofErr w:type="spellEnd"/>
      <w:r w:rsidRPr="00527E2F">
        <w:rPr>
          <w:b/>
        </w:rPr>
        <w:t>.</w:t>
      </w:r>
      <w:r w:rsidRPr="00527E2F">
        <w:t xml:space="preserve"> </w:t>
      </w:r>
      <w:r>
        <w:t xml:space="preserve"> </w:t>
      </w:r>
      <w:r w:rsidRPr="00527E2F">
        <w:t xml:space="preserve">Data resulted from reciprocal </w:t>
      </w:r>
      <w:proofErr w:type="spellStart"/>
      <w:r w:rsidRPr="00527E2F">
        <w:t>BLASTp</w:t>
      </w:r>
      <w:proofErr w:type="spellEnd"/>
      <w:r w:rsidRPr="00527E2F">
        <w:t xml:space="preserve"> at 1e-9 cutoff analysis. </w:t>
      </w:r>
      <w:r>
        <w:t xml:space="preserve"> </w:t>
      </w:r>
      <w:r w:rsidRPr="00527E2F">
        <w:t>Total gene co</w:t>
      </w:r>
      <w:r w:rsidRPr="00CB0ED6">
        <w:t>unts are written above genome ID.  Reference genomes are listed by their strain designation.</w:t>
      </w:r>
    </w:p>
    <w:p w:rsidR="00E31BA1" w:rsidRPr="00CB0ED6" w:rsidRDefault="00E31BA1" w:rsidP="00E31BA1">
      <w:pPr>
        <w:spacing w:line="480" w:lineRule="auto"/>
        <w:jc w:val="both"/>
      </w:pPr>
    </w:p>
    <w:p w:rsidR="00E31BA1" w:rsidRDefault="00E31BA1" w:rsidP="00E31BA1">
      <w:pPr>
        <w:spacing w:line="480" w:lineRule="auto"/>
        <w:jc w:val="both"/>
        <w:rPr>
          <w:color w:val="403838"/>
        </w:rPr>
      </w:pPr>
      <w:proofErr w:type="gramStart"/>
      <w:r w:rsidRPr="00CB0ED6">
        <w:rPr>
          <w:b/>
          <w:color w:val="403838"/>
        </w:rPr>
        <w:t>Supplemental Figure S7.</w:t>
      </w:r>
      <w:proofErr w:type="gramEnd"/>
      <w:r>
        <w:rPr>
          <w:b/>
          <w:color w:val="403838"/>
        </w:rPr>
        <w:t xml:space="preserve"> </w:t>
      </w:r>
      <w:r w:rsidRPr="00CB0ED6">
        <w:rPr>
          <w:b/>
          <w:color w:val="403838"/>
        </w:rPr>
        <w:t xml:space="preserve"> </w:t>
      </w:r>
      <w:proofErr w:type="gramStart"/>
      <w:r w:rsidRPr="00527E2F">
        <w:rPr>
          <w:b/>
          <w:color w:val="403838"/>
        </w:rPr>
        <w:t>Comparisons of the allelic profiles for the 138 sequence types (isolates) available in the MLST database with the allelic profile for JCVI SC001.</w:t>
      </w:r>
      <w:proofErr w:type="gramEnd"/>
      <w:r w:rsidRPr="00527E2F">
        <w:rPr>
          <w:color w:val="403838"/>
        </w:rPr>
        <w:t xml:space="preserve">  A) Trees were generated using PHYLIP suite of pr</w:t>
      </w:r>
      <w:r w:rsidRPr="00CB0ED6">
        <w:rPr>
          <w:color w:val="403838"/>
        </w:rPr>
        <w:t>ograms (web-based tools available for the MLST database) to create trees from allelic profile data.</w:t>
      </w:r>
      <w:r>
        <w:rPr>
          <w:color w:val="403838"/>
        </w:rPr>
        <w:t xml:space="preserve"> </w:t>
      </w:r>
      <w:r w:rsidRPr="00CB0ED6">
        <w:rPr>
          <w:color w:val="403838"/>
        </w:rPr>
        <w:t xml:space="preserve"> </w:t>
      </w:r>
      <w:r>
        <w:rPr>
          <w:color w:val="403838"/>
        </w:rPr>
        <w:t>A graphical representation of the tree was generated with</w:t>
      </w:r>
      <w:r w:rsidRPr="00CB0ED6">
        <w:rPr>
          <w:color w:val="403838"/>
        </w:rPr>
        <w:t xml:space="preserve"> </w:t>
      </w:r>
      <w:proofErr w:type="spellStart"/>
      <w:r w:rsidRPr="00CB0ED6">
        <w:rPr>
          <w:color w:val="403838"/>
        </w:rPr>
        <w:t>Phylodendron</w:t>
      </w:r>
      <w:proofErr w:type="spellEnd"/>
      <w:r w:rsidRPr="00CB0ED6">
        <w:rPr>
          <w:color w:val="403838"/>
        </w:rPr>
        <w:t xml:space="preserve">. Scale bar is 0.1. </w:t>
      </w:r>
      <w:r>
        <w:rPr>
          <w:color w:val="403838"/>
        </w:rPr>
        <w:t xml:space="preserve"> </w:t>
      </w:r>
      <w:r w:rsidRPr="00CB0ED6">
        <w:rPr>
          <w:color w:val="403838"/>
        </w:rPr>
        <w:t xml:space="preserve">B) Minimum-spanning tree. </w:t>
      </w:r>
      <w:r>
        <w:rPr>
          <w:color w:val="403838"/>
        </w:rPr>
        <w:t xml:space="preserve"> </w:t>
      </w:r>
      <w:r w:rsidRPr="00CB0ED6">
        <w:rPr>
          <w:color w:val="403838"/>
        </w:rPr>
        <w:t xml:space="preserve">A minimum-spanning tree was generated from MLST profile data. (www.pubmlst.org). </w:t>
      </w:r>
      <w:r>
        <w:rPr>
          <w:color w:val="403838"/>
        </w:rPr>
        <w:t xml:space="preserve"> </w:t>
      </w:r>
      <w:r w:rsidRPr="00CB0ED6">
        <w:rPr>
          <w:color w:val="403838"/>
        </w:rPr>
        <w:t xml:space="preserve">BURST clustering is used to give meaningful results. </w:t>
      </w:r>
      <w:r>
        <w:rPr>
          <w:color w:val="403838"/>
        </w:rPr>
        <w:t xml:space="preserve"> </w:t>
      </w:r>
      <w:r w:rsidRPr="00CB0ED6">
        <w:rPr>
          <w:color w:val="403838"/>
        </w:rPr>
        <w:t xml:space="preserve">The two STs with the greatest number of single locus and then double locus variants are linked first, preferably using intermediate STs. </w:t>
      </w:r>
      <w:r>
        <w:rPr>
          <w:color w:val="403838"/>
        </w:rPr>
        <w:t xml:space="preserve"> </w:t>
      </w:r>
      <w:r w:rsidRPr="00CB0ED6">
        <w:rPr>
          <w:color w:val="403838"/>
        </w:rPr>
        <w:t xml:space="preserve">ST-68 is the nearest sequence type and this sequence type is shared with </w:t>
      </w:r>
      <w:r w:rsidRPr="00B11E98">
        <w:rPr>
          <w:i/>
          <w:color w:val="403838"/>
        </w:rPr>
        <w:t xml:space="preserve">P. </w:t>
      </w:r>
      <w:proofErr w:type="spellStart"/>
      <w:r w:rsidRPr="00B11E98">
        <w:rPr>
          <w:i/>
          <w:color w:val="403838"/>
        </w:rPr>
        <w:t>gingivalis</w:t>
      </w:r>
      <w:proofErr w:type="spellEnd"/>
      <w:r w:rsidRPr="00CB0ED6">
        <w:rPr>
          <w:color w:val="403838"/>
        </w:rPr>
        <w:t xml:space="preserve"> strain TDC60.</w:t>
      </w:r>
    </w:p>
    <w:p w:rsidR="00E31BA1" w:rsidRPr="00CB0ED6" w:rsidRDefault="00E31BA1" w:rsidP="00E31BA1">
      <w:pPr>
        <w:spacing w:line="480" w:lineRule="auto"/>
        <w:jc w:val="both"/>
        <w:rPr>
          <w:color w:val="403838"/>
        </w:rPr>
      </w:pPr>
    </w:p>
    <w:p w:rsidR="00E31BA1" w:rsidRDefault="00E31BA1" w:rsidP="00E31BA1">
      <w:pPr>
        <w:spacing w:line="480" w:lineRule="auto"/>
        <w:jc w:val="both"/>
      </w:pPr>
      <w:proofErr w:type="gramStart"/>
      <w:r w:rsidRPr="00CB0ED6">
        <w:rPr>
          <w:b/>
        </w:rPr>
        <w:t>Supplemental Table S1.</w:t>
      </w:r>
      <w:proofErr w:type="gramEnd"/>
      <w:r w:rsidRPr="00CB0ED6">
        <w:t xml:space="preserve"> </w:t>
      </w:r>
      <w:r>
        <w:t xml:space="preserve"> </w:t>
      </w:r>
      <w:r w:rsidRPr="00527E2F">
        <w:rPr>
          <w:b/>
        </w:rPr>
        <w:t xml:space="preserve">Taxonomic diversity of bacterial open reading frames identified from assembled </w:t>
      </w:r>
      <w:proofErr w:type="spellStart"/>
      <w:r w:rsidRPr="00527E2F">
        <w:rPr>
          <w:b/>
        </w:rPr>
        <w:t>contigs</w:t>
      </w:r>
      <w:proofErr w:type="spellEnd"/>
      <w:r w:rsidRPr="00527E2F">
        <w:rPr>
          <w:b/>
        </w:rPr>
        <w:t xml:space="preserve"> derived from shallow 454 </w:t>
      </w:r>
      <w:proofErr w:type="spellStart"/>
      <w:r w:rsidRPr="00527E2F">
        <w:rPr>
          <w:b/>
        </w:rPr>
        <w:t>pyrosequencing</w:t>
      </w:r>
      <w:proofErr w:type="spellEnd"/>
      <w:r w:rsidRPr="00527E2F">
        <w:rPr>
          <w:b/>
        </w:rPr>
        <w:t xml:space="preserve"> belonging to the additional wells of interest.</w:t>
      </w:r>
      <w:r w:rsidRPr="00CB0ED6">
        <w:t xml:space="preserve"> </w:t>
      </w:r>
      <w:r>
        <w:t xml:space="preserve"> </w:t>
      </w:r>
      <w:r w:rsidRPr="00CB0ED6">
        <w:t xml:space="preserve">The number of 454 reads ranged between 9,000 </w:t>
      </w:r>
      <w:r w:rsidRPr="00527E2F">
        <w:t>-</w:t>
      </w:r>
      <w:r w:rsidRPr="00CB0ED6">
        <w:t xml:space="preserve">10,000 for each sample.  ORFs were identified and annotated by </w:t>
      </w:r>
      <w:proofErr w:type="spellStart"/>
      <w:r w:rsidRPr="00CB0ED6">
        <w:t>FragGeneScan</w:t>
      </w:r>
      <w:proofErr w:type="spellEnd"/>
      <w:r w:rsidRPr="00CB0ED6">
        <w:t xml:space="preserve"> (Rho et al. 2010) and METAREP (</w:t>
      </w:r>
      <w:proofErr w:type="spellStart"/>
      <w:r w:rsidRPr="00CB0ED6">
        <w:t>Goll</w:t>
      </w:r>
      <w:proofErr w:type="spellEnd"/>
      <w:r w:rsidRPr="00CB0ED6">
        <w:t xml:space="preserve"> et al. 2010), respectively.</w:t>
      </w:r>
    </w:p>
    <w:p w:rsidR="00E31BA1" w:rsidRPr="00CB0ED6" w:rsidRDefault="00E31BA1" w:rsidP="00E31BA1">
      <w:pPr>
        <w:spacing w:line="480" w:lineRule="auto"/>
        <w:jc w:val="both"/>
      </w:pPr>
    </w:p>
    <w:p w:rsidR="00E31BA1" w:rsidRDefault="00E31BA1" w:rsidP="00E31BA1">
      <w:pPr>
        <w:spacing w:line="480" w:lineRule="auto"/>
      </w:pPr>
      <w:proofErr w:type="gramStart"/>
      <w:r w:rsidRPr="00B11E98">
        <w:rPr>
          <w:b/>
        </w:rPr>
        <w:t>Supplemental Table S2.</w:t>
      </w:r>
      <w:proofErr w:type="gramEnd"/>
      <w:r>
        <w:rPr>
          <w:rFonts w:ascii="Calibri" w:hAnsi="Calibri"/>
        </w:rPr>
        <w:t xml:space="preserve">  </w:t>
      </w:r>
      <w:r w:rsidRPr="00004F37">
        <w:rPr>
          <w:b/>
        </w:rPr>
        <w:t xml:space="preserve">Read coverage and single nucleotide polymorphisms determined by mapping reads from individual MDA sets to the </w:t>
      </w:r>
      <w:r w:rsidRPr="00004F37">
        <w:rPr>
          <w:b/>
          <w:i/>
        </w:rPr>
        <w:t>de novo</w:t>
      </w:r>
      <w:r w:rsidRPr="00004F37">
        <w:rPr>
          <w:b/>
        </w:rPr>
        <w:t xml:space="preserve"> assembled </w:t>
      </w:r>
      <w:proofErr w:type="spellStart"/>
      <w:r w:rsidRPr="00004F37">
        <w:rPr>
          <w:b/>
        </w:rPr>
        <w:t>contigs</w:t>
      </w:r>
      <w:proofErr w:type="spellEnd"/>
      <w:r w:rsidRPr="00004F37">
        <w:rPr>
          <w:b/>
        </w:rPr>
        <w:t xml:space="preserve"> generated from MDA3.</w:t>
      </w:r>
      <w:r>
        <w:t xml:space="preserve"> There were 3 SNPs shared in all MDAs limited to the 41% of the MDA3 </w:t>
      </w:r>
      <w:proofErr w:type="spellStart"/>
      <w:r>
        <w:t>contigs</w:t>
      </w:r>
      <w:proofErr w:type="spellEnd"/>
      <w:r>
        <w:t xml:space="preserve"> covered by MDA1 reads.</w:t>
      </w:r>
    </w:p>
    <w:p w:rsidR="00E31BA1" w:rsidRDefault="00E31BA1" w:rsidP="00E31BA1">
      <w:pPr>
        <w:spacing w:line="480" w:lineRule="auto"/>
      </w:pPr>
    </w:p>
    <w:p w:rsidR="00E31BA1" w:rsidRDefault="00E31BA1" w:rsidP="00E31BA1">
      <w:pPr>
        <w:spacing w:line="480" w:lineRule="auto"/>
        <w:jc w:val="both"/>
      </w:pPr>
      <w:proofErr w:type="gramStart"/>
      <w:r w:rsidRPr="00CB0ED6">
        <w:rPr>
          <w:b/>
        </w:rPr>
        <w:t>Supplemental Table S3</w:t>
      </w:r>
      <w:r w:rsidRPr="00B11E98">
        <w:rPr>
          <w:b/>
        </w:rPr>
        <w:t>.</w:t>
      </w:r>
      <w:proofErr w:type="gramEnd"/>
      <w:r w:rsidRPr="00B11E98">
        <w:rPr>
          <w:b/>
        </w:rPr>
        <w:t xml:space="preserve">  </w:t>
      </w:r>
      <w:proofErr w:type="gramStart"/>
      <w:r w:rsidRPr="00004F37">
        <w:rPr>
          <w:b/>
        </w:rPr>
        <w:t xml:space="preserve">Table of gene </w:t>
      </w:r>
      <w:proofErr w:type="spellStart"/>
      <w:r w:rsidRPr="00004F37">
        <w:rPr>
          <w:b/>
        </w:rPr>
        <w:t>orthologs</w:t>
      </w:r>
      <w:proofErr w:type="spellEnd"/>
      <w:r w:rsidRPr="00004F37">
        <w:rPr>
          <w:b/>
        </w:rPr>
        <w:t xml:space="preserve"> in JCVI SC001 across the available </w:t>
      </w:r>
      <w:r w:rsidRPr="00B11E98">
        <w:rPr>
          <w:b/>
          <w:i/>
        </w:rPr>
        <w:t xml:space="preserve">P. </w:t>
      </w:r>
      <w:proofErr w:type="spellStart"/>
      <w:r w:rsidRPr="00B11E98">
        <w:rPr>
          <w:b/>
          <w:i/>
        </w:rPr>
        <w:t>gingivalis</w:t>
      </w:r>
      <w:proofErr w:type="spellEnd"/>
      <w:r w:rsidRPr="00004F37">
        <w:rPr>
          <w:b/>
        </w:rPr>
        <w:t xml:space="preserve"> genomes.</w:t>
      </w:r>
      <w:proofErr w:type="gramEnd"/>
    </w:p>
    <w:p w:rsidR="00E31BA1" w:rsidRPr="00CB0ED6" w:rsidRDefault="00E31BA1" w:rsidP="00E31BA1">
      <w:pPr>
        <w:spacing w:line="480" w:lineRule="auto"/>
        <w:jc w:val="both"/>
      </w:pPr>
    </w:p>
    <w:p w:rsidR="00E31BA1" w:rsidRPr="00D80393" w:rsidRDefault="00E31BA1" w:rsidP="00E31BA1">
      <w:pPr>
        <w:spacing w:line="480" w:lineRule="auto"/>
        <w:jc w:val="both"/>
      </w:pPr>
      <w:proofErr w:type="gramStart"/>
      <w:r w:rsidRPr="00CB0ED6">
        <w:rPr>
          <w:b/>
        </w:rPr>
        <w:t>Supplemental Table S4</w:t>
      </w:r>
      <w:r w:rsidRPr="00CB0ED6">
        <w:t>.</w:t>
      </w:r>
      <w:proofErr w:type="gramEnd"/>
      <w:r w:rsidRPr="00CB0ED6">
        <w:t xml:space="preserve"> </w:t>
      </w:r>
      <w:r w:rsidRPr="00527E2F">
        <w:t xml:space="preserve"> </w:t>
      </w:r>
      <w:r w:rsidRPr="00004F37">
        <w:rPr>
          <w:rFonts w:eastAsia="Times New Roman"/>
          <w:b/>
        </w:rPr>
        <w:t>JCVI SCOO1 specific genes (524) identified via reciprocal best blast analysis.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A1"/>
    <w:rsid w:val="0027073C"/>
    <w:rsid w:val="0038692F"/>
    <w:rsid w:val="008420E3"/>
    <w:rsid w:val="00B55501"/>
    <w:rsid w:val="00C14746"/>
    <w:rsid w:val="00C46265"/>
    <w:rsid w:val="00E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1BA1"/>
    <w:rPr>
      <w:rFonts w:eastAsia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1BA1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1BA1"/>
    <w:rPr>
      <w:rFonts w:eastAsia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1BA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3738</Characters>
  <Application>Microsoft Macintosh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2013-03-04T20:54:00Z</dcterms:created>
  <dcterms:modified xsi:type="dcterms:W3CDTF">2013-03-04T20:55:00Z</dcterms:modified>
</cp:coreProperties>
</file>