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42E" w:rsidRDefault="0058342E" w:rsidP="0058342E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Supplementary Figure Legends</w:t>
      </w:r>
    </w:p>
    <w:p w:rsidR="0058342E" w:rsidRPr="00996F0E" w:rsidRDefault="0058342E" w:rsidP="0058342E">
      <w:pPr>
        <w:spacing w:line="360" w:lineRule="auto"/>
        <w:jc w:val="both"/>
        <w:rPr>
          <w:rFonts w:ascii="Arial" w:hAnsi="Arial"/>
          <w:b/>
        </w:rPr>
      </w:pPr>
      <w:r w:rsidRPr="00B3232D">
        <w:rPr>
          <w:rFonts w:ascii="Arial" w:hAnsi="Arial"/>
          <w:b/>
        </w:rPr>
        <w:t xml:space="preserve">Fig. S1. </w:t>
      </w:r>
      <w:proofErr w:type="gramStart"/>
      <w:r w:rsidRPr="00B3232D">
        <w:rPr>
          <w:rFonts w:ascii="Arial" w:hAnsi="Arial"/>
          <w:b/>
        </w:rPr>
        <w:t xml:space="preserve">Phylogeny of </w:t>
      </w:r>
      <w:proofErr w:type="spellStart"/>
      <w:r w:rsidRPr="00B3232D">
        <w:rPr>
          <w:rFonts w:ascii="Arial" w:hAnsi="Arial"/>
          <w:b/>
        </w:rPr>
        <w:t>Argonaute</w:t>
      </w:r>
      <w:proofErr w:type="spellEnd"/>
      <w:r w:rsidRPr="00B3232D">
        <w:rPr>
          <w:rFonts w:ascii="Arial" w:hAnsi="Arial"/>
          <w:b/>
        </w:rPr>
        <w:t xml:space="preserve"> genes.</w:t>
      </w:r>
      <w:proofErr w:type="gramEnd"/>
      <w:r w:rsidRPr="00B3232D">
        <w:rPr>
          <w:rFonts w:ascii="Arial" w:hAnsi="Arial"/>
          <w:b/>
        </w:rPr>
        <w:t xml:space="preserve"> </w:t>
      </w:r>
    </w:p>
    <w:p w:rsidR="0058342E" w:rsidRDefault="0058342E" w:rsidP="0058342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Genes from different species are color-coded according to the key. </w:t>
      </w:r>
      <w:proofErr w:type="gramStart"/>
      <w:r>
        <w:rPr>
          <w:rFonts w:ascii="Arial" w:hAnsi="Arial"/>
        </w:rPr>
        <w:t>Different subfamilies are indicated by colored branches</w:t>
      </w:r>
      <w:proofErr w:type="gramEnd"/>
      <w:r>
        <w:rPr>
          <w:rFonts w:ascii="Arial" w:hAnsi="Arial"/>
        </w:rPr>
        <w:t xml:space="preserve">. </w:t>
      </w:r>
      <w:proofErr w:type="gramStart"/>
      <w:r w:rsidRPr="00A569FC">
        <w:rPr>
          <w:rFonts w:ascii="Arial" w:hAnsi="Arial"/>
          <w:i/>
        </w:rPr>
        <w:t>H</w:t>
      </w:r>
      <w:r>
        <w:rPr>
          <w:rFonts w:ascii="Arial" w:hAnsi="Arial"/>
        </w:rPr>
        <w:t xml:space="preserve">, </w:t>
      </w:r>
      <w:r w:rsidRPr="008D7B7F">
        <w:rPr>
          <w:rFonts w:ascii="Arial" w:hAnsi="Arial"/>
          <w:i/>
        </w:rPr>
        <w:t>H.</w:t>
      </w:r>
      <w:r>
        <w:rPr>
          <w:rFonts w:ascii="Arial" w:hAnsi="Arial"/>
          <w:i/>
        </w:rPr>
        <w:t xml:space="preserve"> </w:t>
      </w:r>
      <w:r w:rsidRPr="008D7B7F">
        <w:rPr>
          <w:rFonts w:ascii="Arial" w:hAnsi="Arial"/>
          <w:i/>
        </w:rPr>
        <w:t>sapiens</w:t>
      </w:r>
      <w:r>
        <w:rPr>
          <w:rFonts w:ascii="Arial" w:hAnsi="Arial"/>
        </w:rPr>
        <w:t>;</w:t>
      </w:r>
      <w:r w:rsidRPr="008D7B7F">
        <w:rPr>
          <w:rFonts w:ascii="Arial" w:hAnsi="Arial"/>
        </w:rPr>
        <w:t xml:space="preserve"> </w:t>
      </w:r>
      <w:r w:rsidRPr="00A569FC">
        <w:rPr>
          <w:rFonts w:ascii="Arial" w:hAnsi="Arial"/>
          <w:i/>
        </w:rPr>
        <w:t>D</w:t>
      </w:r>
      <w:r>
        <w:rPr>
          <w:rFonts w:ascii="Arial" w:hAnsi="Arial"/>
        </w:rPr>
        <w:t xml:space="preserve">, </w:t>
      </w:r>
      <w:r w:rsidRPr="008D7B7F">
        <w:rPr>
          <w:rFonts w:ascii="Arial" w:hAnsi="Arial"/>
          <w:i/>
        </w:rPr>
        <w:t>D. melanogaster</w:t>
      </w:r>
      <w:r>
        <w:rPr>
          <w:rFonts w:ascii="Arial" w:hAnsi="Arial"/>
        </w:rPr>
        <w:t>;</w:t>
      </w:r>
      <w:r w:rsidRPr="008D7B7F">
        <w:rPr>
          <w:rFonts w:ascii="Arial" w:hAnsi="Arial"/>
        </w:rPr>
        <w:t xml:space="preserve"> </w:t>
      </w:r>
      <w:proofErr w:type="spellStart"/>
      <w:r w:rsidRPr="00A569FC">
        <w:rPr>
          <w:rFonts w:ascii="Arial" w:hAnsi="Arial"/>
          <w:i/>
        </w:rPr>
        <w:t>Ce</w:t>
      </w:r>
      <w:r>
        <w:rPr>
          <w:rFonts w:ascii="Arial" w:hAnsi="Arial"/>
          <w:i/>
        </w:rPr>
        <w:t>l</w:t>
      </w:r>
      <w:proofErr w:type="spellEnd"/>
      <w:r>
        <w:rPr>
          <w:rFonts w:ascii="Arial" w:hAnsi="Arial"/>
        </w:rPr>
        <w:t xml:space="preserve">, </w:t>
      </w:r>
      <w:r w:rsidRPr="008D7B7F">
        <w:rPr>
          <w:rFonts w:ascii="Arial" w:hAnsi="Arial"/>
          <w:i/>
        </w:rPr>
        <w:t xml:space="preserve">C. </w:t>
      </w:r>
      <w:proofErr w:type="spellStart"/>
      <w:r w:rsidRPr="008D7B7F">
        <w:rPr>
          <w:rFonts w:ascii="Arial" w:hAnsi="Arial"/>
          <w:i/>
        </w:rPr>
        <w:t>elegans</w:t>
      </w:r>
      <w:proofErr w:type="spellEnd"/>
      <w:r>
        <w:rPr>
          <w:rFonts w:ascii="Arial" w:hAnsi="Arial"/>
        </w:rPr>
        <w:t>;</w:t>
      </w:r>
      <w:r w:rsidRPr="008D7B7F">
        <w:rPr>
          <w:rFonts w:ascii="Arial" w:hAnsi="Arial"/>
        </w:rPr>
        <w:t xml:space="preserve"> </w:t>
      </w:r>
      <w:proofErr w:type="spellStart"/>
      <w:r>
        <w:rPr>
          <w:rFonts w:ascii="Arial" w:hAnsi="Arial"/>
          <w:i/>
        </w:rPr>
        <w:t>Cbr</w:t>
      </w:r>
      <w:proofErr w:type="spellEnd"/>
      <w:r>
        <w:rPr>
          <w:rFonts w:ascii="Arial" w:hAnsi="Arial"/>
          <w:i/>
        </w:rPr>
        <w:t>,</w:t>
      </w:r>
      <w:r w:rsidRPr="008D7B7F">
        <w:rPr>
          <w:rFonts w:ascii="Arial" w:hAnsi="Arial"/>
          <w:i/>
        </w:rPr>
        <w:t xml:space="preserve"> C. </w:t>
      </w:r>
      <w:proofErr w:type="spellStart"/>
      <w:r w:rsidRPr="008D7B7F">
        <w:rPr>
          <w:rFonts w:ascii="Arial" w:hAnsi="Arial"/>
          <w:i/>
        </w:rPr>
        <w:t>briggsae</w:t>
      </w:r>
      <w:proofErr w:type="spellEnd"/>
      <w:r>
        <w:rPr>
          <w:rFonts w:ascii="Arial" w:hAnsi="Arial"/>
        </w:rPr>
        <w:t xml:space="preserve">; </w:t>
      </w:r>
      <w:proofErr w:type="spellStart"/>
      <w:r>
        <w:rPr>
          <w:rFonts w:ascii="Arial" w:hAnsi="Arial"/>
          <w:i/>
        </w:rPr>
        <w:t>Cre</w:t>
      </w:r>
      <w:proofErr w:type="spellEnd"/>
      <w:r>
        <w:rPr>
          <w:rFonts w:ascii="Arial" w:hAnsi="Arial"/>
          <w:i/>
        </w:rPr>
        <w:t>,</w:t>
      </w:r>
      <w:r w:rsidRPr="008D7B7F">
        <w:rPr>
          <w:rFonts w:ascii="Arial" w:hAnsi="Arial"/>
        </w:rPr>
        <w:t xml:space="preserve"> </w:t>
      </w:r>
      <w:r w:rsidRPr="008D7B7F">
        <w:rPr>
          <w:rFonts w:ascii="Arial" w:hAnsi="Arial"/>
          <w:i/>
        </w:rPr>
        <w:t xml:space="preserve">C. </w:t>
      </w:r>
      <w:proofErr w:type="spellStart"/>
      <w:r w:rsidRPr="008D7B7F">
        <w:rPr>
          <w:rFonts w:ascii="Arial" w:hAnsi="Arial"/>
          <w:i/>
        </w:rPr>
        <w:t>remanei</w:t>
      </w:r>
      <w:proofErr w:type="spellEnd"/>
      <w:r>
        <w:rPr>
          <w:rFonts w:ascii="Arial" w:hAnsi="Arial"/>
        </w:rPr>
        <w:t xml:space="preserve">; </w:t>
      </w:r>
      <w:r w:rsidRPr="008D7B7F">
        <w:rPr>
          <w:rFonts w:ascii="Arial" w:hAnsi="Arial"/>
        </w:rPr>
        <w:t xml:space="preserve">and </w:t>
      </w:r>
      <w:proofErr w:type="spellStart"/>
      <w:r>
        <w:rPr>
          <w:rFonts w:ascii="Arial" w:hAnsi="Arial"/>
          <w:i/>
        </w:rPr>
        <w:t>Cbn</w:t>
      </w:r>
      <w:proofErr w:type="spellEnd"/>
      <w:r>
        <w:rPr>
          <w:rFonts w:ascii="Arial" w:hAnsi="Arial"/>
          <w:i/>
        </w:rPr>
        <w:t>,</w:t>
      </w:r>
      <w:r w:rsidRPr="008D7B7F">
        <w:rPr>
          <w:rFonts w:ascii="Arial" w:hAnsi="Arial"/>
          <w:i/>
        </w:rPr>
        <w:t xml:space="preserve"> C. </w:t>
      </w:r>
      <w:proofErr w:type="spellStart"/>
      <w:r w:rsidRPr="008D7B7F">
        <w:rPr>
          <w:rFonts w:ascii="Arial" w:hAnsi="Arial"/>
          <w:i/>
        </w:rPr>
        <w:t>brenneri</w:t>
      </w:r>
      <w:proofErr w:type="spellEnd"/>
      <w:r>
        <w:rPr>
          <w:rFonts w:ascii="Arial" w:hAnsi="Arial"/>
        </w:rPr>
        <w:t>.</w:t>
      </w:r>
      <w:proofErr w:type="gramEnd"/>
      <w:r>
        <w:rPr>
          <w:rFonts w:ascii="Arial" w:hAnsi="Arial"/>
        </w:rPr>
        <w:t xml:space="preserve"> The three major clades, PIWI, AGO and WAGO, are indicated.</w:t>
      </w:r>
    </w:p>
    <w:p w:rsidR="0058342E" w:rsidRPr="004479D5" w:rsidRDefault="0058342E" w:rsidP="0058342E">
      <w:pPr>
        <w:spacing w:line="360" w:lineRule="auto"/>
        <w:jc w:val="both"/>
        <w:rPr>
          <w:rFonts w:ascii="Arial" w:hAnsi="Arial"/>
        </w:rPr>
      </w:pPr>
    </w:p>
    <w:p w:rsidR="0058342E" w:rsidRDefault="0058342E" w:rsidP="0058342E">
      <w:pPr>
        <w:spacing w:line="360" w:lineRule="auto"/>
        <w:jc w:val="both"/>
        <w:rPr>
          <w:rFonts w:ascii="Arial" w:hAnsi="Arial"/>
          <w:b/>
        </w:rPr>
      </w:pPr>
      <w:r w:rsidRPr="00AC08F2">
        <w:rPr>
          <w:rFonts w:ascii="Arial" w:hAnsi="Arial"/>
          <w:b/>
        </w:rPr>
        <w:t>Fig.</w:t>
      </w:r>
      <w:r>
        <w:rPr>
          <w:rFonts w:ascii="Arial" w:hAnsi="Arial"/>
          <w:b/>
        </w:rPr>
        <w:t xml:space="preserve"> S2</w:t>
      </w:r>
      <w:r w:rsidRPr="00AC08F2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 xml:space="preserve">The </w:t>
      </w:r>
      <w:r w:rsidRPr="002D613E">
        <w:rPr>
          <w:rFonts w:ascii="Arial" w:hAnsi="Arial"/>
          <w:b/>
        </w:rPr>
        <w:t>miR-62</w:t>
      </w:r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mirtron</w:t>
      </w:r>
      <w:proofErr w:type="spellEnd"/>
      <w:r>
        <w:rPr>
          <w:rFonts w:ascii="Arial" w:hAnsi="Arial"/>
          <w:b/>
        </w:rPr>
        <w:t xml:space="preserve"> is highly conserved. </w:t>
      </w:r>
    </w:p>
    <w:p w:rsidR="0058342E" w:rsidRPr="00BC717D" w:rsidRDefault="0058342E" w:rsidP="0058342E">
      <w:pPr>
        <w:spacing w:line="360" w:lineRule="auto"/>
        <w:jc w:val="both"/>
        <w:rPr>
          <w:rFonts w:ascii="Arial" w:hAnsi="Arial"/>
        </w:rPr>
      </w:pPr>
      <w:r w:rsidRPr="00BC717D">
        <w:rPr>
          <w:rFonts w:ascii="Arial" w:hAnsi="Arial"/>
        </w:rPr>
        <w:t xml:space="preserve">(A) </w:t>
      </w:r>
      <w:r>
        <w:rPr>
          <w:rFonts w:ascii="Arial" w:hAnsi="Arial"/>
        </w:rPr>
        <w:t xml:space="preserve">The </w:t>
      </w:r>
      <w:r w:rsidRPr="002D613E">
        <w:rPr>
          <w:rFonts w:ascii="Arial" w:hAnsi="Arial"/>
        </w:rPr>
        <w:t>miR-62</w:t>
      </w:r>
      <w:r>
        <w:rPr>
          <w:rFonts w:ascii="Arial" w:hAnsi="Arial"/>
        </w:rPr>
        <w:t xml:space="preserve"> mature sequences (in purple) are identical in all four nematode species. Nucleotides at other positions of </w:t>
      </w:r>
      <w:r w:rsidRPr="002D613E">
        <w:rPr>
          <w:rFonts w:ascii="Arial" w:hAnsi="Arial"/>
        </w:rPr>
        <w:t>miR-62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mirtron</w:t>
      </w:r>
      <w:proofErr w:type="spellEnd"/>
      <w:r>
        <w:rPr>
          <w:rFonts w:ascii="Arial" w:hAnsi="Arial"/>
        </w:rPr>
        <w:t xml:space="preserve"> that are different between species are shown in grey. (B) T</w:t>
      </w:r>
      <w:r w:rsidRPr="00BC717D">
        <w:rPr>
          <w:rFonts w:ascii="Arial" w:hAnsi="Arial"/>
        </w:rPr>
        <w:t xml:space="preserve">he level of conservation of </w:t>
      </w:r>
      <w:r w:rsidRPr="002D613E">
        <w:rPr>
          <w:rFonts w:ascii="Arial" w:hAnsi="Arial"/>
        </w:rPr>
        <w:t>miR-62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mir</w:t>
      </w:r>
      <w:r w:rsidRPr="00BC717D">
        <w:rPr>
          <w:rFonts w:ascii="Arial" w:hAnsi="Arial"/>
        </w:rPr>
        <w:t>tron</w:t>
      </w:r>
      <w:proofErr w:type="spellEnd"/>
      <w:r w:rsidRPr="00BC717D">
        <w:rPr>
          <w:rFonts w:ascii="Arial" w:hAnsi="Arial"/>
        </w:rPr>
        <w:t xml:space="preserve"> is s</w:t>
      </w:r>
      <w:r>
        <w:rPr>
          <w:rFonts w:ascii="Arial" w:hAnsi="Arial"/>
        </w:rPr>
        <w:t xml:space="preserve">ubstantially higher than other introns in </w:t>
      </w:r>
      <w:r w:rsidRPr="00BC717D">
        <w:rPr>
          <w:rFonts w:ascii="Arial" w:hAnsi="Arial"/>
          <w:i/>
        </w:rPr>
        <w:t>ugt-50</w:t>
      </w:r>
      <w:r>
        <w:rPr>
          <w:rFonts w:ascii="Arial" w:hAnsi="Arial"/>
        </w:rPr>
        <w:t>.</w:t>
      </w:r>
      <w:r w:rsidRPr="00BC717D">
        <w:rPr>
          <w:rFonts w:ascii="Arial" w:hAnsi="Arial"/>
        </w:rPr>
        <w:t xml:space="preserve"> </w:t>
      </w:r>
    </w:p>
    <w:p w:rsidR="0058342E" w:rsidRDefault="0058342E" w:rsidP="0058342E">
      <w:pPr>
        <w:spacing w:line="360" w:lineRule="auto"/>
        <w:jc w:val="both"/>
        <w:rPr>
          <w:rFonts w:ascii="Arial" w:hAnsi="Arial"/>
          <w:b/>
        </w:rPr>
      </w:pPr>
    </w:p>
    <w:p w:rsidR="0058342E" w:rsidRDefault="0058342E" w:rsidP="0058342E">
      <w:pPr>
        <w:spacing w:line="360" w:lineRule="auto"/>
        <w:jc w:val="both"/>
        <w:rPr>
          <w:rFonts w:ascii="Arial" w:hAnsi="Arial"/>
        </w:rPr>
      </w:pPr>
      <w:r w:rsidRPr="00BD3608">
        <w:rPr>
          <w:rFonts w:ascii="Arial" w:hAnsi="Arial"/>
          <w:b/>
        </w:rPr>
        <w:t>Fig. S</w:t>
      </w:r>
      <w:r>
        <w:rPr>
          <w:rFonts w:ascii="Arial" w:hAnsi="Arial"/>
          <w:b/>
        </w:rPr>
        <w:t>3</w:t>
      </w:r>
      <w:r w:rsidRPr="00BD3608">
        <w:rPr>
          <w:rFonts w:ascii="Arial" w:hAnsi="Arial"/>
          <w:b/>
        </w:rPr>
        <w:t>. The upstream large and small motifs and distance between them are highly conserved in all four nematode species.</w:t>
      </w:r>
      <w:r>
        <w:rPr>
          <w:rFonts w:ascii="Arial" w:hAnsi="Arial"/>
        </w:rPr>
        <w:t xml:space="preserve"> </w:t>
      </w:r>
    </w:p>
    <w:p w:rsidR="0058342E" w:rsidRDefault="0058342E" w:rsidP="0058342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(A) The large and small motifs upstream of </w:t>
      </w:r>
      <w:proofErr w:type="spellStart"/>
      <w:r>
        <w:rPr>
          <w:rFonts w:ascii="Arial" w:hAnsi="Arial"/>
        </w:rPr>
        <w:t>piRNA</w:t>
      </w:r>
      <w:proofErr w:type="spellEnd"/>
      <w:r>
        <w:rPr>
          <w:rFonts w:ascii="Arial" w:hAnsi="Arial"/>
        </w:rPr>
        <w:t xml:space="preserve"> loci, plotted as a sequence logo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ADDIN EN.CITE &lt;EndNote&gt;&lt;Cite&gt;&lt;Author&gt;Crooks&lt;/Author&gt;&lt;Year&gt;2004&lt;/Year&gt;&lt;RecNum&gt;1557&lt;/RecNum&gt;&lt;record&gt;&lt;rec-number&gt;1557&lt;/rec-number&gt;&lt;foreign-keys&gt;&lt;key app="EN" db-id="vwpxee9ad0ws5hepvvm5ztxmfsxdadvx5tpv"&gt;1557&lt;/key&gt;&lt;/foreign-keys&gt;&lt;ref-type name="Journal Article"&gt;17&lt;/ref-type&gt;&lt;contributors&gt;&lt;authors&gt;&lt;author&gt;Crooks, G. E.&lt;/author&gt;&lt;author&gt;Hon, G.&lt;/author&gt;&lt;author&gt;Chandonia, J. M.&lt;/author&gt;&lt;author&gt;Brenner, S. E.&lt;/author&gt;&lt;/authors&gt;&lt;/contributors&gt;&lt;auth-address&gt;Department of Plant and Microbial Biology, University of California, Berkeley, California 94720, USA.&lt;/auth-address&gt;&lt;titles&gt;&lt;title&gt;WebLogo: a sequence logo generator&lt;/title&gt;&lt;secondary-title&gt;Genome Res&lt;/secondary-title&gt;&lt;/titles&gt;&lt;periodical&gt;&lt;full-title&gt;Genome Res&lt;/full-title&gt;&lt;/periodical&gt;&lt;pages&gt;1188-90&lt;/pages&gt;&lt;volume&gt;14&lt;/volume&gt;&lt;number&gt;6&lt;/number&gt;&lt;edition&gt;2004/06/03&lt;/edition&gt;&lt;keywords&gt;&lt;keyword&gt;*Amino Acid Sequence&lt;/keyword&gt;&lt;keyword&gt;*Base Sequence&lt;/keyword&gt;&lt;keyword&gt;*Computer Graphics&lt;/keyword&gt;&lt;keyword&gt;Cyclic AMP Receptor Protein/chemistry&lt;/keyword&gt;&lt;keyword&gt;DNA, Bacterial/chemistry&lt;/keyword&gt;&lt;keyword&gt;Escherichia coli Proteins/chemistry&lt;/keyword&gt;&lt;keyword&gt;*Internet&lt;/keyword&gt;&lt;keyword&gt;Nucleic Acid Conformation&lt;/keyword&gt;&lt;keyword&gt;Protein Structure, Quaternary&lt;/keyword&gt;&lt;keyword&gt;*Software&lt;/keyword&gt;&lt;/keywords&gt;&lt;dates&gt;&lt;year&gt;2004&lt;/year&gt;&lt;pub-dates&gt;&lt;date&gt;Jun&lt;/date&gt;&lt;/pub-dates&gt;&lt;/dates&gt;&lt;isbn&gt;1088-9051 (Print)&amp;#xD;1088-9051 (Linking)&lt;/isbn&gt;&lt;accession-num&gt;15173120&lt;/accession-num&gt;&lt;urls&gt;&lt;related-urls&gt;&lt;url&gt;http://www.ncbi.nlm.nih.gov/entrez/query.fcgi?cmd=Retrieve&amp;amp;db=PubMed&amp;amp;dopt=Citation&amp;amp;list_uids=15173120&lt;/url&gt;&lt;/related-urls&gt;&lt;/urls&gt;&lt;custom2&gt;419797&lt;/custom2&gt;&lt;electronic-resource-num&gt;10.1101/gr.849004&amp;#xD;14/6/1188 [pii]&lt;/electronic-resource-num&gt;&lt;language&gt;eng&lt;/language&gt;&lt;/record&gt;&lt;/Cite&gt;&lt;/EndNote&gt;</w:instrText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(Crooks et al. 2004)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, are nearly identical in all four species. (B) The spacer between large and small motifs is predominately 19-21 </w:t>
      </w:r>
      <w:proofErr w:type="spellStart"/>
      <w:proofErr w:type="gramStart"/>
      <w:r>
        <w:rPr>
          <w:rFonts w:ascii="Arial" w:hAnsi="Arial"/>
        </w:rPr>
        <w:t>nt</w:t>
      </w:r>
      <w:proofErr w:type="spellEnd"/>
      <w:proofErr w:type="gramEnd"/>
      <w:r>
        <w:rPr>
          <w:rFonts w:ascii="Arial" w:hAnsi="Arial"/>
        </w:rPr>
        <w:t xml:space="preserve"> in all four species. </w:t>
      </w:r>
    </w:p>
    <w:p w:rsidR="0058342E" w:rsidRDefault="0058342E" w:rsidP="0058342E">
      <w:pPr>
        <w:spacing w:line="360" w:lineRule="auto"/>
        <w:jc w:val="both"/>
        <w:rPr>
          <w:rFonts w:ascii="Arial" w:hAnsi="Arial"/>
        </w:rPr>
      </w:pPr>
    </w:p>
    <w:p w:rsidR="0058342E" w:rsidRPr="00D3248F" w:rsidRDefault="0058342E" w:rsidP="0058342E">
      <w:pPr>
        <w:spacing w:line="360" w:lineRule="auto"/>
        <w:jc w:val="both"/>
        <w:rPr>
          <w:rFonts w:ascii="Arial" w:hAnsi="Arial"/>
          <w:b/>
        </w:rPr>
      </w:pPr>
      <w:r w:rsidRPr="00B3232D">
        <w:rPr>
          <w:rFonts w:ascii="Arial" w:hAnsi="Arial"/>
          <w:b/>
        </w:rPr>
        <w:t>Fig. S</w:t>
      </w:r>
      <w:r>
        <w:rPr>
          <w:rFonts w:ascii="Arial" w:hAnsi="Arial"/>
          <w:b/>
        </w:rPr>
        <w:t>4</w:t>
      </w:r>
      <w:r w:rsidRPr="00B3232D">
        <w:rPr>
          <w:rFonts w:ascii="Arial" w:hAnsi="Arial"/>
          <w:b/>
        </w:rPr>
        <w:t xml:space="preserve">. </w:t>
      </w:r>
      <w:proofErr w:type="spellStart"/>
      <w:proofErr w:type="gramStart"/>
      <w:r>
        <w:rPr>
          <w:rFonts w:ascii="Arial" w:hAnsi="Arial"/>
          <w:b/>
        </w:rPr>
        <w:t>piRNA</w:t>
      </w:r>
      <w:proofErr w:type="spellEnd"/>
      <w:proofErr w:type="gramEnd"/>
      <w:r>
        <w:rPr>
          <w:rFonts w:ascii="Arial" w:hAnsi="Arial"/>
          <w:b/>
        </w:rPr>
        <w:t xml:space="preserve"> saturation analysis.</w:t>
      </w:r>
    </w:p>
    <w:p w:rsidR="0058342E" w:rsidRPr="00B55687" w:rsidRDefault="0058342E" w:rsidP="0058342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The percentage of the total number of </w:t>
      </w:r>
      <w:proofErr w:type="spellStart"/>
      <w:r>
        <w:rPr>
          <w:rFonts w:ascii="Arial" w:hAnsi="Arial"/>
        </w:rPr>
        <w:t>piRNAs</w:t>
      </w:r>
      <w:proofErr w:type="spellEnd"/>
      <w:r>
        <w:rPr>
          <w:rFonts w:ascii="Arial" w:hAnsi="Arial"/>
        </w:rPr>
        <w:t xml:space="preserve"> identified in each library using a random subset of 10-100% of all sequencing reads. </w:t>
      </w:r>
      <w:r w:rsidRPr="00B3232D">
        <w:rPr>
          <w:rFonts w:ascii="Arial" w:hAnsi="Arial"/>
          <w:i/>
        </w:rPr>
        <w:t xml:space="preserve">C. </w:t>
      </w:r>
      <w:proofErr w:type="spellStart"/>
      <w:proofErr w:type="gramStart"/>
      <w:r w:rsidRPr="00B3232D">
        <w:rPr>
          <w:rFonts w:ascii="Arial" w:hAnsi="Arial"/>
          <w:i/>
        </w:rPr>
        <w:t>elegans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miRNAs</w:t>
      </w:r>
      <w:proofErr w:type="spellEnd"/>
      <w:r>
        <w:rPr>
          <w:rFonts w:ascii="Arial" w:hAnsi="Arial"/>
        </w:rPr>
        <w:t xml:space="preserve"> are shown for comparison.   </w:t>
      </w:r>
    </w:p>
    <w:p w:rsidR="0058342E" w:rsidRDefault="0058342E" w:rsidP="0058342E">
      <w:pPr>
        <w:spacing w:line="360" w:lineRule="auto"/>
        <w:jc w:val="both"/>
        <w:rPr>
          <w:rFonts w:ascii="Arial" w:hAnsi="Arial"/>
        </w:rPr>
      </w:pPr>
    </w:p>
    <w:p w:rsidR="0058342E" w:rsidRPr="00DD417D" w:rsidRDefault="0058342E" w:rsidP="0058342E">
      <w:pPr>
        <w:spacing w:line="360" w:lineRule="auto"/>
        <w:jc w:val="both"/>
        <w:rPr>
          <w:rFonts w:ascii="Arial" w:hAnsi="Arial"/>
          <w:b/>
        </w:rPr>
      </w:pPr>
      <w:r w:rsidRPr="00DD417D">
        <w:rPr>
          <w:rFonts w:ascii="Arial" w:hAnsi="Arial"/>
          <w:b/>
        </w:rPr>
        <w:t>Fig. S</w:t>
      </w:r>
      <w:r>
        <w:rPr>
          <w:rFonts w:ascii="Arial" w:hAnsi="Arial"/>
          <w:b/>
        </w:rPr>
        <w:t>5</w:t>
      </w:r>
      <w:r w:rsidRPr="00DD417D">
        <w:rPr>
          <w:rFonts w:ascii="Arial" w:hAnsi="Arial"/>
          <w:b/>
        </w:rPr>
        <w:t xml:space="preserve">. </w:t>
      </w:r>
      <w:proofErr w:type="gramStart"/>
      <w:r w:rsidRPr="00DD417D">
        <w:rPr>
          <w:rFonts w:ascii="Arial" w:hAnsi="Arial"/>
          <w:b/>
        </w:rPr>
        <w:t xml:space="preserve">Upstream motif of hermaphrodite/female- or male-enriched </w:t>
      </w:r>
      <w:proofErr w:type="spellStart"/>
      <w:r w:rsidRPr="00DD417D">
        <w:rPr>
          <w:rFonts w:ascii="Arial" w:hAnsi="Arial"/>
          <w:b/>
        </w:rPr>
        <w:t>piRNAs</w:t>
      </w:r>
      <w:proofErr w:type="spellEnd"/>
      <w:r>
        <w:rPr>
          <w:rFonts w:ascii="Arial" w:hAnsi="Arial"/>
          <w:b/>
        </w:rPr>
        <w:t>.</w:t>
      </w:r>
      <w:proofErr w:type="gramEnd"/>
    </w:p>
    <w:p w:rsidR="0058342E" w:rsidRDefault="0058342E" w:rsidP="0058342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Sequence logos </w:t>
      </w: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ADDIN EN.CITE &lt;EndNote&gt;&lt;Cite&gt;&lt;Author&gt;Crooks&lt;/Author&gt;&lt;Year&gt;2004&lt;/Year&gt;&lt;RecNum&gt;1557&lt;/RecNum&gt;&lt;record&gt;&lt;rec-number&gt;1557&lt;/rec-number&gt;&lt;foreign-keys&gt;&lt;key app="EN" db-id="vwpxee9ad0ws5hepvvm5ztxmfsxdadvx5tpv"&gt;1557&lt;/key&gt;&lt;/foreign-keys&gt;&lt;ref-type name="Journal Article"&gt;17&lt;/ref-type&gt;&lt;contributors&gt;&lt;authors&gt;&lt;author&gt;Crooks, G. E.&lt;/author&gt;&lt;author&gt;Hon, G.&lt;/author&gt;&lt;author&gt;Chandonia, J. M.&lt;/author&gt;&lt;author&gt;Brenner, S. E.&lt;/author&gt;&lt;/authors&gt;&lt;/contributors&gt;&lt;auth-address&gt;Department of Plant and Microbial Biology, University of California, Berkeley, California 94720, USA.&lt;/auth-address&gt;&lt;titles&gt;&lt;title&gt;WebLogo: a sequence logo generator&lt;/title&gt;&lt;secondary-title&gt;Genome Res&lt;/secondary-title&gt;&lt;/titles&gt;&lt;periodical&gt;&lt;full-title&gt;Genome Res&lt;/full-title&gt;&lt;/periodical&gt;&lt;pages&gt;1188-90&lt;/pages&gt;&lt;volume&gt;14&lt;/volume&gt;&lt;number&gt;6&lt;/number&gt;&lt;edition&gt;2004/06/03&lt;/edition&gt;&lt;keywords&gt;&lt;keyword&gt;*Amino Acid Sequence&lt;/keyword&gt;&lt;keyword&gt;*Base Sequence&lt;/keyword&gt;&lt;keyword&gt;*Computer Graphics&lt;/keyword&gt;&lt;keyword&gt;Cyclic AMP Receptor Protein/chemistry&lt;/keyword&gt;&lt;keyword&gt;DNA, Bacterial/chemistry&lt;/keyword&gt;&lt;keyword&gt;Escherichia coli Proteins/chemistry&lt;/keyword&gt;&lt;keyword&gt;*Internet&lt;/keyword&gt;&lt;keyword&gt;Nucleic Acid Conformation&lt;/keyword&gt;&lt;keyword&gt;Protein Structure, Quaternary&lt;/keyword&gt;&lt;keyword&gt;*Software&lt;/keyword&gt;&lt;/keywords&gt;&lt;dates&gt;&lt;year&gt;2004&lt;/year&gt;&lt;pub-dates&gt;&lt;date&gt;Jun&lt;/date&gt;&lt;/pub-dates&gt;&lt;/dates&gt;&lt;isbn&gt;1088-9051 (Print)&amp;#xD;1088-9051 (Linking)&lt;/isbn&gt;&lt;accession-num&gt;15173120&lt;/accession-num&gt;&lt;urls&gt;&lt;related-urls&gt;&lt;url&gt;http://www.ncbi.nlm.nih.gov/entrez/query.fcgi?cmd=Retrieve&amp;amp;db=PubMed&amp;amp;dopt=Citation&amp;amp;list_uids=15173120&lt;/url&gt;&lt;/related-urls&gt;&lt;/urls&gt;&lt;custom2&gt;419797&lt;/custom2&gt;&lt;electronic-resource-num&gt;10.1101/gr.849004&amp;#xD;14/6/1188 [pii]&lt;/electronic-resource-num&gt;&lt;language&gt;eng&lt;/language&gt;&lt;/record&gt;&lt;/Cite&gt;&lt;/EndNote&gt;</w:instrText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(Crooks et al. 2004)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display nucleotide conservation in the large motifs upstream of hermaphrodite/female- or male-enriched </w:t>
      </w:r>
      <w:proofErr w:type="spellStart"/>
      <w:r>
        <w:rPr>
          <w:rFonts w:ascii="Arial" w:hAnsi="Arial"/>
        </w:rPr>
        <w:t>piRNAs</w:t>
      </w:r>
      <w:proofErr w:type="spellEnd"/>
      <w:r>
        <w:rPr>
          <w:rFonts w:ascii="Arial" w:hAnsi="Arial"/>
        </w:rPr>
        <w:t xml:space="preserve"> loci. Positions that have a substantially different weight matrix between hermaphrodites/females and males are colored.</w:t>
      </w:r>
    </w:p>
    <w:p w:rsidR="0058342E" w:rsidRDefault="0058342E" w:rsidP="0058342E">
      <w:pPr>
        <w:spacing w:line="360" w:lineRule="auto"/>
        <w:jc w:val="both"/>
        <w:rPr>
          <w:rFonts w:ascii="Arial" w:hAnsi="Arial"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2E"/>
    <w:rsid w:val="0027073C"/>
    <w:rsid w:val="0058342E"/>
    <w:rsid w:val="006A61F1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</Words>
  <Characters>4369</Characters>
  <Application>Microsoft Macintosh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2013-01-10T16:01:00Z</dcterms:created>
  <dcterms:modified xsi:type="dcterms:W3CDTF">2013-01-10T16:01:00Z</dcterms:modified>
</cp:coreProperties>
</file>