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A1" w:rsidRPr="00777C0A" w:rsidRDefault="00175FA1" w:rsidP="00175FA1">
      <w:pPr>
        <w:ind w:left="720" w:hanging="720"/>
        <w:rPr>
          <w:noProof/>
          <w:sz w:val="20"/>
        </w:rPr>
      </w:pPr>
      <w:r w:rsidRPr="00CA5656">
        <w:rPr>
          <w:b/>
        </w:rPr>
        <w:t>SUPPLEMENTARY FIGURE LEGENDS</w:t>
      </w:r>
    </w:p>
    <w:p w:rsidR="00175FA1" w:rsidRPr="00CA5656" w:rsidRDefault="00175FA1" w:rsidP="00175FA1">
      <w:r w:rsidRPr="00CA5656">
        <w:rPr>
          <w:b/>
        </w:rPr>
        <w:t>Supplementary</w:t>
      </w:r>
      <w:r w:rsidRPr="00CA5656">
        <w:rPr>
          <w:rFonts w:hint="eastAsia"/>
          <w:b/>
        </w:rPr>
        <w:t xml:space="preserve"> F</w:t>
      </w:r>
      <w:r w:rsidRPr="00CA5656">
        <w:rPr>
          <w:b/>
        </w:rPr>
        <w:t>igure 1:</w:t>
      </w:r>
      <w:r w:rsidRPr="00CA5656">
        <w:t xml:space="preserve"> Generation of mice with an </w:t>
      </w:r>
      <w:r w:rsidRPr="00CA5656">
        <w:rPr>
          <w:i/>
        </w:rPr>
        <w:t>EGFP-</w:t>
      </w:r>
      <w:r>
        <w:rPr>
          <w:i/>
        </w:rPr>
        <w:t>neo</w:t>
      </w:r>
      <w:r w:rsidRPr="00CA5656">
        <w:t xml:space="preserve"> insertion within the Watson piRNA cluster.</w:t>
      </w:r>
      <w:r w:rsidRPr="00CA5656">
        <w:rPr>
          <w:b/>
        </w:rPr>
        <w:t xml:space="preserve"> (A</w:t>
      </w:r>
      <w:r w:rsidRPr="00CA5656">
        <w:t xml:space="preserve">) Outline of the knockin scheme. A diagram showing the overall structure of the knockin locus is shown (top). Location of the probes for Southern blotting and estimated sizes of the restriction fragments are also shown (bottom). </w:t>
      </w:r>
      <w:proofErr w:type="gramStart"/>
      <w:r w:rsidRPr="00CA5656">
        <w:t>(</w:t>
      </w:r>
      <w:r w:rsidRPr="00CA5656">
        <w:rPr>
          <w:b/>
        </w:rPr>
        <w:t>B</w:t>
      </w:r>
      <w:r w:rsidRPr="00CA5656">
        <w:t>) So</w:t>
      </w:r>
      <w:r w:rsidRPr="00CA5656">
        <w:rPr>
          <w:rFonts w:hint="eastAsia"/>
        </w:rPr>
        <w:t>u</w:t>
      </w:r>
      <w:r w:rsidRPr="00CA5656">
        <w:t>thern blotting showing correct targeting.</w:t>
      </w:r>
      <w:proofErr w:type="gramEnd"/>
      <w:r w:rsidRPr="00CA5656">
        <w:t xml:space="preserve"> Genomic DNA was digested with either </w:t>
      </w:r>
      <w:r w:rsidRPr="00CA5656">
        <w:rPr>
          <w:i/>
        </w:rPr>
        <w:t>Eco</w:t>
      </w:r>
      <w:r w:rsidRPr="00CA5656">
        <w:t xml:space="preserve">RI or </w:t>
      </w:r>
      <w:r w:rsidRPr="00CA5656">
        <w:rPr>
          <w:i/>
        </w:rPr>
        <w:t>Hin</w:t>
      </w:r>
      <w:r w:rsidRPr="00CA5656">
        <w:t xml:space="preserve">dIII. </w:t>
      </w:r>
      <w:r w:rsidRPr="00CA5656">
        <w:rPr>
          <w:i/>
        </w:rPr>
        <w:t>Eco</w:t>
      </w:r>
      <w:r w:rsidRPr="00CA5656">
        <w:t xml:space="preserve">RI digests were hybridized with a 5’ external (blue) or an internal probe (green) and </w:t>
      </w:r>
      <w:r w:rsidRPr="00CA5656">
        <w:rPr>
          <w:i/>
        </w:rPr>
        <w:t>Hin</w:t>
      </w:r>
      <w:r w:rsidRPr="00CA5656">
        <w:t>dIII digests with a 3’ external probe (red). (</w:t>
      </w:r>
      <w:r w:rsidRPr="00CA5656">
        <w:rPr>
          <w:b/>
        </w:rPr>
        <w:t>C</w:t>
      </w:r>
      <w:r w:rsidRPr="00CA5656">
        <w:t xml:space="preserve">) Histological analysis of </w:t>
      </w:r>
      <w:r w:rsidRPr="00CA5656">
        <w:rPr>
          <w:i/>
        </w:rPr>
        <w:t>EGFP-</w:t>
      </w:r>
      <w:r>
        <w:rPr>
          <w:i/>
        </w:rPr>
        <w:t>neo</w:t>
      </w:r>
      <w:r w:rsidRPr="00CA5656">
        <w:rPr>
          <w:i/>
        </w:rPr>
        <w:t>/+</w:t>
      </w:r>
      <w:r w:rsidRPr="00CA5656">
        <w:t xml:space="preserve"> testes. Specimens were obtained at seven weeks after birth and stained with hematoxyline-eosine. </w:t>
      </w:r>
      <w:r w:rsidRPr="00CA5656">
        <w:rPr>
          <w:rFonts w:hint="eastAsia"/>
        </w:rPr>
        <w:t>A</w:t>
      </w:r>
      <w:r w:rsidRPr="00CA5656">
        <w:t>rrows</w:t>
      </w:r>
      <w:r w:rsidRPr="00CA5656">
        <w:rPr>
          <w:rFonts w:hint="eastAsia"/>
        </w:rPr>
        <w:t xml:space="preserve"> indicate</w:t>
      </w:r>
      <w:r w:rsidRPr="00CA5656">
        <w:t xml:space="preserve"> spermatogonia (black), spermatocyte (green) and spermatid (blue). </w:t>
      </w:r>
    </w:p>
    <w:p w:rsidR="00175FA1" w:rsidRPr="00CA5656" w:rsidRDefault="00175FA1" w:rsidP="00175FA1"/>
    <w:p w:rsidR="00175FA1" w:rsidRPr="00CA5656" w:rsidRDefault="00175FA1" w:rsidP="00175FA1">
      <w:pPr>
        <w:rPr>
          <w:rFonts w:cs="Times"/>
          <w:kern w:val="1"/>
          <w:szCs w:val="21"/>
        </w:rPr>
      </w:pPr>
      <w:r w:rsidRPr="00CA5656">
        <w:rPr>
          <w:b/>
        </w:rPr>
        <w:t>Supplementary</w:t>
      </w:r>
      <w:r w:rsidRPr="00CA5656">
        <w:rPr>
          <w:rFonts w:hint="eastAsia"/>
          <w:b/>
        </w:rPr>
        <w:t xml:space="preserve"> F</w:t>
      </w:r>
      <w:r w:rsidRPr="00CA5656">
        <w:rPr>
          <w:b/>
        </w:rPr>
        <w:t>igure 2:</w:t>
      </w:r>
      <w:r w:rsidRPr="00CA5656">
        <w:t xml:space="preserve"> </w:t>
      </w:r>
      <w:r w:rsidRPr="00CA5656">
        <w:rPr>
          <w:rFonts w:hint="eastAsia"/>
        </w:rPr>
        <w:t xml:space="preserve">Distribution of small RNAs around the site of the insertion. </w:t>
      </w:r>
      <w:r w:rsidRPr="00CA5656">
        <w:t>(</w:t>
      </w:r>
      <w:r w:rsidRPr="00CA5656">
        <w:rPr>
          <w:b/>
        </w:rPr>
        <w:t>A</w:t>
      </w:r>
      <w:r w:rsidRPr="00CA5656">
        <w:t xml:space="preserve">) </w:t>
      </w:r>
      <w:r w:rsidRPr="00CA5656">
        <w:rPr>
          <w:rFonts w:cs="Times"/>
          <w:kern w:val="1"/>
          <w:szCs w:val="21"/>
        </w:rPr>
        <w:t xml:space="preserve">The read number </w:t>
      </w:r>
      <w:r w:rsidRPr="00CA5656">
        <w:rPr>
          <w:rFonts w:cs="Times" w:hint="eastAsia"/>
          <w:kern w:val="1"/>
          <w:szCs w:val="21"/>
        </w:rPr>
        <w:t xml:space="preserve">of Watson cluster piRNAs mapped to </w:t>
      </w:r>
      <w:r w:rsidRPr="00CA5656">
        <w:rPr>
          <w:rFonts w:cs="Times"/>
          <w:kern w:val="1"/>
          <w:szCs w:val="21"/>
        </w:rPr>
        <w:t xml:space="preserve">the </w:t>
      </w:r>
      <w:r w:rsidRPr="00CA5656">
        <w:rPr>
          <w:rFonts w:cs="Times" w:hint="eastAsia"/>
          <w:kern w:val="1"/>
          <w:szCs w:val="21"/>
        </w:rPr>
        <w:t xml:space="preserve">upstream </w:t>
      </w:r>
      <w:r w:rsidRPr="00CA5656">
        <w:rPr>
          <w:rFonts w:cs="Times"/>
          <w:kern w:val="1"/>
          <w:szCs w:val="21"/>
        </w:rPr>
        <w:t>and</w:t>
      </w:r>
      <w:r w:rsidRPr="00CA5656">
        <w:rPr>
          <w:rFonts w:cs="Times" w:hint="eastAsia"/>
          <w:kern w:val="1"/>
          <w:szCs w:val="21"/>
        </w:rPr>
        <w:t xml:space="preserve"> downstream </w:t>
      </w:r>
      <w:r w:rsidRPr="00CA5656">
        <w:rPr>
          <w:rFonts w:cs="Times"/>
          <w:kern w:val="1"/>
          <w:szCs w:val="21"/>
        </w:rPr>
        <w:t xml:space="preserve">regions </w:t>
      </w:r>
      <w:r w:rsidRPr="00CA5656">
        <w:rPr>
          <w:rFonts w:cs="Times" w:hint="eastAsia"/>
          <w:kern w:val="1"/>
          <w:szCs w:val="21"/>
        </w:rPr>
        <w:t xml:space="preserve">of the </w:t>
      </w:r>
      <w:r w:rsidRPr="00CA5656">
        <w:rPr>
          <w:rFonts w:cs="Times"/>
          <w:kern w:val="1"/>
          <w:szCs w:val="21"/>
        </w:rPr>
        <w:t>knockin site</w:t>
      </w:r>
      <w:r w:rsidRPr="00CA5656">
        <w:rPr>
          <w:rFonts w:cs="Times" w:hint="eastAsia"/>
          <w:kern w:val="1"/>
          <w:szCs w:val="21"/>
        </w:rPr>
        <w:t>.</w:t>
      </w:r>
      <w:r w:rsidRPr="00CA5656">
        <w:rPr>
          <w:kern w:val="0"/>
          <w:szCs w:val="50"/>
        </w:rPr>
        <w:t xml:space="preserve"> (B) </w:t>
      </w:r>
      <w:r w:rsidRPr="00CA5656">
        <w:t>Distribution</w:t>
      </w:r>
      <w:r w:rsidRPr="00CA5656">
        <w:rPr>
          <w:kern w:val="0"/>
          <w:szCs w:val="50"/>
        </w:rPr>
        <w:t xml:space="preserve"> of small RNA sequences in the knockin locus and/or surrounding regions in </w:t>
      </w:r>
      <w:r w:rsidRPr="00CA5656">
        <w:rPr>
          <w:rFonts w:hint="eastAsia"/>
          <w:kern w:val="0"/>
          <w:szCs w:val="50"/>
        </w:rPr>
        <w:t xml:space="preserve">wildtype </w:t>
      </w:r>
      <w:r w:rsidRPr="00CA5656">
        <w:rPr>
          <w:kern w:val="0"/>
          <w:szCs w:val="50"/>
        </w:rPr>
        <w:t>control (+/+)</w:t>
      </w:r>
      <w:r w:rsidRPr="00CA5656">
        <w:rPr>
          <w:rFonts w:hint="eastAsia"/>
          <w:kern w:val="0"/>
          <w:szCs w:val="50"/>
        </w:rPr>
        <w:t xml:space="preserve"> and </w:t>
      </w:r>
      <w:r w:rsidRPr="00CA5656">
        <w:rPr>
          <w:i/>
        </w:rPr>
        <w:t>EGFP-</w:t>
      </w:r>
      <w:r>
        <w:rPr>
          <w:i/>
        </w:rPr>
        <w:t>neo</w:t>
      </w:r>
      <w:r w:rsidRPr="00CA5656">
        <w:rPr>
          <w:i/>
        </w:rPr>
        <w:t>/+</w:t>
      </w:r>
      <w:r w:rsidRPr="00CA5656">
        <w:rPr>
          <w:kern w:val="0"/>
          <w:szCs w:val="50"/>
        </w:rPr>
        <w:t xml:space="preserve"> testes. The data is shown for 100-bp windows across the region.</w:t>
      </w:r>
    </w:p>
    <w:p w:rsidR="00175FA1" w:rsidRPr="00CA5656" w:rsidRDefault="00175FA1" w:rsidP="00175FA1"/>
    <w:p w:rsidR="00175FA1" w:rsidRPr="00CA5656" w:rsidRDefault="00175FA1" w:rsidP="00175FA1">
      <w:pPr>
        <w:rPr>
          <w:kern w:val="0"/>
          <w:szCs w:val="50"/>
        </w:rPr>
      </w:pPr>
      <w:r w:rsidRPr="00CA5656">
        <w:rPr>
          <w:b/>
        </w:rPr>
        <w:t>Supplementary Figure 3:</w:t>
      </w:r>
      <w:r w:rsidRPr="00CA5656">
        <w:t xml:space="preserve"> Characteristics of the endogenous piRNAs in the Watson and Crick clusters. </w:t>
      </w:r>
      <w:r w:rsidRPr="00CA5656">
        <w:rPr>
          <w:kern w:val="0"/>
          <w:szCs w:val="50"/>
        </w:rPr>
        <w:t xml:space="preserve">The observed characteristics were very similar between the wildtype and </w:t>
      </w:r>
      <w:r w:rsidRPr="00CA5656">
        <w:rPr>
          <w:i/>
        </w:rPr>
        <w:t>EGFP-</w:t>
      </w:r>
      <w:r>
        <w:rPr>
          <w:i/>
        </w:rPr>
        <w:t>neo</w:t>
      </w:r>
      <w:r w:rsidRPr="00CA5656">
        <w:rPr>
          <w:i/>
        </w:rPr>
        <w:t>/+</w:t>
      </w:r>
      <w:r w:rsidRPr="00CA5656">
        <w:t xml:space="preserve"> testes, and thus the </w:t>
      </w:r>
      <w:r w:rsidRPr="00CA5656">
        <w:rPr>
          <w:kern w:val="0"/>
          <w:szCs w:val="50"/>
        </w:rPr>
        <w:t>data for only wildtype testes are shown</w:t>
      </w:r>
      <w:r w:rsidRPr="00CA5656">
        <w:t>. (</w:t>
      </w:r>
      <w:r w:rsidRPr="00CA5656">
        <w:rPr>
          <w:b/>
        </w:rPr>
        <w:t>A</w:t>
      </w:r>
      <w:r w:rsidRPr="00CA5656">
        <w:t>) Nucleotide preference at the first and tenth positions</w:t>
      </w:r>
      <w:r w:rsidRPr="00CA5656">
        <w:rPr>
          <w:rFonts w:hint="eastAsia"/>
        </w:rPr>
        <w:t xml:space="preserve">. </w:t>
      </w:r>
      <w:r w:rsidRPr="00CA5656">
        <w:t>(</w:t>
      </w:r>
      <w:r w:rsidRPr="00CA5656">
        <w:rPr>
          <w:b/>
        </w:rPr>
        <w:t>B</w:t>
      </w:r>
      <w:r w:rsidRPr="00CA5656">
        <w:t>) Frequent 10-nt complementarity between the 5’ regions of piRNAs from different strands. The data suggests the existence of an active ping-pong cycle. (</w:t>
      </w:r>
      <w:r w:rsidRPr="00CA5656">
        <w:rPr>
          <w:b/>
        </w:rPr>
        <w:t>C</w:t>
      </w:r>
      <w:r w:rsidRPr="00CA5656">
        <w:t xml:space="preserve">) Size distributions of piRNAs from different strands. See </w:t>
      </w:r>
      <w:r w:rsidRPr="00CA5656">
        <w:rPr>
          <w:b/>
        </w:rPr>
        <w:t>Figure 2</w:t>
      </w:r>
      <w:r w:rsidRPr="00CA5656">
        <w:t xml:space="preserve"> legend for more details.</w:t>
      </w:r>
      <w:r w:rsidRPr="00CA5656">
        <w:rPr>
          <w:kern w:val="0"/>
          <w:szCs w:val="50"/>
        </w:rPr>
        <w:t xml:space="preserve"> </w:t>
      </w:r>
      <w:r w:rsidRPr="00CA5656">
        <w:t xml:space="preserve">Only </w:t>
      </w:r>
      <w:r w:rsidRPr="00CA5656">
        <w:rPr>
          <w:rFonts w:hint="eastAsia"/>
        </w:rPr>
        <w:t>unique sequence</w:t>
      </w:r>
      <w:r w:rsidRPr="00CA5656">
        <w:t xml:space="preserve"> piRNA</w:t>
      </w:r>
      <w:r w:rsidRPr="00CA5656">
        <w:rPr>
          <w:rFonts w:hint="eastAsia"/>
        </w:rPr>
        <w:t xml:space="preserve">s </w:t>
      </w:r>
      <w:r w:rsidRPr="00CA5656">
        <w:t>we</w:t>
      </w:r>
      <w:r w:rsidRPr="00CA5656">
        <w:rPr>
          <w:rFonts w:hint="eastAsia"/>
        </w:rPr>
        <w:t>re considered for this analysis</w:t>
      </w:r>
      <w:r w:rsidRPr="00CA5656">
        <w:rPr>
          <w:kern w:val="0"/>
          <w:szCs w:val="50"/>
        </w:rPr>
        <w:t xml:space="preserve">. </w:t>
      </w:r>
    </w:p>
    <w:p w:rsidR="00175FA1" w:rsidRPr="00CA5656" w:rsidRDefault="00175FA1" w:rsidP="00175FA1"/>
    <w:p w:rsidR="00175FA1" w:rsidRPr="00CA5656" w:rsidRDefault="00175FA1" w:rsidP="00175FA1">
      <w:pPr>
        <w:rPr>
          <w:rFonts w:ascii="Times New Roman Bold Italic" w:hAnsi="Times New Roman Bold Italic"/>
        </w:rPr>
      </w:pPr>
      <w:r w:rsidRPr="00CA5656">
        <w:rPr>
          <w:b/>
        </w:rPr>
        <w:t>Supplementary Figure 4:</w:t>
      </w:r>
      <w:r w:rsidRPr="00CA5656">
        <w:t xml:space="preserve"> Purities of FACS isolated pachytene spermatocytes and round spermatids estimated by staining for the cell markers. </w:t>
      </w:r>
      <w:r w:rsidRPr="00CA5656">
        <w:rPr>
          <w:rFonts w:cs="Times"/>
          <w:szCs w:val="21"/>
        </w:rPr>
        <w:t>Pachytene spermatocytes were stained with</w:t>
      </w:r>
      <w:r w:rsidRPr="00CA5656">
        <w:rPr>
          <w:rFonts w:ascii="ＭＳ 明朝" w:eastAsia="ＭＳ 明朝" w:cs="ＭＳ 明朝" w:hint="eastAsia"/>
          <w:szCs w:val="21"/>
        </w:rPr>
        <w:t>γ</w:t>
      </w:r>
      <w:r w:rsidRPr="00CA5656">
        <w:rPr>
          <w:rFonts w:eastAsia="ＭＳ 明朝" w:cs="Times"/>
          <w:szCs w:val="21"/>
        </w:rPr>
        <w:t>H2AX and SYCP3 antibodies (left), and round spermatids with an MVH antibody (right). Insets are high magnification views of representative nuclei.</w:t>
      </w:r>
      <w:r w:rsidRPr="00CA5656">
        <w:t xml:space="preserve"> The purity</w:t>
      </w:r>
      <w:r w:rsidRPr="00CA5656">
        <w:rPr>
          <w:rFonts w:hint="eastAsia"/>
        </w:rPr>
        <w:t xml:space="preserve"> </w:t>
      </w:r>
      <w:r w:rsidRPr="00CA5656">
        <w:t xml:space="preserve">of </w:t>
      </w:r>
      <w:r w:rsidRPr="00CA5656">
        <w:rPr>
          <w:rFonts w:hint="eastAsia"/>
        </w:rPr>
        <w:t xml:space="preserve">FACS-sorted </w:t>
      </w:r>
      <w:r w:rsidRPr="00CA5656">
        <w:t xml:space="preserve">pachytene spermatocytes exceeded 70% and that of round spermatids </w:t>
      </w:r>
      <w:r w:rsidRPr="00CA5656">
        <w:rPr>
          <w:rFonts w:hint="eastAsia"/>
        </w:rPr>
        <w:t>exceed</w:t>
      </w:r>
      <w:r w:rsidRPr="00CA5656">
        <w:t>ed 90%</w:t>
      </w:r>
      <w:r w:rsidRPr="00CA5656">
        <w:rPr>
          <w:rFonts w:hint="eastAsia"/>
        </w:rPr>
        <w:t>.</w:t>
      </w:r>
    </w:p>
    <w:p w:rsidR="00175FA1" w:rsidRPr="00CA5656" w:rsidRDefault="00175FA1" w:rsidP="00175FA1"/>
    <w:p w:rsidR="00175FA1" w:rsidRPr="00CA5656" w:rsidRDefault="00175FA1" w:rsidP="00175FA1">
      <w:r w:rsidRPr="00CA5656">
        <w:rPr>
          <w:b/>
        </w:rPr>
        <w:t>Supplementary</w:t>
      </w:r>
      <w:r w:rsidRPr="00CA5656">
        <w:rPr>
          <w:rFonts w:hint="eastAsia"/>
          <w:b/>
        </w:rPr>
        <w:t xml:space="preserve"> F</w:t>
      </w:r>
      <w:r w:rsidRPr="00CA5656">
        <w:rPr>
          <w:b/>
        </w:rPr>
        <w:t>igure 5:</w:t>
      </w:r>
      <w:r w:rsidRPr="00CA5656">
        <w:t xml:space="preserve"> Reporter gene repression in </w:t>
      </w:r>
      <w:r w:rsidRPr="00CA5656">
        <w:rPr>
          <w:i/>
        </w:rPr>
        <w:t>EGFP-</w:t>
      </w:r>
      <w:r>
        <w:rPr>
          <w:i/>
        </w:rPr>
        <w:t>neo</w:t>
      </w:r>
      <w:r w:rsidRPr="00CA5656">
        <w:t>/+ germ cells confirmed at the protein level. Total proteins extracted from FACS isolated germ cells were analyzed by Western blotting</w:t>
      </w:r>
      <w:r w:rsidRPr="00CA5656">
        <w:rPr>
          <w:rFonts w:hint="eastAsia"/>
        </w:rPr>
        <w:t xml:space="preserve"> for</w:t>
      </w:r>
      <w:r w:rsidRPr="00CA5656">
        <w:t xml:space="preserve"> </w:t>
      </w:r>
      <w:r>
        <w:t>GLB1</w:t>
      </w:r>
      <w:r w:rsidRPr="00CA5656">
        <w:t xml:space="preserve"> and EGFP proteins. Tubulin is the</w:t>
      </w:r>
      <w:r w:rsidRPr="00CA5656">
        <w:rPr>
          <w:rFonts w:hint="eastAsia"/>
        </w:rPr>
        <w:t xml:space="preserve"> </w:t>
      </w:r>
      <w:r w:rsidRPr="00CA5656">
        <w:t>loading control.</w:t>
      </w:r>
    </w:p>
    <w:p w:rsidR="00175FA1" w:rsidRPr="00CA5656" w:rsidRDefault="00175FA1" w:rsidP="00175FA1"/>
    <w:p w:rsidR="00175FA1" w:rsidRPr="00CA5656" w:rsidRDefault="00175FA1" w:rsidP="00175F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Cs w:val="50"/>
        </w:rPr>
      </w:pPr>
      <w:proofErr w:type="gramStart"/>
      <w:r w:rsidRPr="00CA5656">
        <w:rPr>
          <w:b/>
        </w:rPr>
        <w:t>Supplementary</w:t>
      </w:r>
      <w:r w:rsidRPr="00CA5656">
        <w:rPr>
          <w:rFonts w:hint="eastAsia"/>
          <w:b/>
        </w:rPr>
        <w:t xml:space="preserve"> F</w:t>
      </w:r>
      <w:r w:rsidRPr="00CA5656">
        <w:rPr>
          <w:b/>
        </w:rPr>
        <w:t>igure 6:</w:t>
      </w:r>
      <w:r w:rsidRPr="00CA5656">
        <w:t xml:space="preserve"> Generation and characterization of</w:t>
      </w:r>
      <w:r w:rsidRPr="00CA5656">
        <w:rPr>
          <w:rFonts w:hint="eastAsia"/>
        </w:rPr>
        <w:t xml:space="preserve"> </w:t>
      </w:r>
      <w:r w:rsidRPr="00CA5656">
        <w:rPr>
          <w:i/>
        </w:rPr>
        <w:t>Flag-</w:t>
      </w:r>
      <w:r>
        <w:rPr>
          <w:i/>
        </w:rPr>
        <w:t>Piwil2</w:t>
      </w:r>
      <w:r w:rsidRPr="00CA5656">
        <w:t xml:space="preserve"> BAC transgenic mice.</w:t>
      </w:r>
      <w:proofErr w:type="gramEnd"/>
      <w:r w:rsidRPr="00CA5656">
        <w:t xml:space="preserve"> (</w:t>
      </w:r>
      <w:r w:rsidRPr="00CA5656">
        <w:rPr>
          <w:b/>
        </w:rPr>
        <w:t>A</w:t>
      </w:r>
      <w:r w:rsidRPr="00CA5656">
        <w:t xml:space="preserve">) Construction of the transgene by modification of a BAC clone. A portion of the </w:t>
      </w:r>
      <w:r>
        <w:rPr>
          <w:i/>
        </w:rPr>
        <w:t>Piwil2</w:t>
      </w:r>
      <w:r w:rsidRPr="00CA5656">
        <w:t xml:space="preserve"> gene encoding the N-terminal region of the protein was amplified and used to construct a 3x Flag vector with a kanamycin-resistance marker gene. The recombination cassette was generated using the plasmid as a template by amplification with primers having 50-nt sequences from the </w:t>
      </w:r>
      <w:r>
        <w:rPr>
          <w:i/>
        </w:rPr>
        <w:t>Piwil2</w:t>
      </w:r>
      <w:r w:rsidRPr="00CA5656">
        <w:rPr>
          <w:i/>
        </w:rPr>
        <w:t xml:space="preserve"> </w:t>
      </w:r>
      <w:r w:rsidRPr="00CA5656">
        <w:t>gene. (</w:t>
      </w:r>
      <w:r w:rsidRPr="00CA5656">
        <w:rPr>
          <w:b/>
          <w:kern w:val="0"/>
          <w:szCs w:val="50"/>
        </w:rPr>
        <w:t>B</w:t>
      </w:r>
      <w:r w:rsidRPr="00CA5656">
        <w:rPr>
          <w:kern w:val="0"/>
          <w:szCs w:val="50"/>
        </w:rPr>
        <w:t xml:space="preserve">) Western blotting showing overexpression of </w:t>
      </w:r>
      <w:r>
        <w:rPr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. An antibody against </w:t>
      </w:r>
      <w:r>
        <w:rPr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was used. </w:t>
      </w:r>
      <w:proofErr w:type="gramStart"/>
      <w:r w:rsidRPr="00CA5656">
        <w:rPr>
          <w:kern w:val="0"/>
          <w:szCs w:val="50"/>
        </w:rPr>
        <w:t>WT, wildtype.</w:t>
      </w:r>
      <w:proofErr w:type="gramEnd"/>
      <w:r w:rsidRPr="00CA5656">
        <w:rPr>
          <w:kern w:val="0"/>
          <w:szCs w:val="50"/>
        </w:rPr>
        <w:t xml:space="preserve"> (</w:t>
      </w:r>
      <w:r w:rsidRPr="00CA5656">
        <w:rPr>
          <w:b/>
          <w:kern w:val="0"/>
          <w:szCs w:val="50"/>
        </w:rPr>
        <w:t>C</w:t>
      </w:r>
      <w:r w:rsidRPr="00CA5656">
        <w:rPr>
          <w:kern w:val="0"/>
          <w:szCs w:val="50"/>
        </w:rPr>
        <w:t xml:space="preserve">) </w:t>
      </w:r>
      <w:r w:rsidRPr="00CA5656">
        <w:rPr>
          <w:kern w:val="0"/>
          <w:szCs w:val="50"/>
        </w:rPr>
        <w:lastRenderedPageBreak/>
        <w:t>Immunostaining showing expression of FLAG-</w:t>
      </w:r>
      <w:r>
        <w:rPr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in appropriate cells </w:t>
      </w:r>
      <w:r w:rsidRPr="00CA5656">
        <w:rPr>
          <w:rFonts w:hint="eastAsia"/>
          <w:kern w:val="0"/>
          <w:szCs w:val="50"/>
        </w:rPr>
        <w:t xml:space="preserve">of </w:t>
      </w:r>
      <w:r w:rsidRPr="00CA5656">
        <w:rPr>
          <w:kern w:val="0"/>
          <w:szCs w:val="50"/>
        </w:rPr>
        <w:t>the testis. FLAG-</w:t>
      </w:r>
      <w:r>
        <w:rPr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in the testes of transgenic mice was detected with an anti-F</w:t>
      </w:r>
      <w:r w:rsidRPr="00CA5656">
        <w:rPr>
          <w:rFonts w:hint="eastAsia"/>
          <w:kern w:val="0"/>
          <w:szCs w:val="50"/>
        </w:rPr>
        <w:t>L</w:t>
      </w:r>
      <w:r w:rsidRPr="00CA5656">
        <w:rPr>
          <w:kern w:val="0"/>
          <w:szCs w:val="50"/>
        </w:rPr>
        <w:t xml:space="preserve">AG antibody and endogenous </w:t>
      </w:r>
      <w:r>
        <w:rPr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in the wildtype (WT) testes was detected with an anti-</w:t>
      </w:r>
      <w:r>
        <w:rPr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antibody. (</w:t>
      </w:r>
      <w:r w:rsidRPr="00CA5656">
        <w:rPr>
          <w:b/>
          <w:kern w:val="0"/>
          <w:szCs w:val="50"/>
        </w:rPr>
        <w:t>D</w:t>
      </w:r>
      <w:r w:rsidRPr="00CA5656">
        <w:rPr>
          <w:kern w:val="0"/>
          <w:szCs w:val="50"/>
        </w:rPr>
        <w:t>) Histological analysis showing</w:t>
      </w:r>
      <w:r w:rsidRPr="00CA5656">
        <w:rPr>
          <w:rFonts w:hint="eastAsia"/>
          <w:kern w:val="0"/>
          <w:szCs w:val="50"/>
        </w:rPr>
        <w:t xml:space="preserve"> </w:t>
      </w:r>
      <w:r w:rsidRPr="00CA5656">
        <w:rPr>
          <w:kern w:val="0"/>
          <w:szCs w:val="50"/>
        </w:rPr>
        <w:t xml:space="preserve">rescue of the </w:t>
      </w:r>
      <w:r>
        <w:rPr>
          <w:i/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knockout</w:t>
      </w:r>
      <w:r w:rsidRPr="00CA5656">
        <w:rPr>
          <w:i/>
          <w:kern w:val="0"/>
          <w:szCs w:val="50"/>
        </w:rPr>
        <w:t xml:space="preserve"> </w:t>
      </w:r>
      <w:r w:rsidRPr="00CA5656">
        <w:rPr>
          <w:kern w:val="0"/>
          <w:szCs w:val="50"/>
        </w:rPr>
        <w:t xml:space="preserve">phenotype by the </w:t>
      </w:r>
      <w:r w:rsidRPr="00CA5656">
        <w:rPr>
          <w:i/>
          <w:kern w:val="0"/>
          <w:szCs w:val="50"/>
        </w:rPr>
        <w:t>Flag-</w:t>
      </w:r>
      <w:r>
        <w:rPr>
          <w:i/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transgene. Sections from </w:t>
      </w:r>
      <w:r w:rsidRPr="00CA5656">
        <w:rPr>
          <w:rFonts w:hint="eastAsia"/>
          <w:kern w:val="0"/>
          <w:szCs w:val="50"/>
        </w:rPr>
        <w:t>5</w:t>
      </w:r>
      <w:r w:rsidRPr="00CA5656">
        <w:rPr>
          <w:kern w:val="0"/>
          <w:szCs w:val="50"/>
        </w:rPr>
        <w:t>-</w:t>
      </w:r>
      <w:r w:rsidRPr="00CA5656">
        <w:rPr>
          <w:rFonts w:hint="eastAsia"/>
          <w:kern w:val="0"/>
          <w:szCs w:val="50"/>
        </w:rPr>
        <w:t>week</w:t>
      </w:r>
      <w:r w:rsidRPr="00CA5656">
        <w:rPr>
          <w:kern w:val="0"/>
          <w:szCs w:val="50"/>
        </w:rPr>
        <w:t>-old</w:t>
      </w:r>
      <w:r w:rsidRPr="00CA5656">
        <w:rPr>
          <w:rFonts w:hint="eastAsia"/>
          <w:kern w:val="0"/>
          <w:szCs w:val="50"/>
        </w:rPr>
        <w:t xml:space="preserve"> testes </w:t>
      </w:r>
      <w:r w:rsidRPr="00CA5656">
        <w:rPr>
          <w:kern w:val="0"/>
          <w:szCs w:val="50"/>
        </w:rPr>
        <w:t xml:space="preserve">were stained with hematoxyline-eosine. The </w:t>
      </w:r>
      <w:r>
        <w:rPr>
          <w:i/>
          <w:kern w:val="0"/>
          <w:szCs w:val="50"/>
        </w:rPr>
        <w:t>Piwil2</w:t>
      </w:r>
      <w:r w:rsidRPr="00CA5656">
        <w:rPr>
          <w:kern w:val="0"/>
          <w:szCs w:val="50"/>
        </w:rPr>
        <w:t xml:space="preserve"> knockout testes </w:t>
      </w:r>
      <w:r w:rsidRPr="00CA5656">
        <w:rPr>
          <w:rFonts w:hint="eastAsia"/>
          <w:kern w:val="0"/>
          <w:szCs w:val="50"/>
        </w:rPr>
        <w:t xml:space="preserve">show </w:t>
      </w:r>
      <w:r w:rsidRPr="00CA5656">
        <w:rPr>
          <w:kern w:val="0"/>
          <w:szCs w:val="50"/>
        </w:rPr>
        <w:t>developmental arrest of germ cells at the pachytene stage but introduction of the transgene restored normal spermatogenesis.</w:t>
      </w:r>
    </w:p>
    <w:p w:rsidR="00175FA1" w:rsidRPr="00CA5656" w:rsidRDefault="00175FA1" w:rsidP="00175F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Cs w:val="50"/>
        </w:rPr>
      </w:pPr>
    </w:p>
    <w:p w:rsidR="008420E3" w:rsidRDefault="00175FA1" w:rsidP="00175FA1">
      <w:r w:rsidRPr="00CA5656">
        <w:rPr>
          <w:b/>
        </w:rPr>
        <w:t>Supplementary</w:t>
      </w:r>
      <w:r w:rsidRPr="00CA5656">
        <w:rPr>
          <w:rFonts w:hint="eastAsia"/>
          <w:b/>
        </w:rPr>
        <w:t xml:space="preserve"> F</w:t>
      </w:r>
      <w:r w:rsidRPr="00CA5656">
        <w:rPr>
          <w:b/>
        </w:rPr>
        <w:t>igure 7:</w:t>
      </w:r>
      <w:r w:rsidRPr="00CA5656">
        <w:t xml:space="preserve"> DNA methylation status of </w:t>
      </w:r>
      <w:r>
        <w:rPr>
          <w:i/>
        </w:rPr>
        <w:t>beta-geo</w:t>
      </w:r>
      <w:r w:rsidRPr="00CA5656">
        <w:t xml:space="preserve"> </w:t>
      </w:r>
      <w:r w:rsidRPr="00CA5656">
        <w:rPr>
          <w:kern w:val="0"/>
          <w:szCs w:val="50"/>
        </w:rPr>
        <w:t xml:space="preserve">in the wildtype and </w:t>
      </w:r>
      <w:r w:rsidRPr="00CA5656">
        <w:rPr>
          <w:i/>
        </w:rPr>
        <w:t>EGFP-</w:t>
      </w:r>
      <w:r>
        <w:rPr>
          <w:i/>
        </w:rPr>
        <w:t>neo</w:t>
      </w:r>
      <w:r w:rsidRPr="00CA5656">
        <w:rPr>
          <w:i/>
          <w:vertAlign w:val="superscript"/>
        </w:rPr>
        <w:t>+/–</w:t>
      </w:r>
      <w:r w:rsidRPr="00CA5656">
        <w:rPr>
          <w:kern w:val="0"/>
          <w:szCs w:val="50"/>
        </w:rPr>
        <w:t xml:space="preserve"> germ cells</w:t>
      </w:r>
      <w:r w:rsidRPr="00CA5656">
        <w:t>. DNA was isolated from FACS-sorted germ cells and analyzed by bisulfite sequencing. Open and filled circles represent unmethylated and methylated cytosines, respectively.</w:t>
      </w:r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A1"/>
    <w:rsid w:val="00175FA1"/>
    <w:rsid w:val="0027073C"/>
    <w:rsid w:val="008420E3"/>
    <w:rsid w:val="00B55501"/>
    <w:rsid w:val="00C14746"/>
    <w:rsid w:val="00C46265"/>
    <w:rsid w:val="00E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Macintosh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2012-12-04T14:38:00Z</dcterms:created>
  <dcterms:modified xsi:type="dcterms:W3CDTF">2012-12-04T14:38:00Z</dcterms:modified>
</cp:coreProperties>
</file>