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24" w:rsidRDefault="00D14824" w:rsidP="00D14824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Table S3. Summary of the filtration strategy used in patients in whom exome sequencing failed to identify a pathogenic mutation in any of the known RD genes.</w:t>
      </w:r>
    </w:p>
    <w:p w:rsidR="00D14824" w:rsidRDefault="00D14824" w:rsidP="00D14824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638"/>
        <w:gridCol w:w="841"/>
        <w:gridCol w:w="777"/>
        <w:gridCol w:w="1186"/>
        <w:gridCol w:w="625"/>
        <w:gridCol w:w="893"/>
        <w:gridCol w:w="572"/>
        <w:gridCol w:w="920"/>
        <w:gridCol w:w="862"/>
        <w:gridCol w:w="609"/>
        <w:gridCol w:w="3007"/>
        <w:gridCol w:w="783"/>
        <w:gridCol w:w="891"/>
      </w:tblGrid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Family ID</w:t>
            </w:r>
          </w:p>
        </w:tc>
        <w:tc>
          <w:tcPr>
            <w:tcW w:w="2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# affected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Phenotype</w:t>
            </w:r>
          </w:p>
        </w:tc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# genes sequenced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ROH</w:t>
            </w:r>
          </w:p>
        </w:tc>
        <w:tc>
          <w:tcPr>
            <w:tcW w:w="17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Filtration Strategy</w:t>
            </w:r>
          </w:p>
        </w:tc>
        <w:tc>
          <w:tcPr>
            <w:tcW w:w="1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 xml:space="preserve">mutation 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Prediction</w:t>
            </w:r>
          </w:p>
        </w:tc>
        <w:tc>
          <w:tcPr>
            <w:tcW w:w="3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Remarks</w:t>
            </w:r>
          </w:p>
        </w:tc>
      </w:tr>
      <w:tr w:rsidR="00D14824" w:rsidRPr="00F208C4" w:rsidTr="0009470E">
        <w:trPr>
          <w:trHeight w:val="420"/>
        </w:trPr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total  exome variants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Homozygous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 xml:space="preserve">Absent in dbSNP  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Coding /splicing (exclusion of synonymous)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 xml:space="preserve">Within the autozygome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Absent in EVS &amp; other Saudi exomes</w:t>
            </w:r>
          </w:p>
        </w:tc>
        <w:tc>
          <w:tcPr>
            <w:tcW w:w="1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sRP-001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 (1)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non-syndromic RP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Chr1: 1-109,850,000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80432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39037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1938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TNFRSF1B: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NM_001066: c.C680T: p.Thr227Met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4C0B47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EMC1</w:t>
            </w:r>
            <w:r w:rsidR="00D14824" w:rsidRPr="00F208C4">
              <w:rPr>
                <w:rFonts w:eastAsia="Times New Roman" w:cs="Calibri"/>
                <w:color w:val="000000"/>
                <w:sz w:val="12"/>
                <w:szCs w:val="12"/>
              </w:rPr>
              <w:t>:NM_015047: c.G430A: p.Ala144Thr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Pathogenic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Chr3: 1-52,900,000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DOCK7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:NM_033407: c.A4291G: p.Arg1431Gly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Chr17: 12,900,000-68,600,000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LGALS9B: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NM_001042685:c.6_7insTGGC:p.Ala2fs68*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Chr6: 2,500,000-87,000,000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KRTAP4-11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:NM_033059: c.A67T: p.Thr23Ser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sRP-022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 (1)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non-syndromic RP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Chr2:79,000,000-152,000,000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83826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34145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1569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MFSD9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:NM_032718: c.G61A:p.Glu21Lys,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Chr3: 69,000,000-100,000,000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PDZRN3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:NM_015009: c.T2705C:p.Leu902Pro,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Pathogenic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Found in Saudi controls  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Chr4: 5,000,000-25,000,000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GPR125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:NM_145290:exon17:c.C2504G:p.Ser835Cys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Pathogenic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sRP-004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 (1)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non-syndromic RP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Chr7: 134,000,000-139,000,000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97343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34247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1621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KIAAI54: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NM_001164665:c.2399_2400insAA: p.Thr800fs809*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Chr10: 15,000,000-17,500,000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Chr15: 41,000,000-43,000,000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sRP-017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 (1)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non-syndromic RP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Chr5: 48,000,000-67,000,000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84681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33646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1549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DHX29: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NM_019030: c.C2738T: p.Ala913Val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Chr2: 63,000,000-75,000,000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Chr6: 148,500,000-160,000,000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Chr17: 54,500,000-63,000,000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arRP-F017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non-syndromic RP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Chr6:0-90,000,000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82170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35716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1647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HIVEP1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:NM_002114: c.C5155G: p.Leu1719Val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Chr11:27,012,359-80,054,831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EXT2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:NM_001178083: c.C770G: p.Ser257Cys 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Pathogenic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Failed segregation test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OR4C16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NM_001004701: c.A106T: p.Thr36Ser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Pathogenic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olfactory receptor family of proteins are not uncommonly truncated in healthy people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DPP3: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NM_005700: c.C25T:p.Pro9Ser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Pathogenic 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Found in Saudi controls  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Chr14:84,500,000-93,268,050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UBR7: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NM_001100417: c.G238A: p.Val80Ile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Benign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00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arRP-F112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6 (3)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RP, alopecia, hearing loss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chr1:94,270,165-97,918,306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90010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35378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1536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KCNN3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: NM_002249: c.239_241del:p.80_81del                                                                                                        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No eye phenotype in KO mouse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chr4:3,579,139-4,907,387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HTT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 NM_002111:c.52_60del: p.18_20del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Mutated in Huntington disease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CR-F024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Cone-rod dystrophy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86076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36547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1748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C21orf2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:NM_004928.2: c.103delA: p.Ile35f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CRSPW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CRD, spastic paraparesis, white matter disease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Chr10: 19271829-27617789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81147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33609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1466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 xml:space="preserve">ACBD5 NM_145698.3 : </w:t>
            </w:r>
            <w:r w:rsidRPr="00F208C4">
              <w:rPr>
                <w:rFonts w:eastAsia="Times New Roman" w:cs="Calibri"/>
                <w:i/>
                <w:iCs/>
                <w:color w:val="000000"/>
                <w:sz w:val="12"/>
                <w:szCs w:val="12"/>
              </w:rPr>
              <w:t>c.1205+1G&gt;A, p.Gly402Aspfs5*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Absent in Saudi 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LCA-F037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LCA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Chr17: 3,745,860-7,201,753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81010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34498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SPNS3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:NM_182538: c.G833C:p.Gly278Ala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Benign 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LCA-F045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LCA with myopathy 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chr4:91,514,884-103,679,117 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79732</w:t>
            </w:r>
          </w:p>
        </w:tc>
        <w:tc>
          <w:tcPr>
            <w:tcW w:w="3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38998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1940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  <w:t>DTHD1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:NM_001136536:c.T2C:p.Met1?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Absent in Saudi </w:t>
            </w: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lastRenderedPageBreak/>
              <w:t>control</w:t>
            </w:r>
            <w:r>
              <w:rPr>
                <w:rFonts w:eastAsia="Times New Roman" w:cs="Calibri"/>
                <w:color w:val="000000"/>
                <w:sz w:val="12"/>
                <w:szCs w:val="12"/>
              </w:rPr>
              <w:t>s</w:t>
            </w: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chr9:121,650,489-124,282,782 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  <w:tr w:rsidR="00D14824" w:rsidRPr="00F208C4" w:rsidTr="0009470E">
        <w:trPr>
          <w:trHeight w:val="315"/>
        </w:trPr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</w:rPr>
            </w:pPr>
            <w:r w:rsidRPr="00F208C4">
              <w:rPr>
                <w:rFonts w:eastAsia="Times New Roman" w:cs="Calibri"/>
                <w:color w:val="000000"/>
                <w:sz w:val="12"/>
                <w:szCs w:val="12"/>
              </w:rPr>
              <w:t xml:space="preserve">chr19:8,106,521-10,092,510 </w:t>
            </w:r>
          </w:p>
        </w:tc>
        <w:tc>
          <w:tcPr>
            <w:tcW w:w="2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11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2"/>
                <w:szCs w:val="12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4824" w:rsidRPr="00F208C4" w:rsidRDefault="00D14824" w:rsidP="0009470E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</w:rPr>
            </w:pPr>
          </w:p>
        </w:tc>
      </w:tr>
    </w:tbl>
    <w:p w:rsidR="00207FD6" w:rsidRPr="00D14824" w:rsidRDefault="00207FD6" w:rsidP="00D14824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207FD6" w:rsidRPr="00D14824" w:rsidSect="00D1482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24"/>
    <w:rsid w:val="00107AF3"/>
    <w:rsid w:val="00207FD6"/>
    <w:rsid w:val="003E1BAE"/>
    <w:rsid w:val="004C0B47"/>
    <w:rsid w:val="00D1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Alkuraya</dc:creator>
  <cp:lastModifiedBy>Tara Kulesa</cp:lastModifiedBy>
  <cp:revision>2</cp:revision>
  <dcterms:created xsi:type="dcterms:W3CDTF">2012-11-15T18:20:00Z</dcterms:created>
  <dcterms:modified xsi:type="dcterms:W3CDTF">2012-11-15T18:20:00Z</dcterms:modified>
</cp:coreProperties>
</file>