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9E522" w14:textId="1F1F241F" w:rsidR="00B1434C" w:rsidRDefault="00B1434C" w:rsidP="00B1434C">
      <w:pPr>
        <w:pStyle w:val="Heading1"/>
        <w:jc w:val="both"/>
        <w:rPr>
          <w:lang w:val="en-US"/>
        </w:rPr>
      </w:pPr>
      <w:r>
        <w:t xml:space="preserve">Supplementary Material: </w:t>
      </w:r>
      <w:r w:rsidRPr="00197A29">
        <w:rPr>
          <w:lang w:val="en-US"/>
        </w:rPr>
        <w:t xml:space="preserve">Copy-number-aware </w:t>
      </w:r>
      <w:r>
        <w:rPr>
          <w:lang w:val="en-US"/>
        </w:rPr>
        <w:t>d</w:t>
      </w:r>
      <w:r w:rsidRPr="00197A29">
        <w:rPr>
          <w:lang w:val="en-US"/>
        </w:rPr>
        <w:t xml:space="preserve">ifferential analysis of </w:t>
      </w:r>
      <w:r w:rsidR="00A33ADE">
        <w:rPr>
          <w:lang w:val="en-US"/>
        </w:rPr>
        <w:t xml:space="preserve">quantitative </w:t>
      </w:r>
      <w:r w:rsidRPr="00197A29">
        <w:rPr>
          <w:lang w:val="en-US"/>
        </w:rPr>
        <w:t>DNA sequencing data</w:t>
      </w:r>
    </w:p>
    <w:p w14:paraId="6F6206D9" w14:textId="77777777" w:rsidR="008A4363" w:rsidRPr="008A4363" w:rsidRDefault="008A4363" w:rsidP="008A4363"/>
    <w:p w14:paraId="1AE81FD2" w14:textId="77777777" w:rsidR="00B1434C" w:rsidRPr="00197A29" w:rsidRDefault="00B1434C" w:rsidP="00B1434C">
      <w:pPr>
        <w:pStyle w:val="Heading3"/>
        <w:jc w:val="both"/>
        <w:rPr>
          <w:color w:val="000000"/>
          <w:lang w:val="en-AU"/>
        </w:rPr>
      </w:pPr>
      <w:r w:rsidRPr="00197A29">
        <w:t>Mark D</w:t>
      </w:r>
      <w:r>
        <w:t>.</w:t>
      </w:r>
      <w:r w:rsidRPr="00197A29">
        <w:t xml:space="preserve"> Robinson</w:t>
      </w:r>
      <w:r w:rsidRPr="00197A29">
        <w:rPr>
          <w:color w:val="000000"/>
          <w:vertAlign w:val="superscript"/>
          <w:lang w:val="en-AU"/>
        </w:rPr>
        <w:t>1,</w:t>
      </w:r>
      <w:r>
        <w:rPr>
          <w:color w:val="000000"/>
          <w:vertAlign w:val="superscript"/>
          <w:lang w:val="en-AU"/>
        </w:rPr>
        <w:t>2*</w:t>
      </w:r>
      <w:r w:rsidRPr="00197A29">
        <w:t>, Dario Strbenac</w:t>
      </w:r>
      <w:r>
        <w:rPr>
          <w:color w:val="000000"/>
          <w:vertAlign w:val="superscript"/>
          <w:lang w:val="en-AU"/>
        </w:rPr>
        <w:t>2</w:t>
      </w:r>
      <w:r w:rsidRPr="00197A29">
        <w:t>, Clare Stirzaker</w:t>
      </w:r>
      <w:r>
        <w:rPr>
          <w:color w:val="000000"/>
          <w:vertAlign w:val="superscript"/>
          <w:lang w:val="en-AU"/>
        </w:rPr>
        <w:t>2</w:t>
      </w:r>
      <w:r w:rsidRPr="00197A29">
        <w:rPr>
          <w:color w:val="000000"/>
          <w:vertAlign w:val="superscript"/>
          <w:lang w:val="en-AU"/>
        </w:rPr>
        <w:t>,</w:t>
      </w:r>
      <w:r>
        <w:rPr>
          <w:color w:val="000000"/>
          <w:vertAlign w:val="superscript"/>
          <w:lang w:val="en-AU"/>
        </w:rPr>
        <w:t>5</w:t>
      </w:r>
      <w:r w:rsidRPr="00197A29">
        <w:t>, Aaron L</w:t>
      </w:r>
      <w:r>
        <w:t>.</w:t>
      </w:r>
      <w:r w:rsidRPr="00197A29">
        <w:t xml:space="preserve"> Statham</w:t>
      </w:r>
      <w:r>
        <w:rPr>
          <w:color w:val="000000"/>
          <w:vertAlign w:val="superscript"/>
          <w:lang w:val="en-AU"/>
        </w:rPr>
        <w:t>2</w:t>
      </w:r>
      <w:r w:rsidRPr="00197A29">
        <w:t>, Jenny Song</w:t>
      </w:r>
      <w:r>
        <w:rPr>
          <w:color w:val="000000"/>
          <w:vertAlign w:val="superscript"/>
          <w:lang w:val="en-AU"/>
        </w:rPr>
        <w:t>2</w:t>
      </w:r>
      <w:r w:rsidRPr="00197A29">
        <w:t>, Terence P</w:t>
      </w:r>
      <w:r>
        <w:t>.</w:t>
      </w:r>
      <w:r w:rsidRPr="00197A29">
        <w:t xml:space="preserve"> Speed</w:t>
      </w:r>
      <w:r>
        <w:rPr>
          <w:color w:val="000000"/>
          <w:vertAlign w:val="superscript"/>
          <w:lang w:val="en-AU"/>
        </w:rPr>
        <w:t>3</w:t>
      </w:r>
      <w:r w:rsidRPr="00197A29">
        <w:rPr>
          <w:color w:val="000000"/>
          <w:vertAlign w:val="superscript"/>
          <w:lang w:val="en-AU"/>
        </w:rPr>
        <w:t>,</w:t>
      </w:r>
      <w:r>
        <w:rPr>
          <w:color w:val="000000"/>
          <w:vertAlign w:val="superscript"/>
          <w:lang w:val="en-AU"/>
        </w:rPr>
        <w:t>4</w:t>
      </w:r>
      <w:r w:rsidRPr="00197A29">
        <w:t>, Susan J</w:t>
      </w:r>
      <w:r>
        <w:t>.</w:t>
      </w:r>
      <w:r w:rsidRPr="00197A29">
        <w:t xml:space="preserve"> Clark</w:t>
      </w:r>
      <w:r>
        <w:rPr>
          <w:color w:val="000000"/>
          <w:vertAlign w:val="superscript"/>
          <w:lang w:val="en-AU"/>
        </w:rPr>
        <w:t>2,5</w:t>
      </w:r>
    </w:p>
    <w:p w14:paraId="5619864B" w14:textId="77777777" w:rsidR="00B1434C" w:rsidRDefault="00B1434C" w:rsidP="00B1434C">
      <w:pPr>
        <w:pStyle w:val="Heading3"/>
        <w:jc w:val="both"/>
        <w:rPr>
          <w:color w:val="000000"/>
          <w:vertAlign w:val="superscript"/>
          <w:lang w:val="en-AU"/>
        </w:rPr>
      </w:pPr>
    </w:p>
    <w:p w14:paraId="2C41BE45" w14:textId="77777777" w:rsidR="00B1434C" w:rsidRPr="00285152" w:rsidRDefault="00B1434C" w:rsidP="00B1434C">
      <w:r w:rsidRPr="00197A29">
        <w:rPr>
          <w:vertAlign w:val="superscript"/>
          <w:lang w:val="en-AU"/>
        </w:rPr>
        <w:t>1</w:t>
      </w:r>
      <w:r w:rsidRPr="00197A29">
        <w:rPr>
          <w:lang w:val="en-US"/>
        </w:rPr>
        <w:t>Institute of Molecular Life Sciences, University of Zurich, Winterthurerstrasse 190 CH-8057 Zurich, Switzerland</w:t>
      </w:r>
    </w:p>
    <w:p w14:paraId="712D1A6E" w14:textId="77777777" w:rsidR="00B1434C" w:rsidRPr="00197A29" w:rsidRDefault="00B1434C" w:rsidP="00B1434C">
      <w:pPr>
        <w:jc w:val="both"/>
        <w:rPr>
          <w:lang w:val="en-AU"/>
        </w:rPr>
      </w:pPr>
      <w:r>
        <w:rPr>
          <w:vertAlign w:val="superscript"/>
          <w:lang w:val="en-AU"/>
        </w:rPr>
        <w:t>2</w:t>
      </w:r>
      <w:r w:rsidRPr="00197A29">
        <w:rPr>
          <w:lang w:val="en-AU"/>
        </w:rPr>
        <w:t>Epigenetics Laboratory, Cancer Research Program, Garvan Institute of Medical Research, Sydney 2010, New South Wales, Australia</w:t>
      </w:r>
    </w:p>
    <w:p w14:paraId="6A5BE518" w14:textId="77777777" w:rsidR="00B1434C" w:rsidRPr="00197A29" w:rsidRDefault="00B1434C" w:rsidP="00B1434C">
      <w:pPr>
        <w:jc w:val="both"/>
        <w:rPr>
          <w:lang w:val="en-AU"/>
        </w:rPr>
      </w:pPr>
      <w:r>
        <w:rPr>
          <w:vertAlign w:val="superscript"/>
          <w:lang w:val="en-AU"/>
        </w:rPr>
        <w:t>3</w:t>
      </w:r>
      <w:r w:rsidRPr="00197A29">
        <w:rPr>
          <w:lang w:val="en-US"/>
        </w:rPr>
        <w:t>Bioinformatics Division, Walter and Eliza Hall Institute of Medical Research</w:t>
      </w:r>
      <w:r w:rsidRPr="00197A29">
        <w:rPr>
          <w:lang w:val="en-AU"/>
        </w:rPr>
        <w:t>, Parkville, Melbourne 3052, Victoria, Australia</w:t>
      </w:r>
    </w:p>
    <w:p w14:paraId="6270C2BA" w14:textId="77777777" w:rsidR="00B1434C" w:rsidRPr="00197A29" w:rsidRDefault="00B1434C" w:rsidP="00B1434C">
      <w:pPr>
        <w:jc w:val="both"/>
        <w:rPr>
          <w:lang w:val="en-AU"/>
        </w:rPr>
      </w:pPr>
      <w:r>
        <w:rPr>
          <w:vertAlign w:val="superscript"/>
          <w:lang w:val="en-AU"/>
        </w:rPr>
        <w:t>4</w:t>
      </w:r>
      <w:r w:rsidRPr="00197A29">
        <w:rPr>
          <w:lang w:val="en-US"/>
        </w:rPr>
        <w:t>Department of Medical Biology, University of Melbourne</w:t>
      </w:r>
      <w:r w:rsidRPr="00197A29">
        <w:rPr>
          <w:lang w:val="en-AU"/>
        </w:rPr>
        <w:t>, 3050, Victoria, Australia</w:t>
      </w:r>
    </w:p>
    <w:p w14:paraId="1AEB40D3" w14:textId="77777777" w:rsidR="00B1434C" w:rsidRPr="00197A29" w:rsidRDefault="00B1434C" w:rsidP="00B1434C">
      <w:pPr>
        <w:jc w:val="both"/>
      </w:pPr>
      <w:r>
        <w:rPr>
          <w:vertAlign w:val="superscript"/>
          <w:lang w:val="en-AU"/>
        </w:rPr>
        <w:t>5</w:t>
      </w:r>
      <w:r w:rsidRPr="00197A29">
        <w:rPr>
          <w:lang w:val="en-US"/>
        </w:rPr>
        <w:t>St Vincent's Clinical School, University of NSW, Sydney, NSW, Australia</w:t>
      </w:r>
    </w:p>
    <w:p w14:paraId="63726E86" w14:textId="28A71050" w:rsidR="00A33ADE" w:rsidRDefault="00B1434C" w:rsidP="00961C4F">
      <w:pPr>
        <w:jc w:val="both"/>
      </w:pPr>
      <w:r w:rsidRPr="00197A29">
        <w:rPr>
          <w:vertAlign w:val="superscript"/>
        </w:rPr>
        <w:t>*</w:t>
      </w:r>
      <w:r w:rsidRPr="00197A29">
        <w:t>Corresponding author</w:t>
      </w:r>
    </w:p>
    <w:p w14:paraId="7B55B2A3" w14:textId="3131FB07" w:rsidR="00341890" w:rsidRDefault="00A33ADE" w:rsidP="003E317A">
      <w:pPr>
        <w:spacing w:line="360" w:lineRule="auto"/>
      </w:pPr>
      <w:r>
        <w:br w:type="page"/>
      </w:r>
      <w:r w:rsidR="00341890">
        <w:rPr>
          <w:noProof/>
          <w:lang w:val="en-US"/>
        </w:rPr>
        <w:lastRenderedPageBreak/>
        <w:drawing>
          <wp:anchor distT="0" distB="0" distL="114300" distR="114300" simplePos="0" relativeHeight="251663360" behindDoc="0" locked="0" layoutInCell="1" allowOverlap="1" wp14:anchorId="24F65309" wp14:editId="47F15D16">
            <wp:simplePos x="0" y="0"/>
            <wp:positionH relativeFrom="column">
              <wp:posOffset>0</wp:posOffset>
            </wp:positionH>
            <wp:positionV relativeFrom="paragraph">
              <wp:posOffset>0</wp:posOffset>
            </wp:positionV>
            <wp:extent cx="4311650" cy="4311650"/>
            <wp:effectExtent l="0" t="0" r="0" b="0"/>
            <wp:wrapSquare wrapText="bothSides"/>
            <wp:docPr id="8" name="Picture 8" descr="iMac-MarkR:Users:mark:projects:cn_paper:ABCD-DNA_Supplement_RCode_Data:Figures:Supplementary_Figure_1_cndistr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MarkR:Users:mark:projects:cn_paper:ABCD-DNA_Supplement_RCode_Data:Figures:Supplementary_Figure_1_cndistro.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1650" cy="431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890" w:rsidRPr="00341890">
        <w:rPr>
          <w:b/>
        </w:rPr>
        <w:t>Supplementary Figure 1</w:t>
      </w:r>
      <w:r w:rsidR="00341890" w:rsidRPr="00197A29">
        <w:t xml:space="preserve"> – </w:t>
      </w:r>
      <w:r w:rsidR="003E317A">
        <w:t>Genome-wide s</w:t>
      </w:r>
      <w:r w:rsidR="00341890">
        <w:t xml:space="preserve">ummary of the PICNIC estimates from LNCaP </w:t>
      </w:r>
      <w:r w:rsidR="003E317A">
        <w:t>Affymetrix SNP 6.0 array</w:t>
      </w:r>
      <w:r w:rsidR="00341890">
        <w:t xml:space="preserve"> data.  Clearly, 4 copies is the most prominent state</w:t>
      </w:r>
      <w:r w:rsidR="008F709B">
        <w:t xml:space="preserve"> (~65% of the genome)</w:t>
      </w:r>
      <w:r w:rsidR="00341890">
        <w:t xml:space="preserve"> and is therefore used for the normalization</w:t>
      </w:r>
      <w:r w:rsidR="00BE0351">
        <w:t xml:space="preserve"> factor estimation</w:t>
      </w:r>
      <w:r w:rsidR="00341890">
        <w:t>.</w:t>
      </w:r>
    </w:p>
    <w:p w14:paraId="28C3AEF1" w14:textId="77777777" w:rsidR="00341890" w:rsidRDefault="00341890">
      <w:pPr>
        <w:spacing w:line="240" w:lineRule="auto"/>
      </w:pPr>
      <w:r>
        <w:br w:type="page"/>
      </w:r>
    </w:p>
    <w:p w14:paraId="64FE46B5" w14:textId="77777777" w:rsidR="00A33ADE" w:rsidRDefault="00A33ADE">
      <w:pPr>
        <w:spacing w:line="240" w:lineRule="auto"/>
      </w:pPr>
    </w:p>
    <w:p w14:paraId="3CBA7177" w14:textId="42A627E7" w:rsidR="00B1434C" w:rsidRPr="00197A29" w:rsidRDefault="00A1017E" w:rsidP="00B1434C">
      <w:pPr>
        <w:spacing w:line="360" w:lineRule="auto"/>
        <w:jc w:val="both"/>
      </w:pPr>
      <w:r>
        <w:rPr>
          <w:noProof/>
          <w:lang w:val="en-US"/>
        </w:rPr>
        <w:drawing>
          <wp:inline distT="0" distB="0" distL="0" distR="0" wp14:anchorId="61D086F1" wp14:editId="20FA53B9">
            <wp:extent cx="7354145" cy="3677073"/>
            <wp:effectExtent l="0" t="0" r="12065" b="6350"/>
            <wp:docPr id="1" name="Picture 1" descr="mark:projects:cn_paper:Additional_file_2_gDNA_seq_coloured_by_PICNIC_estim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projects:cn_paper:Additional_file_2_gDNA_seq_coloured_by_PICNIC_estimate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4710" cy="3677355"/>
                    </a:xfrm>
                    <a:prstGeom prst="rect">
                      <a:avLst/>
                    </a:prstGeom>
                    <a:noFill/>
                    <a:ln>
                      <a:noFill/>
                    </a:ln>
                  </pic:spPr>
                </pic:pic>
              </a:graphicData>
            </a:graphic>
          </wp:inline>
        </w:drawing>
      </w:r>
    </w:p>
    <w:p w14:paraId="78D9C4B5" w14:textId="77777777" w:rsidR="00A1017E" w:rsidRDefault="00A1017E" w:rsidP="00B1434C">
      <w:pPr>
        <w:pStyle w:val="Heading3"/>
        <w:spacing w:line="360" w:lineRule="auto"/>
        <w:jc w:val="both"/>
      </w:pPr>
    </w:p>
    <w:p w14:paraId="5338A24D" w14:textId="796870FA" w:rsidR="00A1017E" w:rsidRDefault="00A1017E" w:rsidP="00A1017E">
      <w:pPr>
        <w:pStyle w:val="Heading3"/>
        <w:spacing w:line="360" w:lineRule="auto"/>
        <w:jc w:val="both"/>
        <w:rPr>
          <w:b w:val="0"/>
        </w:rPr>
      </w:pPr>
      <w:r>
        <w:t>Supplementary Figure</w:t>
      </w:r>
      <w:r w:rsidRPr="00197A29">
        <w:t xml:space="preserve"> </w:t>
      </w:r>
      <w:r w:rsidR="00A33ADE">
        <w:t>2</w:t>
      </w:r>
      <w:r w:rsidRPr="00197A29">
        <w:t xml:space="preserve"> – </w:t>
      </w:r>
      <w:r>
        <w:t>High concordance in CNV estimates between Affymetrix SNP 6.0 arrays and gDNA-seq read densities.</w:t>
      </w:r>
      <w:r>
        <w:rPr>
          <w:b w:val="0"/>
        </w:rPr>
        <w:t xml:space="preserve">  The top panels show raw read densities (normalized to median and multiplied by 2 and 4, respectively for PrEC and LNCaP), coloured according to the inferred copy estimate from Affymetrix SNP 6.0 arrays (PICNIC algorithm; black-1 copy, red-2 copies, green-3 copies, blue-4 copies, cyan-5 copies).  The bottom panel shows read densities after GC content and mappability correction (See Methods); these values are segmented and used as CNV offsets in ABCD-DNA.</w:t>
      </w:r>
    </w:p>
    <w:p w14:paraId="3EB73DBD" w14:textId="16C8465E" w:rsidR="00A1017E" w:rsidRDefault="00A1017E">
      <w:pPr>
        <w:spacing w:line="240" w:lineRule="auto"/>
        <w:rPr>
          <w:b/>
          <w:bCs/>
        </w:rPr>
      </w:pPr>
      <w:r>
        <w:br w:type="page"/>
      </w:r>
    </w:p>
    <w:p w14:paraId="1C403B4C" w14:textId="28D0B042" w:rsidR="00A1017E" w:rsidRDefault="005E41C9" w:rsidP="00B1434C">
      <w:pPr>
        <w:pStyle w:val="Heading3"/>
        <w:spacing w:line="360" w:lineRule="auto"/>
        <w:jc w:val="both"/>
      </w:pPr>
      <w:r>
        <w:rPr>
          <w:noProof/>
          <w:lang w:val="en-US"/>
        </w:rPr>
        <w:drawing>
          <wp:inline distT="0" distB="0" distL="0" distR="0" wp14:anchorId="5633A52B" wp14:editId="5E9695DF">
            <wp:extent cx="7789968" cy="4680574"/>
            <wp:effectExtent l="0" t="0" r="8255" b="0"/>
            <wp:docPr id="2" name="Picture 2" descr="mark:projects:cn_paper:Additional_file_3_smear_by_CN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projects:cn_paper:Additional_file_3_smear_by_CNV.pdf"/>
                    <pic:cNvPicPr>
                      <a:picLocks noChangeAspect="1" noChangeArrowheads="1"/>
                    </pic:cNvPicPr>
                  </pic:nvPicPr>
                  <pic:blipFill rotWithShape="1">
                    <a:blip r:embed="rId7">
                      <a:extLst>
                        <a:ext uri="{28A0092B-C50C-407E-A947-70E740481C1C}">
                          <a14:useLocalDpi xmlns:a14="http://schemas.microsoft.com/office/drawing/2010/main" val="0"/>
                        </a:ext>
                      </a:extLst>
                    </a:blip>
                    <a:srcRect t="7368" b="14883"/>
                    <a:stretch/>
                  </pic:blipFill>
                  <pic:spPr bwMode="auto">
                    <a:xfrm>
                      <a:off x="0" y="0"/>
                      <a:ext cx="7793706" cy="4682820"/>
                    </a:xfrm>
                    <a:prstGeom prst="rect">
                      <a:avLst/>
                    </a:prstGeom>
                    <a:noFill/>
                    <a:ln>
                      <a:noFill/>
                    </a:ln>
                    <a:extLst>
                      <a:ext uri="{53640926-AAD7-44d8-BBD7-CCE9431645EC}">
                        <a14:shadowObscured xmlns:a14="http://schemas.microsoft.com/office/drawing/2010/main"/>
                      </a:ext>
                    </a:extLst>
                  </pic:spPr>
                </pic:pic>
              </a:graphicData>
            </a:graphic>
          </wp:inline>
        </w:drawing>
      </w:r>
    </w:p>
    <w:p w14:paraId="579FB925" w14:textId="43C4DE4C" w:rsidR="00B1434C" w:rsidRPr="00197A29" w:rsidRDefault="003F73F7" w:rsidP="00B1434C">
      <w:pPr>
        <w:pStyle w:val="Heading3"/>
        <w:spacing w:line="360" w:lineRule="auto"/>
        <w:jc w:val="both"/>
      </w:pPr>
      <w:r>
        <w:t>Supplementary Figure</w:t>
      </w:r>
      <w:r w:rsidR="00B1434C" w:rsidRPr="00197A29">
        <w:t xml:space="preserve"> </w:t>
      </w:r>
      <w:r w:rsidR="00A33ADE">
        <w:t>3</w:t>
      </w:r>
      <w:r w:rsidR="00B1434C" w:rsidRPr="00197A29">
        <w:t xml:space="preserve"> – </w:t>
      </w:r>
      <w:r w:rsidR="00B1434C">
        <w:t>M versus A “smear plots” for various DNA-seq datasets, stratified by CNV state between LNCaP and PrEC cells.</w:t>
      </w:r>
      <w:r w:rsidR="00B1434C">
        <w:rPr>
          <w:b w:val="0"/>
        </w:rPr>
        <w:t xml:space="preserve">  M (depth-normalized log-fold-change) versus A (depth-normalized average-log-count) plots for MBDCap-seq (a), H3K27me3-seq (b) and H3K4me3-seq (c).  Blue lines are a suitably-chosen percentile of A values and red lines represent median M values for points to the right of the blue line.  One can notice a consistent increase in the center of the M values, according to CNV state.  The scaling factors</w:t>
      </w:r>
      <w:r w:rsidR="00E40DA3">
        <w:rPr>
          <w:b w:val="0"/>
        </w:rPr>
        <w:t xml:space="preserve"> (red horizontal lines)</w:t>
      </w:r>
      <w:r w:rsidR="00616B38">
        <w:rPr>
          <w:b w:val="0"/>
        </w:rPr>
        <w:t>, which</w:t>
      </w:r>
      <w:r w:rsidR="00B1434C">
        <w:rPr>
          <w:b w:val="0"/>
        </w:rPr>
        <w:t xml:space="preserve"> are summarized in </w:t>
      </w:r>
      <w:r w:rsidR="00B1434C" w:rsidRPr="00276D3E">
        <w:t>Figure 2</w:t>
      </w:r>
      <w:r w:rsidR="00616B38">
        <w:rPr>
          <w:b w:val="0"/>
        </w:rPr>
        <w:t xml:space="preserve">, are used here for illustration purposes </w:t>
      </w:r>
      <w:r w:rsidR="00E40DA3">
        <w:rPr>
          <w:b w:val="0"/>
        </w:rPr>
        <w:t xml:space="preserve">only </w:t>
      </w:r>
      <w:bookmarkStart w:id="0" w:name="_GoBack"/>
      <w:bookmarkEnd w:id="0"/>
      <w:r w:rsidR="00616B38">
        <w:rPr>
          <w:b w:val="0"/>
        </w:rPr>
        <w:t>and not in the ABCD-DNA method itself</w:t>
      </w:r>
      <w:r w:rsidR="00B1434C">
        <w:rPr>
          <w:b w:val="0"/>
        </w:rPr>
        <w:t>.</w:t>
      </w:r>
    </w:p>
    <w:p w14:paraId="3FCE4208" w14:textId="4619D29D" w:rsidR="00B1434C" w:rsidRPr="00197A29" w:rsidRDefault="005E41C9" w:rsidP="005E41C9">
      <w:pPr>
        <w:spacing w:line="240" w:lineRule="auto"/>
      </w:pPr>
      <w:r>
        <w:br w:type="page"/>
      </w:r>
      <w:r>
        <w:rPr>
          <w:noProof/>
          <w:lang w:val="en-US"/>
        </w:rPr>
        <w:drawing>
          <wp:inline distT="0" distB="0" distL="0" distR="0" wp14:anchorId="1FD7C02B" wp14:editId="7184B4F1">
            <wp:extent cx="9047268" cy="3015756"/>
            <wp:effectExtent l="0" t="0" r="0" b="6985"/>
            <wp:docPr id="3" name="Picture 3" descr="mark:projects:cn_paper:Additional_file_4_normalize_by_cpgd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projects:cn_paper:Additional_file_4_normalize_by_cpgden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7268" cy="3015756"/>
                    </a:xfrm>
                    <a:prstGeom prst="rect">
                      <a:avLst/>
                    </a:prstGeom>
                    <a:noFill/>
                    <a:ln>
                      <a:noFill/>
                    </a:ln>
                  </pic:spPr>
                </pic:pic>
              </a:graphicData>
            </a:graphic>
          </wp:inline>
        </w:drawing>
      </w:r>
    </w:p>
    <w:p w14:paraId="6ECC5F45" w14:textId="3D9CE19B" w:rsidR="00B1434C" w:rsidRPr="00197A29" w:rsidRDefault="003F73F7" w:rsidP="00B1434C">
      <w:pPr>
        <w:pStyle w:val="Heading3"/>
        <w:spacing w:line="360" w:lineRule="auto"/>
        <w:jc w:val="both"/>
      </w:pPr>
      <w:r>
        <w:t>Supplementary Figure</w:t>
      </w:r>
      <w:r w:rsidR="00B1434C" w:rsidRPr="00197A29">
        <w:t xml:space="preserve"> </w:t>
      </w:r>
      <w:r w:rsidR="00A33ADE">
        <w:t>4</w:t>
      </w:r>
      <w:r w:rsidR="00B1434C" w:rsidRPr="00197A29">
        <w:t xml:space="preserve"> – </w:t>
      </w:r>
      <w:r w:rsidR="00B1434C">
        <w:t>Smear plots of normalized MBDCap-seq (after estimation of scaling factors), stratified by CpG density.</w:t>
      </w:r>
      <w:r w:rsidR="00B1434C">
        <w:rPr>
          <w:b w:val="0"/>
        </w:rPr>
        <w:t xml:space="preserve"> CpG density is calculated for all copy-number-neutral regions.  Regions are split into 3 equally-sized categories (low, medium, high).  Red, black and orange polygons (red, black and orange numbers representing percentage of points, respectively) highlight the asymmetry in DNA methylation changes; yet, the center of the M values asymptotes at 0.</w:t>
      </w:r>
    </w:p>
    <w:p w14:paraId="316FC00C" w14:textId="64E48AAA" w:rsidR="005E41C9" w:rsidRDefault="005E41C9">
      <w:pPr>
        <w:spacing w:line="240" w:lineRule="auto"/>
      </w:pPr>
      <w:r>
        <w:br w:type="page"/>
      </w:r>
    </w:p>
    <w:p w14:paraId="2EA888EE" w14:textId="53648A4A" w:rsidR="00B1434C" w:rsidRDefault="00D72B2D" w:rsidP="00B1434C">
      <w:pPr>
        <w:spacing w:line="360" w:lineRule="auto"/>
        <w:jc w:val="both"/>
      </w:pPr>
      <w:r>
        <w:rPr>
          <w:b/>
          <w:noProof/>
          <w:lang w:val="en-US"/>
        </w:rPr>
        <w:drawing>
          <wp:anchor distT="0" distB="0" distL="114300" distR="114300" simplePos="0" relativeHeight="251659264" behindDoc="0" locked="0" layoutInCell="1" allowOverlap="1" wp14:anchorId="3D59D8CD" wp14:editId="1E596846">
            <wp:simplePos x="0" y="0"/>
            <wp:positionH relativeFrom="column">
              <wp:posOffset>4474845</wp:posOffset>
            </wp:positionH>
            <wp:positionV relativeFrom="paragraph">
              <wp:posOffset>-31750</wp:posOffset>
            </wp:positionV>
            <wp:extent cx="4114800" cy="4114800"/>
            <wp:effectExtent l="0" t="0" r="0" b="0"/>
            <wp:wrapSquare wrapText="bothSides"/>
            <wp:docPr id="5" name="Picture 5" descr="mark:projects:cn_paper:Additional_file_1_inputs_at_ruikes_hyper_hyp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projects:cn_paper:Additional_file_1_inputs_at_ruikes_hyper_hypo.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1C9">
        <w:rPr>
          <w:b/>
          <w:noProof/>
          <w:lang w:val="en-US"/>
        </w:rPr>
        <w:drawing>
          <wp:anchor distT="0" distB="0" distL="114300" distR="114300" simplePos="0" relativeHeight="251658240" behindDoc="0" locked="0" layoutInCell="1" allowOverlap="1" wp14:anchorId="48731781" wp14:editId="4847D829">
            <wp:simplePos x="0" y="0"/>
            <wp:positionH relativeFrom="column">
              <wp:posOffset>0</wp:posOffset>
            </wp:positionH>
            <wp:positionV relativeFrom="paragraph">
              <wp:posOffset>148590</wp:posOffset>
            </wp:positionV>
            <wp:extent cx="3820160" cy="3820160"/>
            <wp:effectExtent l="0" t="0" r="0" b="0"/>
            <wp:wrapSquare wrapText="bothSides"/>
            <wp:docPr id="4" name="Picture 4" descr="mark:projects:cn_paper:Additional_file_1_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projects:cn_paper:Additional_file_1_fig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0160" cy="382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74814" w14:textId="634CF207" w:rsidR="00B1434C" w:rsidRDefault="003F73F7" w:rsidP="00B1434C">
      <w:pPr>
        <w:pStyle w:val="Heading3"/>
        <w:spacing w:line="360" w:lineRule="auto"/>
        <w:jc w:val="both"/>
      </w:pPr>
      <w:r>
        <w:t>Supplementary Figure</w:t>
      </w:r>
      <w:r w:rsidR="00B1434C" w:rsidRPr="00197A29">
        <w:t xml:space="preserve"> </w:t>
      </w:r>
      <w:r w:rsidR="00A33ADE">
        <w:t>5</w:t>
      </w:r>
      <w:r w:rsidR="00B1434C" w:rsidRPr="00197A29">
        <w:t xml:space="preserve"> – </w:t>
      </w:r>
      <w:r w:rsidR="00B1434C">
        <w:t xml:space="preserve">Association between CNV and differential </w:t>
      </w:r>
      <w:r w:rsidR="00B1434C" w:rsidRPr="00197A29">
        <w:t>peak detection</w:t>
      </w:r>
      <w:r w:rsidR="00B1434C">
        <w:t xml:space="preserve"> rates</w:t>
      </w:r>
      <w:r w:rsidR="00B1434C" w:rsidRPr="00197A29">
        <w:t xml:space="preserve"> for </w:t>
      </w:r>
      <w:r w:rsidR="00B1434C">
        <w:t xml:space="preserve">Kim et al. </w:t>
      </w:r>
      <w:r w:rsidR="00B1434C">
        <w:fldChar w:fldCharType="begin"/>
      </w:r>
      <w:r w:rsidR="00B1434C">
        <w:instrText>ADDIN Mendeley Citation{37275dce-2b61-4c51-9747-65f6b4af241a} CSL_CITATION  { "citationItems" : [ { "id" : "ITEM-1", "itemData" : { "DOI" : "10.1101/gr.119347.110", "abstract" : "Beginning with precursor lesions, aberrant DNA methylation marks the entire spectrum of prostate cancer progression. We mapped the global DNA methylation patterns in select prostate tissues and cell lines using MethylPlex-next-generation sequencing (M-NGS). Hidden Markov model-based next-generation sequence analysis identified \u223c68,000 methylated regions per sample. While global CpG island (CGI) methylation was not differential between benign adjacent and cancer samples, overall promoter CGI methylation significantly increased from \u223c12.6% in benign samples to 19.3% and 21.8% in localized and metastatic cancer tissues, respectively (P-value \u003c 2 \u00d7 10(-16)). We found distinct patterns of promoter methylation around transcription start sites, where methylation occurred not only on the CGIs, but also on flanking regions and CGI sparse promoters. Among the 6691 methylated promoters in prostate tissues, 2481 differentially methylated regions (DMRs) are cancer-specific, including numerous novel DMRs. A novel cancer-specific DMR in the WFDC2 promoter showed frequent methylation in cancer (17/22 tissues, 6/6 cell lines), but not in the benign tissues (0/10) and normal PrEC cells. Integration of LNCaP DNA methylation and H3K4me3 data suggested an epigenetic mechanism for alternate transcription start site utilization, and these modifications segregated into distinct regions when present on the same promoter. Finally, we observed differences in repeat element methylation, particularly LINE-1, between ERG gene fusion-positive and -negative cancers, and we confirmed this observation using pyrosequencing on a tissue panel. This comprehensive methylome map will further our understanding of epigenetic regulation in prostate cancer progression.", "author" : [ { "family" : "Kim", "given" : "Jung H" }, { "family" : "Dhanasekaran", "given" : "Saravana M" }, { "family" : "Prensner", "given" : "John R" }, { "family" : "Cao", "given" : "Xuhong" }, { "family" : "Robinson", "given" : "Daniel" }, { "family" : "Kalyana-Sundaram", "given" : "Shanker" }, { "family" : "Huang", "given" : "Christina" }, { "family" : "Shankar", "given" : "Sunita" }, { "family" : "Jing", "given" : "Xiaojun" }, { "family" : "Iyer", "given" : "Matthew" }, { "family" : "Hu", "given" : "Ming" }, { "family" : "Sam", "given" : "Lee" }, { "family" : "Grasso", "given" : "Catherine" }, { "family" : "Maher", "given" : "Christopher A" }, { "family" : "Palanisamy", "given" : "Nallasivam" }, { "family" : "Mehra", "given" : "Rohit" }, { "family" : "Kominsky", "given" : "Hal D" }, { "family" : "Siddiqui", "given" : "Javed" }, { "family" : "Yu", "given" : "Jindan" }, { "family" : "Qin", "given" : "Zhaohui S" }, { "family" : "Chinnaiyan", "given" : "Arul M" } ], "container-title" : "Genome research", "id" : "ITEM-1", "issue" : "7", "issued" : { "date-parts" : [ [ "2011", "7" ] ] }, "note" : "\u003cm:note/\u003e", "page" : "1028-41", "title" : "Deep sequencing reveals distinct patterns of DNA methylation in prostate cancer.", "type" : "article-journal", "volume" : "21" }, "uris" : [ "http://www.mendeley.com/documents/?uuid=37275dce-2b61-4c51-9747-65f6b4af241a" ] } ], "mendeley" : { "previouslyFormattedCitation" : "(Jung H Kim et al. 2011)" }, "properties" : { "noteIndex" : 0 }, "schema" : "https://github.com/citation-style-language/schema/raw/master/csl-citation.json" }</w:instrText>
      </w:r>
      <w:r w:rsidR="00B1434C">
        <w:fldChar w:fldCharType="separate"/>
      </w:r>
      <w:r w:rsidR="00B1434C" w:rsidRPr="00D75617">
        <w:rPr>
          <w:b w:val="0"/>
          <w:noProof/>
        </w:rPr>
        <w:t>(Jung H Kim et al. 2011)</w:t>
      </w:r>
      <w:r w:rsidR="00B1434C">
        <w:fldChar w:fldCharType="end"/>
      </w:r>
      <w:r w:rsidR="00B1434C">
        <w:t xml:space="preserve"> and Ruike et al. </w:t>
      </w:r>
      <w:r w:rsidR="00B1434C">
        <w:fldChar w:fldCharType="begin"/>
      </w:r>
      <w:r w:rsidR="00B1434C">
        <w:instrText>ADDIN Mendeley Citation{1cb669de-77d9-4948-a568-a10646b59340} CSL_CITATION  { "citationItems" : [ { "id" : "ITEM-1", "itemData" : { "author" : [ { "family" : "Ruike", "given" : "Yoshinao" }, { "family" : "Imanaka", "given" : "Yukako" }, { "family" : "Sato", "given" : "Fumiaki" }, { "family" : "Shimizu", "given" : "Kazuharu" }, { "family" : "Tsujimoto", "given" : "Gozoh" } ], "container-title" : "BMC genomics", "id" : "ITEM-1", "issue" : "1", "issued" : { "date-parts" : [ [ "2010" ] ] }, "note" : "\u003cm:note/\u003e", "page" : "137", "publisher" : "BioMed Central Ltd", "title" : "Genome-wide analysis of aberrant methylation in human breast cancer cells using methyl-DNA immunoprecipitation combined with high-throughput sequencing", "type" : "article-journal", "volume" : "11" }, "uris" : [ "http://www.mendeley.com/documents/?uuid=1cb669de-77d9-4948-a568-a10646b59340" ] } ], "mendeley" : { "previouslyFormattedCitation" : "(Ruike et al. 2010)" }, "properties" : { "noteIndex" : 0 }, "schema" : "https://github.com/citation-style-language/schema/raw/master/csl-citation.json" }</w:instrText>
      </w:r>
      <w:r w:rsidR="00B1434C">
        <w:fldChar w:fldCharType="separate"/>
      </w:r>
      <w:r w:rsidR="00B1434C" w:rsidRPr="00D75617">
        <w:rPr>
          <w:b w:val="0"/>
          <w:noProof/>
        </w:rPr>
        <w:t>(Ruike et al. 2010)</w:t>
      </w:r>
      <w:r w:rsidR="00B1434C">
        <w:fldChar w:fldCharType="end"/>
      </w:r>
      <w:r w:rsidR="00B1434C">
        <w:t xml:space="preserve">.  A) </w:t>
      </w:r>
      <w:r w:rsidR="00B1434C">
        <w:rPr>
          <w:b w:val="0"/>
        </w:rPr>
        <w:t xml:space="preserve">RRPD (see </w:t>
      </w:r>
      <w:r w:rsidR="00B1434C" w:rsidRPr="007D00E3">
        <w:t>Figure 4</w:t>
      </w:r>
      <w:r w:rsidR="00B1434C">
        <w:rPr>
          <w:b w:val="0"/>
        </w:rPr>
        <w:t xml:space="preserve">) is plotted using the peak detection calls reported in Kim et al. (HPeak algorithm) and the relative CNV according to PICNIC estimates on the SNP arrays used for </w:t>
      </w:r>
      <w:r w:rsidR="00B1434C" w:rsidRPr="007D00E3">
        <w:rPr>
          <w:b w:val="0"/>
          <w:i/>
        </w:rPr>
        <w:t>our</w:t>
      </w:r>
      <w:r w:rsidR="00B1434C">
        <w:rPr>
          <w:b w:val="0"/>
        </w:rPr>
        <w:t xml:space="preserve"> study.  B) For the list of differentially methylated regions between MCF7 and HMEC cells (“hyper” are regions with higher methylation in MCF7, “hypo” are regions with lower methylation), distributions of the ratio of read densities in corresponding regions between MCF7 inputs and HMEC inputs are shown as boxplots.  The “null” category represents all remaining regions (i.e. not differentially methylated).</w:t>
      </w:r>
    </w:p>
    <w:p w14:paraId="2904F831" w14:textId="67021A8C" w:rsidR="00D72B2D" w:rsidRDefault="00D72B2D">
      <w:pPr>
        <w:spacing w:line="240" w:lineRule="auto"/>
        <w:rPr>
          <w:b/>
        </w:rPr>
      </w:pPr>
      <w:r>
        <w:rPr>
          <w:b/>
        </w:rPr>
        <w:br w:type="page"/>
      </w:r>
    </w:p>
    <w:p w14:paraId="3EB229DF" w14:textId="54F83EE8" w:rsidR="00B1434C" w:rsidRDefault="00D72B2D" w:rsidP="00B1434C">
      <w:pPr>
        <w:spacing w:line="360" w:lineRule="auto"/>
        <w:jc w:val="both"/>
      </w:pPr>
      <w:r>
        <w:rPr>
          <w:b/>
          <w:noProof/>
          <w:lang w:val="en-US"/>
        </w:rPr>
        <w:drawing>
          <wp:anchor distT="0" distB="0" distL="114300" distR="114300" simplePos="0" relativeHeight="251660288" behindDoc="0" locked="0" layoutInCell="1" allowOverlap="1" wp14:anchorId="1B1CCC38" wp14:editId="49FDCE8B">
            <wp:simplePos x="0" y="0"/>
            <wp:positionH relativeFrom="column">
              <wp:posOffset>0</wp:posOffset>
            </wp:positionH>
            <wp:positionV relativeFrom="paragraph">
              <wp:posOffset>6350</wp:posOffset>
            </wp:positionV>
            <wp:extent cx="4932045" cy="5791200"/>
            <wp:effectExtent l="0" t="0" r="0" b="0"/>
            <wp:wrapSquare wrapText="bothSides"/>
            <wp:docPr id="6" name="Picture 6" descr="mark:projects:cn_paper:Additional_file_5_6u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projects:cn_paper:Additional_file_5_6up.pdf"/>
                    <pic:cNvPicPr>
                      <a:picLocks noChangeAspect="1" noChangeArrowheads="1"/>
                    </pic:cNvPicPr>
                  </pic:nvPicPr>
                  <pic:blipFill rotWithShape="1">
                    <a:blip r:embed="rId11">
                      <a:extLst>
                        <a:ext uri="{28A0092B-C50C-407E-A947-70E740481C1C}">
                          <a14:useLocalDpi xmlns:a14="http://schemas.microsoft.com/office/drawing/2010/main" val="0"/>
                        </a:ext>
                      </a:extLst>
                    </a:blip>
                    <a:srcRect t="8857" b="8033"/>
                    <a:stretch/>
                  </pic:blipFill>
                  <pic:spPr bwMode="auto">
                    <a:xfrm>
                      <a:off x="0" y="0"/>
                      <a:ext cx="4932045" cy="579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3F7">
        <w:rPr>
          <w:b/>
        </w:rPr>
        <w:t>Supplementary Figure</w:t>
      </w:r>
      <w:r w:rsidR="00B1434C">
        <w:rPr>
          <w:b/>
        </w:rPr>
        <w:t xml:space="preserve"> </w:t>
      </w:r>
      <w:r w:rsidR="00A33ADE">
        <w:rPr>
          <w:b/>
        </w:rPr>
        <w:t>6</w:t>
      </w:r>
      <w:r w:rsidR="00B1434C">
        <w:rPr>
          <w:b/>
        </w:rPr>
        <w:t xml:space="preserve"> – Effect of CNV compensation.  </w:t>
      </w:r>
      <w:r w:rsidR="00B1434C" w:rsidRPr="00AB7AFE">
        <w:t xml:space="preserve">Venn diagrams </w:t>
      </w:r>
      <w:r w:rsidR="00B1434C">
        <w:t>show the genome-wide overlap of r</w:t>
      </w:r>
      <w:r w:rsidR="00B1434C" w:rsidRPr="00536CD8">
        <w:t xml:space="preserve">egions deemed significantly differentially methylated </w:t>
      </w:r>
      <w:r w:rsidR="00B1434C">
        <w:t xml:space="preserve">by </w:t>
      </w:r>
      <w:r w:rsidR="00B1434C" w:rsidRPr="00AB7AFE">
        <w:t xml:space="preserve">“Naïve” and “CNV-aware” </w:t>
      </w:r>
      <w:r w:rsidR="00B1434C">
        <w:t xml:space="preserve">GLM </w:t>
      </w:r>
      <w:r w:rsidR="00B1434C" w:rsidRPr="00AB7AFE">
        <w:t>analyses</w:t>
      </w:r>
      <w:r w:rsidR="00B1434C">
        <w:t>.  An almost perfect overlap for copy-number-neutral (L=4 P=2) regions is observed, while the overlap degrades as CNV increases.</w:t>
      </w:r>
    </w:p>
    <w:p w14:paraId="53FD2115" w14:textId="28E998B8" w:rsidR="00D72B2D" w:rsidRDefault="00D72B2D">
      <w:pPr>
        <w:spacing w:line="240" w:lineRule="auto"/>
      </w:pPr>
      <w:r>
        <w:br w:type="page"/>
      </w:r>
    </w:p>
    <w:p w14:paraId="249485BD" w14:textId="4E37C46F" w:rsidR="00B1434C" w:rsidRDefault="00DC6FD4" w:rsidP="00B1434C">
      <w:pPr>
        <w:spacing w:line="360" w:lineRule="auto"/>
        <w:jc w:val="both"/>
      </w:pPr>
      <w:r>
        <w:rPr>
          <w:noProof/>
          <w:lang w:val="en-US"/>
        </w:rPr>
        <w:drawing>
          <wp:anchor distT="0" distB="0" distL="114300" distR="114300" simplePos="0" relativeHeight="251661312" behindDoc="0" locked="0" layoutInCell="1" allowOverlap="1" wp14:anchorId="1A0D1635" wp14:editId="3DCFF2CC">
            <wp:simplePos x="0" y="0"/>
            <wp:positionH relativeFrom="column">
              <wp:posOffset>-325755</wp:posOffset>
            </wp:positionH>
            <wp:positionV relativeFrom="paragraph">
              <wp:posOffset>262890</wp:posOffset>
            </wp:positionV>
            <wp:extent cx="6870700" cy="5306060"/>
            <wp:effectExtent l="0" t="0" r="0" b="0"/>
            <wp:wrapSquare wrapText="bothSides"/>
            <wp:docPr id="7" name="Picture 7" descr="mark:projects:cn_paper:Additional_file_6_Zscores_by_CNV_trut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k:projects:cn_paper:Additional_file_6_Zscores_by_CNV_truth.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0700" cy="530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1100" w14:textId="4FB95A4E" w:rsidR="00B1434C" w:rsidRDefault="003F73F7" w:rsidP="00B1434C">
      <w:pPr>
        <w:spacing w:line="360" w:lineRule="auto"/>
        <w:jc w:val="both"/>
      </w:pPr>
      <w:r>
        <w:rPr>
          <w:b/>
        </w:rPr>
        <w:t>Supplementary Figure</w:t>
      </w:r>
      <w:r w:rsidR="00B1434C" w:rsidRPr="00441D8F">
        <w:rPr>
          <w:b/>
        </w:rPr>
        <w:t xml:space="preserve"> </w:t>
      </w:r>
      <w:r w:rsidR="00A33ADE">
        <w:rPr>
          <w:b/>
        </w:rPr>
        <w:t>7</w:t>
      </w:r>
      <w:r w:rsidR="00B1434C" w:rsidRPr="00441D8F">
        <w:rPr>
          <w:b/>
        </w:rPr>
        <w:t xml:space="preserve"> – </w:t>
      </w:r>
      <w:r w:rsidR="00B1434C">
        <w:rPr>
          <w:b/>
        </w:rPr>
        <w:t xml:space="preserve">Boxplots of MBDCap-seq </w:t>
      </w:r>
      <w:r w:rsidR="00B1434C" w:rsidRPr="00441D8F">
        <w:rPr>
          <w:b/>
        </w:rPr>
        <w:t xml:space="preserve">Z-scores (P-values mapped onto the standard normal distribution and signed according to the log-fold-change) </w:t>
      </w:r>
      <w:r w:rsidR="00B1434C">
        <w:rPr>
          <w:b/>
        </w:rPr>
        <w:t xml:space="preserve">by </w:t>
      </w:r>
      <w:r w:rsidR="00B1434C" w:rsidRPr="00441D8F">
        <w:rPr>
          <w:b/>
        </w:rPr>
        <w:t>CNV state</w:t>
      </w:r>
      <w:r w:rsidR="00B1434C">
        <w:rPr>
          <w:b/>
        </w:rPr>
        <w:t xml:space="preserve"> and “truth”.</w:t>
      </w:r>
      <w:r w:rsidR="00B1434C" w:rsidRPr="00441D8F">
        <w:rPr>
          <w:b/>
        </w:rPr>
        <w:t xml:space="preserve"> </w:t>
      </w:r>
      <w:r w:rsidR="00B1434C">
        <w:t xml:space="preserve"> Each group of 3 boxes gives a CNV state, with label “a.b”, where “a” denotes the truth according to 450k array (-1: hypomethylated, 1: hypermethylated, 0: not differentially methylated) and “b”, the copy number state in LNCaP cells (PrEC copy number state is 2 for all); for example, the label “</w:t>
      </w:r>
      <w:r w:rsidR="00B1434C" w:rsidRPr="00C23326">
        <w:rPr>
          <w:lang w:val="en-US"/>
        </w:rPr>
        <w:t>1.L=3</w:t>
      </w:r>
      <w:r w:rsidR="00B1434C">
        <w:rPr>
          <w:lang w:val="en-US"/>
        </w:rPr>
        <w:t>” denotes hypermethylated  genomic regions where LNCaP has 3 copies</w:t>
      </w:r>
      <w:r w:rsidR="00B1434C">
        <w:t>.  Top panel shows Naïve Z-scores (GLM without CNV offsets), where all boxes increase in magnitu; bottom panel shows CNV-aware Z-scores, where the magnitude of all boxes remains constant, regardless of CNV state.  Notably, the Naïve scores are positively correlated with differential CNV, whereas distributions of ABCD-DNA  Z-scores are flat with respect to CNV.</w:t>
      </w:r>
    </w:p>
    <w:p w14:paraId="44F7F5D5" w14:textId="49A99DFE" w:rsidR="00B1434C" w:rsidRDefault="002776AA" w:rsidP="00B1434C">
      <w:pPr>
        <w:spacing w:line="360" w:lineRule="auto"/>
        <w:jc w:val="both"/>
      </w:pPr>
      <w:r>
        <w:rPr>
          <w:noProof/>
          <w:lang w:val="en-US"/>
        </w:rPr>
        <w:drawing>
          <wp:anchor distT="0" distB="0" distL="114300" distR="114300" simplePos="0" relativeHeight="251662336" behindDoc="0" locked="0" layoutInCell="1" allowOverlap="1" wp14:anchorId="258CD8A4" wp14:editId="0B1F04F3">
            <wp:simplePos x="0" y="0"/>
            <wp:positionH relativeFrom="column">
              <wp:posOffset>0</wp:posOffset>
            </wp:positionH>
            <wp:positionV relativeFrom="paragraph">
              <wp:posOffset>196850</wp:posOffset>
            </wp:positionV>
            <wp:extent cx="6113145" cy="6113145"/>
            <wp:effectExtent l="0" t="0" r="8255" b="8255"/>
            <wp:wrapSquare wrapText="bothSides"/>
            <wp:docPr id="9" name="Picture 9" descr="mark:projects:cn_paper:Additional_file_7_ROC_nonsymmet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k:projects:cn_paper:Additional_file_7_ROC_nonsymmetri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EB522" w14:textId="30E2F472" w:rsidR="00B1434C" w:rsidRDefault="003F73F7" w:rsidP="00B1434C">
      <w:pPr>
        <w:spacing w:line="360" w:lineRule="auto"/>
        <w:jc w:val="both"/>
      </w:pPr>
      <w:r>
        <w:rPr>
          <w:b/>
        </w:rPr>
        <w:t>Supplementary Figure</w:t>
      </w:r>
      <w:r w:rsidR="00B1434C">
        <w:rPr>
          <w:b/>
        </w:rPr>
        <w:t xml:space="preserve"> </w:t>
      </w:r>
      <w:r w:rsidR="00A33ADE">
        <w:rPr>
          <w:b/>
        </w:rPr>
        <w:t>8</w:t>
      </w:r>
      <w:r w:rsidR="00B1434C">
        <w:rPr>
          <w:b/>
        </w:rPr>
        <w:t xml:space="preserve"> – Extra ROC curves to highlight sensitivity to asymmetry in the “truth”</w:t>
      </w:r>
      <w:r w:rsidR="00B1434C">
        <w:t>.  See Description in Figure 5.  This plot highlights that results are sensitive to the bias towards hypermethylated regions.</w:t>
      </w:r>
    </w:p>
    <w:p w14:paraId="1E97C181" w14:textId="3BB8AEBE" w:rsidR="0025420B" w:rsidRDefault="0025420B"/>
    <w:sectPr w:rsidR="0025420B" w:rsidSect="005E41C9">
      <w:pgSz w:w="16840" w:h="11901" w:orient="landscape"/>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18E"/>
    <w:rsid w:val="0014526E"/>
    <w:rsid w:val="001E7F08"/>
    <w:rsid w:val="0025420B"/>
    <w:rsid w:val="00274FCD"/>
    <w:rsid w:val="002776AA"/>
    <w:rsid w:val="002D391F"/>
    <w:rsid w:val="00341890"/>
    <w:rsid w:val="003E317A"/>
    <w:rsid w:val="003F73F7"/>
    <w:rsid w:val="0056718E"/>
    <w:rsid w:val="005E41C9"/>
    <w:rsid w:val="00616B38"/>
    <w:rsid w:val="008A4363"/>
    <w:rsid w:val="008F709B"/>
    <w:rsid w:val="00961C4F"/>
    <w:rsid w:val="00A1017E"/>
    <w:rsid w:val="00A33ADE"/>
    <w:rsid w:val="00B1434C"/>
    <w:rsid w:val="00BE0351"/>
    <w:rsid w:val="00D72B2D"/>
    <w:rsid w:val="00DC6FD4"/>
    <w:rsid w:val="00E40DA3"/>
    <w:rsid w:val="00E8498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7592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34C"/>
    <w:pPr>
      <w:spacing w:line="480" w:lineRule="auto"/>
    </w:pPr>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uiPriority w:val="99"/>
    <w:qFormat/>
    <w:rsid w:val="00B1434C"/>
    <w:pPr>
      <w:keepNext/>
      <w:spacing w:before="240" w:after="60" w:line="240" w:lineRule="auto"/>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B1434C"/>
    <w:pPr>
      <w:keepNext/>
      <w:spacing w:line="240" w:lineRule="auto"/>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1434C"/>
    <w:rPr>
      <w:rFonts w:ascii="Arial" w:eastAsia="Times New Roman" w:hAnsi="Arial" w:cs="Arial"/>
      <w:b/>
      <w:bCs/>
      <w:kern w:val="32"/>
      <w:sz w:val="32"/>
      <w:szCs w:val="32"/>
      <w:lang w:val="en-GB" w:eastAsia="en-US"/>
    </w:rPr>
  </w:style>
  <w:style w:type="character" w:customStyle="1" w:styleId="Heading3Char">
    <w:name w:val="Heading 3 Char"/>
    <w:basedOn w:val="DefaultParagraphFont"/>
    <w:link w:val="Heading3"/>
    <w:uiPriority w:val="99"/>
    <w:rsid w:val="00B1434C"/>
    <w:rPr>
      <w:rFonts w:ascii="Times New Roman" w:eastAsia="Times New Roman" w:hAnsi="Times New Roman" w:cs="Times New Roman"/>
      <w:b/>
      <w:bCs/>
      <w:sz w:val="24"/>
      <w:szCs w:val="24"/>
      <w:lang w:val="en-GB" w:eastAsia="en-US"/>
    </w:rPr>
  </w:style>
  <w:style w:type="paragraph" w:styleId="BalloonText">
    <w:name w:val="Balloon Text"/>
    <w:basedOn w:val="Normal"/>
    <w:link w:val="BalloonTextChar"/>
    <w:uiPriority w:val="99"/>
    <w:semiHidden/>
    <w:unhideWhenUsed/>
    <w:rsid w:val="00A1017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017E"/>
    <w:rPr>
      <w:rFonts w:ascii="Lucida Grande" w:eastAsia="Times New Roman" w:hAnsi="Lucida Grande" w:cs="Lucida Grande"/>
      <w:sz w:val="18"/>
      <w:szCs w:val="18"/>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34C"/>
    <w:pPr>
      <w:spacing w:line="480" w:lineRule="auto"/>
    </w:pPr>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uiPriority w:val="99"/>
    <w:qFormat/>
    <w:rsid w:val="00B1434C"/>
    <w:pPr>
      <w:keepNext/>
      <w:spacing w:before="240" w:after="60" w:line="240" w:lineRule="auto"/>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B1434C"/>
    <w:pPr>
      <w:keepNext/>
      <w:spacing w:line="240" w:lineRule="auto"/>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1434C"/>
    <w:rPr>
      <w:rFonts w:ascii="Arial" w:eastAsia="Times New Roman" w:hAnsi="Arial" w:cs="Arial"/>
      <w:b/>
      <w:bCs/>
      <w:kern w:val="32"/>
      <w:sz w:val="32"/>
      <w:szCs w:val="32"/>
      <w:lang w:val="en-GB" w:eastAsia="en-US"/>
    </w:rPr>
  </w:style>
  <w:style w:type="character" w:customStyle="1" w:styleId="Heading3Char">
    <w:name w:val="Heading 3 Char"/>
    <w:basedOn w:val="DefaultParagraphFont"/>
    <w:link w:val="Heading3"/>
    <w:uiPriority w:val="99"/>
    <w:rsid w:val="00B1434C"/>
    <w:rPr>
      <w:rFonts w:ascii="Times New Roman" w:eastAsia="Times New Roman" w:hAnsi="Times New Roman" w:cs="Times New Roman"/>
      <w:b/>
      <w:bCs/>
      <w:sz w:val="24"/>
      <w:szCs w:val="24"/>
      <w:lang w:val="en-GB" w:eastAsia="en-US"/>
    </w:rPr>
  </w:style>
  <w:style w:type="paragraph" w:styleId="BalloonText">
    <w:name w:val="Balloon Text"/>
    <w:basedOn w:val="Normal"/>
    <w:link w:val="BalloonTextChar"/>
    <w:uiPriority w:val="99"/>
    <w:semiHidden/>
    <w:unhideWhenUsed/>
    <w:rsid w:val="00A1017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017E"/>
    <w:rPr>
      <w:rFonts w:ascii="Lucida Grande" w:eastAsia="Times New Roman"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png"/><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1440</Words>
  <Characters>8214</Characters>
  <Application>Microsoft Macintosh Word</Application>
  <DocSecurity>0</DocSecurity>
  <Lines>68</Lines>
  <Paragraphs>19</Paragraphs>
  <ScaleCrop>false</ScaleCrop>
  <Company>UZH</Company>
  <LinksUpToDate>false</LinksUpToDate>
  <CharactersWithSpaces>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Robinson</dc:creator>
  <cp:keywords/>
  <dc:description/>
  <cp:lastModifiedBy>Mark D. Robinson</cp:lastModifiedBy>
  <cp:revision>20</cp:revision>
  <dcterms:created xsi:type="dcterms:W3CDTF">2012-02-13T08:36:00Z</dcterms:created>
  <dcterms:modified xsi:type="dcterms:W3CDTF">2012-05-30T13:38:00Z</dcterms:modified>
</cp:coreProperties>
</file>