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BB" w:rsidRDefault="008740BB" w:rsidP="008740BB">
      <w:pPr>
        <w:pStyle w:val="SectionHeading"/>
        <w:spacing w:after="240"/>
      </w:pPr>
      <w:r>
        <w:t>Supporting Information</w:t>
      </w:r>
    </w:p>
    <w:p w:rsidR="008740BB" w:rsidRDefault="008740BB" w:rsidP="008740BB">
      <w:pPr>
        <w:spacing w:after="240" w:line="360" w:lineRule="auto"/>
        <w:rPr>
          <w:b/>
        </w:rPr>
      </w:pPr>
      <w:r>
        <w:rPr>
          <w:b/>
        </w:rPr>
        <w:t>Supplementary Methods.</w:t>
      </w:r>
    </w:p>
    <w:p w:rsidR="008740BB" w:rsidRDefault="008740BB" w:rsidP="008740BB">
      <w:pPr>
        <w:spacing w:after="240" w:line="360" w:lineRule="auto"/>
        <w:rPr>
          <w:b/>
        </w:rPr>
      </w:pPr>
      <w:r>
        <w:rPr>
          <w:b/>
        </w:rPr>
        <w:t xml:space="preserve">Table S1.  </w:t>
      </w:r>
      <w:r>
        <w:rPr>
          <w:bCs/>
        </w:rPr>
        <w:t>Median read depth, total alignment length, and the percent of the</w:t>
      </w:r>
      <w:r w:rsidRPr="00141ECD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D. melanogaster </w:t>
      </w:r>
      <w:r w:rsidRPr="00141ECD">
        <w:rPr>
          <w:bCs/>
        </w:rPr>
        <w:t xml:space="preserve">reference </w:t>
      </w:r>
      <w:r>
        <w:rPr>
          <w:bCs/>
        </w:rPr>
        <w:t xml:space="preserve">genome sequence length covered by the alignment </w:t>
      </w:r>
      <w:r w:rsidRPr="00141ECD">
        <w:rPr>
          <w:bCs/>
        </w:rPr>
        <w:t xml:space="preserve">for each of the three species of the </w:t>
      </w:r>
      <w:r w:rsidRPr="00141ECD">
        <w:rPr>
          <w:bCs/>
          <w:i/>
          <w:iCs/>
        </w:rPr>
        <w:t xml:space="preserve">D. </w:t>
      </w:r>
      <w:proofErr w:type="spellStart"/>
      <w:r w:rsidRPr="00141ECD">
        <w:rPr>
          <w:bCs/>
          <w:i/>
          <w:iCs/>
        </w:rPr>
        <w:t>simulans</w:t>
      </w:r>
      <w:proofErr w:type="spellEnd"/>
      <w:r w:rsidRPr="00141ECD">
        <w:rPr>
          <w:bCs/>
          <w:i/>
          <w:iCs/>
        </w:rPr>
        <w:t xml:space="preserve"> </w:t>
      </w:r>
      <w:r w:rsidRPr="00141ECD">
        <w:rPr>
          <w:bCs/>
        </w:rPr>
        <w:t>clade.</w:t>
      </w:r>
    </w:p>
    <w:p w:rsidR="008740BB" w:rsidRPr="00DA5CEA" w:rsidRDefault="008740BB" w:rsidP="008740BB">
      <w:pPr>
        <w:spacing w:after="240" w:line="360" w:lineRule="auto"/>
      </w:pPr>
      <w:r>
        <w:rPr>
          <w:b/>
        </w:rPr>
        <w:t xml:space="preserve">Table S2.  </w:t>
      </w:r>
      <w:proofErr w:type="gramStart"/>
      <w:r>
        <w:t>Average frequency of optimal codons (</w:t>
      </w:r>
      <w:r w:rsidRPr="00DA5CEA">
        <w:rPr>
          <w:i/>
        </w:rPr>
        <w:t>F</w:t>
      </w:r>
      <w:r w:rsidRPr="00DA5CEA">
        <w:rPr>
          <w:vertAlign w:val="subscript"/>
        </w:rPr>
        <w:t>op</w:t>
      </w:r>
      <w:r>
        <w:t>) across genes.</w:t>
      </w:r>
      <w:proofErr w:type="gramEnd"/>
    </w:p>
    <w:p w:rsidR="008740BB" w:rsidRPr="0017741D" w:rsidRDefault="008740BB" w:rsidP="008740BB">
      <w:pPr>
        <w:spacing w:after="240" w:line="360" w:lineRule="auto"/>
      </w:pPr>
      <w:r>
        <w:rPr>
          <w:b/>
        </w:rPr>
        <w:t xml:space="preserve">Table S3.  </w:t>
      </w:r>
      <w:proofErr w:type="gramStart"/>
      <w:r w:rsidRPr="00C852B8">
        <w:t>The n</w:t>
      </w:r>
      <w:r>
        <w:t xml:space="preserve">umber of coding substitutions between the </w:t>
      </w:r>
      <w:r w:rsidRPr="00AD5916">
        <w:rPr>
          <w:i/>
        </w:rPr>
        <w:t xml:space="preserve">D. </w:t>
      </w:r>
      <w:proofErr w:type="spellStart"/>
      <w:r w:rsidRPr="00AD5916">
        <w:rPr>
          <w:i/>
        </w:rPr>
        <w:t>simulans</w:t>
      </w:r>
      <w:proofErr w:type="spellEnd"/>
      <w:r>
        <w:t>-clade ancestor and each of the three extant species.</w:t>
      </w:r>
      <w:proofErr w:type="gramEnd"/>
    </w:p>
    <w:p w:rsidR="008740BB" w:rsidRDefault="008740BB" w:rsidP="008740BB">
      <w:pPr>
        <w:spacing w:after="240" w:line="360" w:lineRule="auto"/>
      </w:pPr>
      <w:r w:rsidRPr="00C20C8C">
        <w:rPr>
          <w:b/>
        </w:rPr>
        <w:t>Figure S1</w:t>
      </w:r>
      <w:r>
        <w:rPr>
          <w:b/>
        </w:rPr>
        <w:t>.</w:t>
      </w:r>
      <w:r>
        <w:t xml:space="preserve">  Base mismatch frequencies for each of the three species alignments against release 5.31 of the </w:t>
      </w:r>
      <w:r>
        <w:rPr>
          <w:i/>
        </w:rPr>
        <w:t>Drosophila melanogaster</w:t>
      </w:r>
      <w:r>
        <w:t xml:space="preserve"> reference genome.</w:t>
      </w:r>
    </w:p>
    <w:p w:rsidR="008740BB" w:rsidRDefault="008740BB" w:rsidP="008740BB">
      <w:pPr>
        <w:spacing w:line="360" w:lineRule="auto"/>
      </w:pPr>
      <w:r>
        <w:rPr>
          <w:b/>
        </w:rPr>
        <w:t xml:space="preserve">Figure S2.  </w:t>
      </w:r>
      <w:proofErr w:type="gramStart"/>
      <w:r w:rsidRPr="005E6EF4">
        <w:t>Distribution of site type frequencies in 5-kb windows.</w:t>
      </w:r>
      <w:proofErr w:type="gramEnd"/>
      <w:r>
        <w:t xml:space="preserve">  Both the major autosomal arms and the </w:t>
      </w:r>
      <w:r w:rsidRPr="00206E79">
        <w:rPr>
          <w:i/>
        </w:rPr>
        <w:t>X</w:t>
      </w:r>
      <w:r>
        <w:t xml:space="preserve"> chromosome are divided into non-overlapping 5-kb windows.  Within each window, the frequency of each of the six possible type of variable site is calculated.  Panel (</w:t>
      </w:r>
      <w:r w:rsidRPr="00E55893">
        <w:rPr>
          <w:b/>
        </w:rPr>
        <w:t>a</w:t>
      </w:r>
      <w:r>
        <w:t xml:space="preserve">) shows the distribution of frequencies for site types in which the derived base occurs exclusively in one of the three species of the </w:t>
      </w:r>
      <w:r w:rsidRPr="00206E79">
        <w:rPr>
          <w:i/>
        </w:rPr>
        <w:t xml:space="preserve">D. </w:t>
      </w:r>
      <w:proofErr w:type="spellStart"/>
      <w:r w:rsidRPr="00206E79">
        <w:rPr>
          <w:i/>
        </w:rPr>
        <w:t>simulans</w:t>
      </w:r>
      <w:proofErr w:type="spellEnd"/>
      <w:r>
        <w:t xml:space="preserve"> clade.  The distribution is shown for both the autosomes and the </w:t>
      </w:r>
      <w:r w:rsidRPr="00206E79">
        <w:rPr>
          <w:i/>
        </w:rPr>
        <w:t>X</w:t>
      </w:r>
      <w:r>
        <w:t xml:space="preserve"> chromosome.  The ends of the whiskers represent 1.5 times the interquartile range and a “+” character represents an outlier.  Similarly, panel (</w:t>
      </w:r>
      <w:r w:rsidRPr="00E55893">
        <w:rPr>
          <w:b/>
        </w:rPr>
        <w:t>b</w:t>
      </w:r>
      <w:r>
        <w:t>) shows the distribution of the frequencies of site types that are shared between pairs of species.</w:t>
      </w:r>
    </w:p>
    <w:p w:rsidR="008740BB" w:rsidRDefault="008740BB" w:rsidP="008740BB">
      <w:pPr>
        <w:spacing w:after="240" w:line="360" w:lineRule="auto"/>
      </w:pPr>
    </w:p>
    <w:p w:rsidR="008740BB" w:rsidRDefault="008740BB" w:rsidP="008740BB">
      <w:pPr>
        <w:spacing w:after="240" w:line="360" w:lineRule="auto"/>
      </w:pPr>
      <w:r>
        <w:rPr>
          <w:b/>
        </w:rPr>
        <w:t xml:space="preserve">Figure S3.  </w:t>
      </w:r>
      <w:r>
        <w:t xml:space="preserve">Fit of the </w:t>
      </w:r>
      <w:proofErr w:type="spellStart"/>
      <w:r>
        <w:t>quantiles</w:t>
      </w:r>
      <w:proofErr w:type="spellEnd"/>
      <w:r>
        <w:t xml:space="preserve"> of the six different site types on the major autosomal arms with the best-fitting simulated global allopatric model.</w:t>
      </w:r>
    </w:p>
    <w:p w:rsidR="008740BB" w:rsidRDefault="008740BB" w:rsidP="008740BB">
      <w:pPr>
        <w:spacing w:after="240" w:line="360" w:lineRule="auto"/>
      </w:pPr>
      <w:r>
        <w:rPr>
          <w:b/>
        </w:rPr>
        <w:t xml:space="preserve">Figure S4.  </w:t>
      </w:r>
      <w:r>
        <w:t xml:space="preserve">Fit of the </w:t>
      </w:r>
      <w:proofErr w:type="spellStart"/>
      <w:r>
        <w:t>quantiles</w:t>
      </w:r>
      <w:proofErr w:type="spellEnd"/>
      <w:r>
        <w:t xml:space="preserve"> of the six different site types on the </w:t>
      </w:r>
      <w:r w:rsidRPr="009B217D">
        <w:rPr>
          <w:i/>
        </w:rPr>
        <w:t>X</w:t>
      </w:r>
      <w:r>
        <w:t xml:space="preserve"> chromosome with the best-fitting simulated global allopatric model.</w:t>
      </w:r>
    </w:p>
    <w:p w:rsidR="008740BB" w:rsidRPr="00BA1810" w:rsidRDefault="008740BB" w:rsidP="008740BB">
      <w:pPr>
        <w:spacing w:after="240" w:line="360" w:lineRule="auto"/>
      </w:pPr>
      <w:r>
        <w:rPr>
          <w:b/>
        </w:rPr>
        <w:lastRenderedPageBreak/>
        <w:t>Figure S5.</w:t>
      </w:r>
      <w:r>
        <w:t xml:space="preserve">  Histograms of </w:t>
      </w:r>
      <w:r w:rsidRPr="007C2174">
        <w:rPr>
          <w:i/>
        </w:rPr>
        <w:t>p</w:t>
      </w:r>
      <w:r>
        <w:t xml:space="preserve">-values resulting from the likelihood ratio test performed on a data set that was generated under the null model of strict </w:t>
      </w:r>
      <w:proofErr w:type="spellStart"/>
      <w:r>
        <w:t>allopatry</w:t>
      </w:r>
      <w:proofErr w:type="spellEnd"/>
      <w:r>
        <w:t>.</w:t>
      </w:r>
    </w:p>
    <w:p w:rsidR="008740BB" w:rsidRDefault="008740BB" w:rsidP="008740BB">
      <w:pPr>
        <w:spacing w:after="240" w:line="360" w:lineRule="auto"/>
      </w:pPr>
      <w:r>
        <w:rPr>
          <w:b/>
        </w:rPr>
        <w:t>Figure S6.</w:t>
      </w:r>
      <w:r>
        <w:t xml:space="preserve">  Four histograms of </w:t>
      </w:r>
      <w:r w:rsidRPr="007C2174">
        <w:rPr>
          <w:i/>
        </w:rPr>
        <w:t>p</w:t>
      </w:r>
      <w:r>
        <w:t xml:space="preserve">-values associated with the test for complex speciation in 1- and 5-kb windows for both the autosomes and the </w:t>
      </w:r>
      <w:r w:rsidRPr="009B217D">
        <w:rPr>
          <w:i/>
        </w:rPr>
        <w:t>X</w:t>
      </w:r>
      <w:r>
        <w:t xml:space="preserve"> chromosome.</w:t>
      </w:r>
    </w:p>
    <w:p w:rsidR="008740BB" w:rsidRPr="00E21DEB" w:rsidRDefault="008740BB" w:rsidP="008740BB">
      <w:pPr>
        <w:spacing w:after="120" w:line="360" w:lineRule="auto"/>
      </w:pPr>
      <w:r>
        <w:rPr>
          <w:b/>
        </w:rPr>
        <w:t xml:space="preserve">Figure S7.  </w:t>
      </w:r>
      <w:r>
        <w:t xml:space="preserve">Test for complex speciation on the </w:t>
      </w:r>
      <w:r w:rsidRPr="001B5730">
        <w:rPr>
          <w:i/>
        </w:rPr>
        <w:t>X</w:t>
      </w:r>
      <w:r>
        <w:t xml:space="preserve"> chromosome.  The figure follows the format of </w:t>
      </w:r>
      <w:r w:rsidRPr="001B5730">
        <w:rPr>
          <w:b/>
        </w:rPr>
        <w:t xml:space="preserve">Figure </w:t>
      </w:r>
      <w:proofErr w:type="gramStart"/>
      <w:r>
        <w:rPr>
          <w:b/>
        </w:rPr>
        <w:t>4</w:t>
      </w:r>
      <w:r>
        <w:t>,</w:t>
      </w:r>
      <w:proofErr w:type="gramEnd"/>
      <w:r>
        <w:t xml:space="preserve"> only autosomal values are replaced with estimates for 1-kb windows on the </w:t>
      </w:r>
      <w:r w:rsidRPr="001B5730">
        <w:rPr>
          <w:i/>
        </w:rPr>
        <w:t>X</w:t>
      </w:r>
      <w:r>
        <w:t xml:space="preserve"> chromosome.</w:t>
      </w:r>
    </w:p>
    <w:p w:rsidR="008740BB" w:rsidRPr="00697BCD" w:rsidRDefault="008740BB" w:rsidP="008740BB">
      <w:pPr>
        <w:spacing w:after="240" w:line="360" w:lineRule="auto"/>
      </w:pPr>
      <w:r>
        <w:rPr>
          <w:b/>
        </w:rPr>
        <w:t xml:space="preserve">Figure S8.  </w:t>
      </w:r>
      <w:proofErr w:type="gramStart"/>
      <w:r>
        <w:t xml:space="preserve">Decomposition of </w:t>
      </w:r>
      <w:r w:rsidRPr="009B217D">
        <w:rPr>
          <w:i/>
        </w:rPr>
        <w:t>R</w:t>
      </w:r>
      <w:r w:rsidRPr="00697BCD">
        <w:rPr>
          <w:vertAlign w:val="superscript"/>
        </w:rPr>
        <w:t>2</w:t>
      </w:r>
      <w:r>
        <w:t xml:space="preserve"> values and relative importance from multiple regression analysis of the six different site type frequencies and the </w:t>
      </w:r>
      <w:r w:rsidRPr="00697BCD">
        <w:rPr>
          <w:i/>
        </w:rPr>
        <w:t>p</w:t>
      </w:r>
      <w:r>
        <w:t>-value from the test for complex speciation.</w:t>
      </w:r>
      <w:proofErr w:type="gramEnd"/>
    </w:p>
    <w:p w:rsidR="008420E3" w:rsidRDefault="008420E3"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0BB"/>
    <w:rsid w:val="0027073C"/>
    <w:rsid w:val="008420E3"/>
    <w:rsid w:val="008740BB"/>
    <w:rsid w:val="008D6FF5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Heading"/>
    <w:basedOn w:val="Normal"/>
    <w:link w:val="SectionHeadingChar"/>
    <w:qFormat/>
    <w:rsid w:val="008740BB"/>
    <w:pPr>
      <w:keepNext/>
      <w:widowControl w:val="0"/>
      <w:suppressAutoHyphens/>
      <w:spacing w:before="240" w:after="120" w:line="360" w:lineRule="auto"/>
    </w:pPr>
    <w:rPr>
      <w:rFonts w:eastAsia="DejaVu Sans" w:cs="DejaVu Sans"/>
      <w:b/>
      <w:color w:val="auto"/>
      <w:kern w:val="1"/>
      <w:sz w:val="28"/>
      <w:szCs w:val="28"/>
      <w:lang w:eastAsia="hi-IN" w:bidi="hi-IN"/>
    </w:rPr>
  </w:style>
  <w:style w:type="character" w:customStyle="1" w:styleId="SectionHeadingChar">
    <w:name w:val="SectionHeading Char"/>
    <w:basedOn w:val="DefaultParagraphFont"/>
    <w:link w:val="SectionHeading"/>
    <w:rsid w:val="008740BB"/>
    <w:rPr>
      <w:rFonts w:eastAsia="DejaVu Sans" w:cs="DejaVu Sans"/>
      <w:b/>
      <w:kern w:val="1"/>
      <w:sz w:val="28"/>
      <w:szCs w:val="28"/>
      <w:lang w:eastAsia="hi-I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Heading"/>
    <w:basedOn w:val="Normal"/>
    <w:link w:val="SectionHeadingChar"/>
    <w:qFormat/>
    <w:rsid w:val="008740BB"/>
    <w:pPr>
      <w:keepNext/>
      <w:widowControl w:val="0"/>
      <w:suppressAutoHyphens/>
      <w:spacing w:before="240" w:after="120" w:line="360" w:lineRule="auto"/>
    </w:pPr>
    <w:rPr>
      <w:rFonts w:eastAsia="DejaVu Sans" w:cs="DejaVu Sans"/>
      <w:b/>
      <w:color w:val="auto"/>
      <w:kern w:val="1"/>
      <w:sz w:val="28"/>
      <w:szCs w:val="28"/>
      <w:lang w:eastAsia="hi-IN" w:bidi="hi-IN"/>
    </w:rPr>
  </w:style>
  <w:style w:type="character" w:customStyle="1" w:styleId="SectionHeadingChar">
    <w:name w:val="SectionHeading Char"/>
    <w:basedOn w:val="DefaultParagraphFont"/>
    <w:link w:val="SectionHeading"/>
    <w:rsid w:val="008740BB"/>
    <w:rPr>
      <w:rFonts w:eastAsia="DejaVu Sans" w:cs="DejaVu Sans"/>
      <w:b/>
      <w:kern w:val="1"/>
      <w:sz w:val="28"/>
      <w:szCs w:val="2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1978</Characters>
  <Application>Microsoft Macintosh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2012-04-05T16:04:00Z</dcterms:created>
  <dcterms:modified xsi:type="dcterms:W3CDTF">2012-04-05T16:05:00Z</dcterms:modified>
</cp:coreProperties>
</file>