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FA" w:rsidRPr="001436FA" w:rsidRDefault="001436FA">
      <w:pPr>
        <w:rPr>
          <w:b/>
        </w:rPr>
      </w:pPr>
      <w:r w:rsidRPr="001436FA">
        <w:rPr>
          <w:b/>
        </w:rPr>
        <w:t>Table S4. Summary of primate ERV families.</w:t>
      </w:r>
    </w:p>
    <w:p w:rsidR="001436FA" w:rsidRDefault="001436FA"/>
    <w:tbl>
      <w:tblPr>
        <w:tblW w:w="21337" w:type="dxa"/>
        <w:tblLayout w:type="fixed"/>
        <w:tblCellMar>
          <w:left w:w="0" w:type="dxa"/>
          <w:right w:w="0" w:type="dxa"/>
        </w:tblCellMar>
        <w:tblLook w:val="04A0"/>
      </w:tblPr>
      <w:tblGrid>
        <w:gridCol w:w="4777"/>
        <w:gridCol w:w="1710"/>
        <w:gridCol w:w="1440"/>
        <w:gridCol w:w="990"/>
        <w:gridCol w:w="1350"/>
        <w:gridCol w:w="2700"/>
        <w:gridCol w:w="8370"/>
      </w:tblGrid>
      <w:tr w:rsidR="00062F5B" w:rsidTr="000F5449">
        <w:trPr>
          <w:trHeight w:val="1080"/>
        </w:trPr>
        <w:tc>
          <w:tcPr>
            <w:tcW w:w="4777" w:type="dxa"/>
            <w:tcBorders>
              <w:top w:val="single" w:sz="4" w:space="0" w:color="auto"/>
              <w:left w:val="single" w:sz="4" w:space="0" w:color="auto"/>
              <w:bottom w:val="single" w:sz="4" w:space="0" w:color="auto"/>
              <w:right w:val="single" w:sz="4" w:space="0" w:color="auto"/>
            </w:tcBorders>
            <w:shd w:val="clear" w:color="auto" w:fill="auto"/>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Literature names</w:t>
            </w:r>
          </w:p>
        </w:tc>
        <w:tc>
          <w:tcPr>
            <w:tcW w:w="1710" w:type="dxa"/>
            <w:tcBorders>
              <w:top w:val="single" w:sz="4" w:space="0" w:color="auto"/>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RepBase current name (4/2011)</w:t>
            </w:r>
          </w:p>
        </w:tc>
        <w:tc>
          <w:tcPr>
            <w:tcW w:w="1440" w:type="dxa"/>
            <w:tcBorders>
              <w:top w:val="single" w:sz="4" w:space="0" w:color="auto"/>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RepBase 15.05 name</w:t>
            </w:r>
          </w:p>
        </w:tc>
        <w:tc>
          <w:tcPr>
            <w:tcW w:w="990" w:type="dxa"/>
            <w:tcBorders>
              <w:top w:val="single" w:sz="4" w:space="0" w:color="auto"/>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internal length</w:t>
            </w:r>
          </w:p>
        </w:tc>
        <w:tc>
          <w:tcPr>
            <w:tcW w:w="1350" w:type="dxa"/>
            <w:tcBorders>
              <w:top w:val="single" w:sz="4" w:space="0" w:color="auto"/>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number in human hg18 (&gt;= 0.5 internal length)</w:t>
            </w:r>
          </w:p>
        </w:tc>
        <w:tc>
          <w:tcPr>
            <w:tcW w:w="2700" w:type="dxa"/>
            <w:tcBorders>
              <w:top w:val="single" w:sz="4" w:space="0" w:color="auto"/>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autonomy</w:t>
            </w:r>
          </w:p>
        </w:tc>
        <w:tc>
          <w:tcPr>
            <w:tcW w:w="8370" w:type="dxa"/>
            <w:tcBorders>
              <w:top w:val="single" w:sz="4" w:space="0" w:color="auto"/>
              <w:left w:val="nil"/>
              <w:bottom w:val="single" w:sz="4" w:space="0" w:color="auto"/>
              <w:right w:val="single" w:sz="4" w:space="0" w:color="auto"/>
            </w:tcBorders>
            <w:shd w:val="clear" w:color="auto" w:fill="auto"/>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approximate origin and notes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HERV35I-int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HERV35I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6918</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26</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Basal Primate confirmed by MLTree, 0.315 divergent from </w:t>
            </w:r>
            <w:r>
              <w:rPr>
                <w:rFonts w:ascii="Calibri" w:hAnsi="Calibri"/>
                <w:i/>
                <w:iCs/>
                <w:color w:val="000000"/>
              </w:rPr>
              <w:t>HUERS-P1-int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LTR23-int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HERV23</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4843</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Basal Primate confirmed by MLTree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LTR25-int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LTR25-int</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7188</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37</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Basal Primate probable by MLTree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LTR57-int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HERV57I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5343</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15</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Basal Primate confirmed by MLTree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MER101-int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MER101_I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6639</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10</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Basal Primate confirmed by MLTree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MER4-int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MER4I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6387</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208</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probably 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Basal Primate confirmed by MLTree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MER61-int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MER61I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5217</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178</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probably 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Basal Primate probable by MLTree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PRIMAX-int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PRIMAX_I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4102</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39</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Basal Primate confirmed by MLTree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HERV1_I-int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HERV1_I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8801</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10</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0.600 divergent from </w:t>
            </w:r>
            <w:r>
              <w:rPr>
                <w:rFonts w:ascii="Calibri" w:hAnsi="Calibri"/>
                <w:i/>
                <w:iCs/>
                <w:color w:val="000000"/>
              </w:rPr>
              <w:t>HERV15-int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RRHERV-I</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HERV15-int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HERV15I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8735</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10</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0.545 divergent from </w:t>
            </w:r>
            <w:r>
              <w:rPr>
                <w:rFonts w:ascii="Calibri" w:hAnsi="Calibri"/>
                <w:i/>
                <w:iCs/>
                <w:color w:val="000000"/>
              </w:rPr>
              <w:t>HERV3-int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HERV-W</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HERV17-int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HERV17</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8626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0.900 divergent from </w:t>
            </w:r>
            <w:r>
              <w:rPr>
                <w:rFonts w:ascii="Calibri" w:hAnsi="Calibri"/>
                <w:i/>
                <w:iCs/>
                <w:color w:val="000000"/>
              </w:rPr>
              <w:t>HERV30-int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HERV30-int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HERV30I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8257</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13</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0.435 divergent from </w:t>
            </w:r>
            <w:r>
              <w:rPr>
                <w:rFonts w:ascii="Calibri" w:hAnsi="Calibri"/>
                <w:i/>
                <w:iCs/>
                <w:color w:val="000000"/>
              </w:rPr>
              <w:t>HERV9-int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ERV-9, HERV-9</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HERV9-int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HERV9</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8399</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185</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0.435 divergent from </w:t>
            </w:r>
            <w:r>
              <w:rPr>
                <w:rFonts w:ascii="Calibri" w:hAnsi="Calibri"/>
                <w:i/>
                <w:iCs/>
                <w:color w:val="000000"/>
              </w:rPr>
              <w:t>HERV30-int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HERVE_a-int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7847</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34</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confirmed by MLTree and insertion sites, 0.215 divergent from </w:t>
            </w:r>
            <w:r>
              <w:rPr>
                <w:rFonts w:ascii="Calibri" w:hAnsi="Calibri"/>
                <w:i/>
                <w:iCs/>
                <w:color w:val="000000"/>
              </w:rPr>
              <w:t>HERVE-int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HERV-E</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HERVE-int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HERVE</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7813</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67</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0.215 divergent from </w:t>
            </w:r>
            <w:r>
              <w:rPr>
                <w:rFonts w:ascii="Calibri" w:hAnsi="Calibri"/>
                <w:i/>
                <w:iCs/>
                <w:color w:val="000000"/>
              </w:rPr>
              <w:t>HERVE_a-int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HERV-FXA, HERV-FXA34(21B1), HERV-FXA34(21B2)</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HERVFH21-int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HERVFH21I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6529</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19</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Catarrhini by insertion sites (Simian marginally possible by MLTree)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HERV-H</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HERVH-int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HERVH</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7713</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913</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Catarrhini robust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 HML-7</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HERVK11D-int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HERVK11DI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7752</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9</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0.862 divergent from </w:t>
            </w:r>
            <w:r>
              <w:rPr>
                <w:rFonts w:ascii="Calibri" w:hAnsi="Calibri"/>
                <w:i/>
                <w:iCs/>
                <w:color w:val="000000"/>
              </w:rPr>
              <w:t>HERVK11-int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 HML-8</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HERVK11-int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HERVK11I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7953</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43</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0.862 divergent from </w:t>
            </w:r>
            <w:r>
              <w:rPr>
                <w:rFonts w:ascii="Calibri" w:hAnsi="Calibri"/>
                <w:i/>
                <w:iCs/>
                <w:color w:val="000000"/>
              </w:rPr>
              <w:t>HERVK11D-int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lastRenderedPageBreak/>
              <w:t>HERV-K HML-4</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HERVK13-int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HERVK13I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8116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0.937 divergent from </w:t>
            </w:r>
            <w:r>
              <w:rPr>
                <w:rFonts w:ascii="Calibri" w:hAnsi="Calibri"/>
                <w:i/>
                <w:iCs/>
                <w:color w:val="000000"/>
              </w:rPr>
              <w:t>HERVK-int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 HML-10, HERVK-14C</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HERVK14C-int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HERV-K14CI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7434</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0.739 divergent from </w:t>
            </w:r>
            <w:r>
              <w:rPr>
                <w:rFonts w:ascii="Calibri" w:hAnsi="Calibri"/>
                <w:i/>
                <w:iCs/>
                <w:color w:val="000000"/>
              </w:rPr>
              <w:t>HERVK-int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 HML1, HERV-K14I</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HERVK14-int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HERV-K14I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6096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25</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0.871 divergent from </w:t>
            </w:r>
            <w:r>
              <w:rPr>
                <w:rFonts w:ascii="Calibri" w:hAnsi="Calibri"/>
                <w:i/>
                <w:iCs/>
                <w:color w:val="000000"/>
              </w:rPr>
              <w:t>HERVK14C-int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 HML-6</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HERVK3-int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HERVK3I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7242</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36</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Catarrhini robust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 HML-3</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HERVK9-int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HERVK9I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6021</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167</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Catarrhini confirmed by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 C4</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HERVKC4-int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HERVKC4</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5262</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Catarrhini robust by MLTree and insertion sites, 0.798 divergent from</w:t>
            </w:r>
            <w:r>
              <w:rPr>
                <w:rFonts w:ascii="Calibri" w:hAnsi="Calibri"/>
                <w:i/>
                <w:iCs/>
                <w:color w:val="000000"/>
              </w:rPr>
              <w:t xml:space="preserve"> HERVK14C-int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 HERV-K HML-2</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7536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54</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 robust by MLTree and insertion sites, 0.739 divergent from </w:t>
            </w:r>
            <w:r>
              <w:rPr>
                <w:rFonts w:ascii="Calibri" w:hAnsi="Calibri"/>
                <w:i/>
                <w:iCs/>
                <w:color w:val="000000"/>
              </w:rPr>
              <w:t>HERVK14C-int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HERV-T, S71</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HERVS71-int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HERVS71</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8978</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Catarrhini robust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HERV-R, ERV3</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HERV3-int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HERV3</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8426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26</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Catarrhini/Simian unclear by MLTree and no shared insertion sites, 0.545 divergent from </w:t>
            </w:r>
            <w:r>
              <w:rPr>
                <w:rFonts w:ascii="Calibri" w:hAnsi="Calibri"/>
                <w:i/>
                <w:iCs/>
                <w:color w:val="000000"/>
              </w:rPr>
              <w:t>HERV15-int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HERV-Fb</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HERVH48-int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HERVH48I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6559</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Catarrhini/Simian unclear by MLTree and one possible shared insertion site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HERVIP10FH-int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HERVIP10FH</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5102</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54</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Catarrhini/Simian unclear by MLTree and no shared insertion sites, 0.255 divergent from </w:t>
            </w:r>
            <w:r>
              <w:rPr>
                <w:rFonts w:ascii="Calibri" w:hAnsi="Calibri"/>
                <w:i/>
                <w:iCs/>
                <w:color w:val="000000"/>
              </w:rPr>
              <w:t>HERVIP10F-int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HERV-IP</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HERVIP10F-int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HERVIP10F</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7737</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50</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Catarrhini/Simian unclear by MLTree and a few possible shared insertion sites, 0.255 divergent from </w:t>
            </w:r>
            <w:r>
              <w:rPr>
                <w:rFonts w:ascii="Calibri" w:hAnsi="Calibri"/>
                <w:i/>
                <w:iCs/>
                <w:color w:val="000000"/>
              </w:rPr>
              <w:t>HERVIP10FH-int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ERV3-16A3_I-int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ERV3-16A3_I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5226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310</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ERVL-B4-int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ERVL-B4</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5714</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242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ERVL-E-int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ERVL-E</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5667</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130</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ERVL-int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ERVL</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5764</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35</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HERV16</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HERV16-int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HERV16</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4996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24</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HERVL40-int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HERVL_40</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5530</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27</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HERVL74-int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HERVL74</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5685</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10</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HUERS-P3b-int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HUERS-P3B</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7418</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39</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 probable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LOR1-int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LOR1I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8120</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43</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LTR49-int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HERV49I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6331</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49</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LTR52-int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HERV52I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3556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30</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lastRenderedPageBreak/>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MER110-int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MER110I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4728</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MER21-int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MER21I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4191</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54</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MER31-int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MER31_I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4936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53</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MER34B-int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MER34B_I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5356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9</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MER34-int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MER34-int</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8207</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MER4B-int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MER4BI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6758</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43</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 probable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HERV-FRD</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MER50-int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MER50I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7205</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31</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MER51-int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MER51I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7816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16</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 probable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MER52-int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MER52AI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7091</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51</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MER57A-int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MER57A_I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6187</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71</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HERV-HS49C23</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MER57-int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MER57I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7537</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67</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MER65-int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MER65I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4871</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30</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MER66-int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MER66_I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6676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48</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MER68-int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HERVL68</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3037</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27</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MER70-int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MER70_I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5023</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29</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MER76-int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MER76-int</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6189</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HERV-U4</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MER83A-int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MER83AI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4285</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10</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 probable</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MER83B-int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MER83BI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4880</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13</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MER89-int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MER89I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6801</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14</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HERV-F(c)1</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HERV-Fc1-int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HERV-Fc1</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4629</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Homininae probable by blastn and MLTree, clearly present in gorilla</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HERV4_I-int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HERV4_I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6539</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24</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HERVFH19-int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HERVFH19I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7719</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13</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HERV-I, HERV-FTD, FTD</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HERVI-int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7785</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(late) probable by MLTree but no shared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 HML-5</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HERVK22-int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HERVK22I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6823</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56</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(late) confirmed by MLTree and a few shared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lastRenderedPageBreak/>
              <w:t>HERV-S</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HERVL18-int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HERV18</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6053</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48</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HERV-U3</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HERVL66-int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HERVL66I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4329</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15</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HERV-L</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HERVL-int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HERVL</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5654</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585</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HERV-ADP</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HERVP71A-int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HERVP71A_I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7590</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28</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HuERS-P1</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HUERS-P1-int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HUERS-P1</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6263</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55</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probably 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Simian confirmed by MLTree and insertion sites, 0.315 divergent from </w:t>
            </w:r>
            <w:r>
              <w:rPr>
                <w:rFonts w:ascii="Calibri" w:hAnsi="Calibri"/>
                <w:i/>
                <w:iCs/>
                <w:color w:val="000000"/>
              </w:rPr>
              <w:t>HERV35I-int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HuERS-P2</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HUERS-P2-int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HUERS-P2</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3088</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Simian confirmed by MLTree and insertion sites. 0.407 divergent from </w:t>
            </w:r>
            <w:r>
              <w:rPr>
                <w:rFonts w:ascii="Calibri" w:hAnsi="Calibri"/>
                <w:i/>
                <w:iCs/>
                <w:color w:val="000000"/>
              </w:rPr>
              <w:t>MER52-int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HERV-P, HuERS-P3</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HUERS-P3-int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HUERS-P3</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8919</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LTR19-int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HERV19I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5586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18</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Simian confirmed by MLTree and insertion sites, 0.201 divergent from </w:t>
            </w:r>
            <w:r>
              <w:rPr>
                <w:rFonts w:ascii="Calibri" w:hAnsi="Calibri"/>
                <w:i/>
                <w:iCs/>
                <w:color w:val="000000"/>
              </w:rPr>
              <w:t>PABL_A-int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LTR43-int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LTR43_I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4798</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HERV-Fc</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LTR46-int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HERV46I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6985</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MER41-int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MER41I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3944</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231</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probably 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MER84-int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MER84I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4954</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11</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PABL_A-int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PABL_AI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5015</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42</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non-autonomous</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 xml:space="preserve">Simian confirmed by MLTree and insertion sites, 0.201 divergent from </w:t>
            </w:r>
            <w:r>
              <w:rPr>
                <w:rFonts w:ascii="Calibri" w:hAnsi="Calibri"/>
                <w:i/>
                <w:iCs/>
                <w:color w:val="000000"/>
              </w:rPr>
              <w:t>LTR19-int</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HERV-R(b) and HERV-Rb</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PABL_B-int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PABL_BI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7122</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20</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PRIMA41-int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PRIMA41</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7756</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28</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single" w:sz="4" w:space="0" w:color="auto"/>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 </w:t>
            </w:r>
          </w:p>
        </w:tc>
        <w:tc>
          <w:tcPr>
            <w:tcW w:w="171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PRIMA4-int</w:t>
            </w:r>
          </w:p>
        </w:tc>
        <w:tc>
          <w:tcPr>
            <w:tcW w:w="144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i/>
                <w:iCs/>
                <w:color w:val="000000"/>
              </w:rPr>
            </w:pPr>
            <w:r>
              <w:rPr>
                <w:rFonts w:ascii="Calibri" w:hAnsi="Calibri"/>
                <w:i/>
                <w:iCs/>
                <w:color w:val="000000"/>
              </w:rPr>
              <w:t>PRIMA4_I</w:t>
            </w:r>
          </w:p>
        </w:tc>
        <w:tc>
          <w:tcPr>
            <w:tcW w:w="99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8270</w:t>
            </w:r>
          </w:p>
        </w:tc>
        <w:tc>
          <w:tcPr>
            <w:tcW w:w="135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11</w:t>
            </w:r>
          </w:p>
        </w:tc>
        <w:tc>
          <w:tcPr>
            <w:tcW w:w="270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r>
              <w:rPr>
                <w:rFonts w:ascii="Calibri" w:hAnsi="Calibri"/>
                <w:color w:val="000000"/>
              </w:rPr>
              <w:t> </w:t>
            </w:r>
          </w:p>
        </w:tc>
        <w:tc>
          <w:tcPr>
            <w:tcW w:w="8370" w:type="dxa"/>
            <w:tcBorders>
              <w:top w:val="nil"/>
              <w:left w:val="nil"/>
              <w:bottom w:val="single" w:sz="4" w:space="0" w:color="auto"/>
              <w:right w:val="single" w:sz="4" w:space="0" w:color="auto"/>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Simian confirmed by MLTree and insertion sites</w:t>
            </w:r>
          </w:p>
        </w:tc>
      </w:tr>
      <w:tr w:rsidR="00062F5B" w:rsidTr="000F5449">
        <w:trPr>
          <w:trHeight w:val="300"/>
        </w:trPr>
        <w:tc>
          <w:tcPr>
            <w:tcW w:w="4777" w:type="dxa"/>
            <w:tcBorders>
              <w:top w:val="nil"/>
              <w:left w:val="nil"/>
              <w:right w:val="nil"/>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p>
        </w:tc>
        <w:tc>
          <w:tcPr>
            <w:tcW w:w="1710" w:type="dxa"/>
            <w:tcBorders>
              <w:top w:val="nil"/>
              <w:left w:val="nil"/>
              <w:right w:val="nil"/>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p>
        </w:tc>
        <w:tc>
          <w:tcPr>
            <w:tcW w:w="1440" w:type="dxa"/>
            <w:tcBorders>
              <w:top w:val="nil"/>
              <w:left w:val="nil"/>
              <w:right w:val="nil"/>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p>
        </w:tc>
        <w:tc>
          <w:tcPr>
            <w:tcW w:w="990" w:type="dxa"/>
            <w:tcBorders>
              <w:top w:val="nil"/>
              <w:left w:val="nil"/>
              <w:right w:val="nil"/>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p>
        </w:tc>
        <w:tc>
          <w:tcPr>
            <w:tcW w:w="1350" w:type="dxa"/>
            <w:tcBorders>
              <w:top w:val="nil"/>
              <w:left w:val="nil"/>
              <w:right w:val="nil"/>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p>
        </w:tc>
        <w:tc>
          <w:tcPr>
            <w:tcW w:w="2700" w:type="dxa"/>
            <w:tcBorders>
              <w:top w:val="nil"/>
              <w:left w:val="nil"/>
              <w:right w:val="nil"/>
            </w:tcBorders>
            <w:shd w:val="clear" w:color="auto" w:fill="auto"/>
            <w:noWrap/>
            <w:tcMar>
              <w:top w:w="7" w:type="dxa"/>
              <w:left w:w="7" w:type="dxa"/>
              <w:bottom w:w="0" w:type="dxa"/>
              <w:right w:w="7" w:type="dxa"/>
            </w:tcMar>
            <w:vAlign w:val="bottom"/>
            <w:hideMark/>
          </w:tcPr>
          <w:p w:rsidR="00062F5B" w:rsidRDefault="00062F5B">
            <w:pPr>
              <w:jc w:val="center"/>
              <w:rPr>
                <w:rFonts w:ascii="Calibri" w:hAnsi="Calibri"/>
                <w:color w:val="000000"/>
              </w:rPr>
            </w:pPr>
          </w:p>
        </w:tc>
        <w:tc>
          <w:tcPr>
            <w:tcW w:w="8370" w:type="dxa"/>
            <w:tcBorders>
              <w:top w:val="nil"/>
              <w:left w:val="nil"/>
              <w:right w:val="nil"/>
            </w:tcBorders>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p>
        </w:tc>
      </w:tr>
      <w:tr w:rsidR="00062F5B" w:rsidTr="001436FA">
        <w:trPr>
          <w:trHeight w:val="300"/>
        </w:trPr>
        <w:tc>
          <w:tcPr>
            <w:tcW w:w="21337" w:type="dxa"/>
            <w:gridSpan w:val="7"/>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Element autonomy is based both on RepBase annotations and our analysis of the presence of putative capsid and pol genes in the consensus element.</w:t>
            </w:r>
          </w:p>
        </w:tc>
      </w:tr>
      <w:tr w:rsidR="00062F5B" w:rsidTr="001436FA">
        <w:trPr>
          <w:trHeight w:val="300"/>
        </w:trPr>
        <w:tc>
          <w:tcPr>
            <w:tcW w:w="21337" w:type="dxa"/>
            <w:gridSpan w:val="7"/>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The four element types labeled "Catarrhini/Simian unclear" correspond to the four elements given as ambiguous in Figure 3 and the main text.</w:t>
            </w:r>
          </w:p>
        </w:tc>
      </w:tr>
      <w:tr w:rsidR="00062F5B" w:rsidTr="001436FA">
        <w:trPr>
          <w:trHeight w:val="300"/>
        </w:trPr>
        <w:tc>
          <w:tcPr>
            <w:tcW w:w="21337" w:type="dxa"/>
            <w:gridSpan w:val="7"/>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"Catarrhini confirmed" are element types that have no closely-related sequences outside of Catarrhini, and that were confirmed by our analysis. "Simian confirmed" and "Basal Primate confirmed" are analogous.</w:t>
            </w:r>
          </w:p>
        </w:tc>
      </w:tr>
      <w:tr w:rsidR="00062F5B" w:rsidTr="001436FA">
        <w:trPr>
          <w:trHeight w:val="915"/>
        </w:trPr>
        <w:tc>
          <w:tcPr>
            <w:tcW w:w="21337" w:type="dxa"/>
            <w:gridSpan w:val="7"/>
            <w:shd w:val="clear" w:color="auto" w:fill="auto"/>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"Catarrhini robust by MLTree and insertion sites" are element types with closely-related sequences present in the marmoset genome. In these cases, sequence trees and insertion site analysis indicate that these marmoset sequences arose from an independent event, presumably from genome invasion by a related retrovirus (see Supplemental Methods). An example tree (</w:t>
            </w:r>
            <w:r>
              <w:rPr>
                <w:rFonts w:ascii="Calibri" w:hAnsi="Calibri"/>
                <w:i/>
                <w:iCs/>
                <w:color w:val="000000"/>
              </w:rPr>
              <w:t>HERV17</w:t>
            </w:r>
            <w:r>
              <w:rPr>
                <w:rFonts w:ascii="Calibri" w:hAnsi="Calibri"/>
                <w:color w:val="000000"/>
              </w:rPr>
              <w:t>) is shown in the left panel of Figure S4. An example of lack of shared sites (</w:t>
            </w:r>
            <w:r>
              <w:rPr>
                <w:rFonts w:ascii="Calibri" w:hAnsi="Calibri"/>
                <w:i/>
                <w:iCs/>
                <w:color w:val="000000"/>
              </w:rPr>
              <w:t>HERVS71</w:t>
            </w:r>
            <w:r>
              <w:rPr>
                <w:rFonts w:ascii="Calibri" w:hAnsi="Calibri"/>
                <w:color w:val="000000"/>
              </w:rPr>
              <w:t>) between Catarrhini and marmoset is given in Table S6. Analysis of all cases was completed at the same level of detail and is available on request.</w:t>
            </w:r>
          </w:p>
        </w:tc>
      </w:tr>
      <w:tr w:rsidR="00062F5B" w:rsidTr="001436FA">
        <w:trPr>
          <w:trHeight w:val="300"/>
        </w:trPr>
        <w:tc>
          <w:tcPr>
            <w:tcW w:w="21337" w:type="dxa"/>
            <w:gridSpan w:val="7"/>
            <w:shd w:val="clear" w:color="auto" w:fill="auto"/>
            <w:noWrap/>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Eutherian elements are not analyzed in the paper but are included here for completeness.</w:t>
            </w:r>
          </w:p>
        </w:tc>
      </w:tr>
      <w:tr w:rsidR="00062F5B" w:rsidTr="001436FA">
        <w:trPr>
          <w:trHeight w:val="585"/>
        </w:trPr>
        <w:tc>
          <w:tcPr>
            <w:tcW w:w="21337" w:type="dxa"/>
            <w:gridSpan w:val="7"/>
            <w:shd w:val="clear" w:color="auto" w:fill="auto"/>
            <w:tcMar>
              <w:top w:w="7" w:type="dxa"/>
              <w:left w:w="7" w:type="dxa"/>
              <w:bottom w:w="0" w:type="dxa"/>
              <w:right w:w="7" w:type="dxa"/>
            </w:tcMar>
            <w:vAlign w:val="bottom"/>
            <w:hideMark/>
          </w:tcPr>
          <w:p w:rsidR="00062F5B" w:rsidRDefault="00062F5B">
            <w:pPr>
              <w:rPr>
                <w:rFonts w:ascii="Calibri" w:hAnsi="Calibri"/>
                <w:color w:val="000000"/>
              </w:rPr>
            </w:pPr>
            <w:r>
              <w:rPr>
                <w:rFonts w:ascii="Calibri" w:hAnsi="Calibri"/>
                <w:color w:val="000000"/>
              </w:rPr>
              <w:t>For Primate specific closely-related families, the nucleotide divergence of a given family from its most closely related family is given (based on their consensus sequences).  Nucleotide divergence was calculated using phyml (HKY rate matrix, 4 rate classes, ts/tv estimated).</w:t>
            </w:r>
          </w:p>
        </w:tc>
      </w:tr>
    </w:tbl>
    <w:p w:rsidR="0066508C" w:rsidRDefault="0066508C"/>
    <w:sectPr w:rsidR="0066508C" w:rsidSect="000F5449">
      <w:pgSz w:w="2448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defaultTabStop w:val="720"/>
  <w:characterSpacingControl w:val="doNotCompress"/>
  <w:compat/>
  <w:rsids>
    <w:rsidRoot w:val="00062F5B"/>
    <w:rsid w:val="00062F5B"/>
    <w:rsid w:val="000F5449"/>
    <w:rsid w:val="001436FA"/>
    <w:rsid w:val="0066508C"/>
    <w:rsid w:val="00672DAA"/>
    <w:rsid w:val="009623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3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1270</Words>
  <Characters>7244</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jht</dc:creator>
  <cp:keywords/>
  <dc:description/>
  <cp:lastModifiedBy>jht</cp:lastModifiedBy>
  <cp:revision>3</cp:revision>
  <dcterms:created xsi:type="dcterms:W3CDTF">2011-06-14T18:32:00Z</dcterms:created>
  <dcterms:modified xsi:type="dcterms:W3CDTF">2011-06-14T19:23:00Z</dcterms:modified>
</cp:coreProperties>
</file>