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997"/>
        <w:gridCol w:w="1902"/>
        <w:gridCol w:w="1187"/>
        <w:gridCol w:w="2020"/>
      </w:tblGrid>
      <w:tr w:rsidR="00777FD2" w:rsidTr="00777FD2">
        <w:trPr>
          <w:trHeight w:val="300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A2C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Table S2. </w:t>
            </w:r>
            <w:r w:rsidR="00777FD2">
              <w:rPr>
                <w:rFonts w:ascii="Calibri" w:hAnsi="Calibri"/>
                <w:b/>
                <w:bCs/>
                <w:color w:val="000000"/>
              </w:rPr>
              <w:t>Correlations of genomic LTR retroelements and ZF do</w:t>
            </w:r>
            <w:bookmarkStart w:id="0" w:name="_GoBack"/>
            <w:bookmarkEnd w:id="0"/>
            <w:r w:rsidR="00777FD2">
              <w:rPr>
                <w:rFonts w:ascii="Calibri" w:hAnsi="Calibri"/>
                <w:b/>
                <w:bCs/>
                <w:color w:val="000000"/>
              </w:rPr>
              <w:t>mains</w:t>
            </w:r>
          </w:p>
        </w:tc>
      </w:tr>
      <w:tr w:rsidR="00D20110" w:rsidTr="00777F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20110" w:rsidTr="00777FD2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genome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comparison basis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bin size</w:t>
            </w:r>
            <w:r>
              <w:rPr>
                <w:rFonts w:ascii="Calibri" w:hAnsi="Calibri"/>
                <w:color w:val="000000"/>
                <w:vertAlign w:val="superscript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R-squared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P-value (ANOVA)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acar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our data </w:t>
            </w:r>
            <w:r>
              <w:rPr>
                <w:rFonts w:ascii="Calibri" w:hAnsi="Calibri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3.07*10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1.87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acar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3.39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btau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2.67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cfam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7.61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1.13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-05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cjac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1.05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5.12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-08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cpor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3.52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2.27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1.68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1.32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ecab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5.22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gacu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1.42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ggal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2.16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hsap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RepeatMasker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hsap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RepeatMasker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hsap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4.15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hsap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lafr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2.41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mdom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1.39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mdom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1.39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2.73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mmul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5.53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RepeatMasker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RepeatMasker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5.70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lastRenderedPageBreak/>
              <w:t>mmus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1.28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ocun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-13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olat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2.58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1.43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pham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2.87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8.84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7.45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ppyg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2.75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ptro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3.76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rnor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3.93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tgut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2.58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tnig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trub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2.36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3.31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xtro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5.94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2376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7.71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2376B3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</w:tr>
      <w:tr w:rsidR="00D20110" w:rsidTr="00777FD2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mean (100 Kb bin, our data):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2.99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20110" w:rsidTr="00777FD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eutherian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mammal mean (100 Kb bin, our data):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D201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3.27</w:t>
            </w:r>
            <w:r>
              <w:rPr>
                <w:rFonts w:ascii="Calibri" w:hAnsi="Calibri"/>
                <w:color w:val="000000"/>
              </w:rPr>
              <w:t>*10</w:t>
            </w:r>
            <w:r w:rsidR="00777FD2" w:rsidRPr="00D20110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20110" w:rsidTr="00777FD2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77FD2" w:rsidTr="00777FD2">
        <w:trPr>
          <w:trHeight w:val="1005"/>
        </w:trPr>
        <w:tc>
          <w:tcPr>
            <w:tcW w:w="8060" w:type="dxa"/>
            <w:gridSpan w:val="5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 w:rsidRPr="00777FD2">
              <w:rPr>
                <w:rFonts w:ascii="Calibri" w:hAnsi="Calibri"/>
                <w:color w:val="000000"/>
                <w:vertAlign w:val="superscript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Contigs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less than half the length of the bin size were excluded from the counts to reduce over-representing zero match classes in short </w:t>
            </w:r>
            <w:proofErr w:type="spellStart"/>
            <w:r>
              <w:rPr>
                <w:rFonts w:ascii="Calibri" w:hAnsi="Calibri"/>
                <w:color w:val="000000"/>
              </w:rPr>
              <w:t>contigs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Contigs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for </w:t>
            </w:r>
            <w:proofErr w:type="spellStart"/>
            <w:r>
              <w:rPr>
                <w:rFonts w:ascii="Calibri" w:hAnsi="Calibri"/>
                <w:color w:val="000000"/>
              </w:rPr>
              <w:t>pham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(baboon) and </w:t>
            </w:r>
            <w:proofErr w:type="spellStart"/>
            <w:r>
              <w:rPr>
                <w:rFonts w:ascii="Calibri" w:hAnsi="Calibri"/>
                <w:color w:val="000000"/>
              </w:rPr>
              <w:t>pmar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(lamprey) are small, so a smaller bin size was used.</w:t>
            </w:r>
          </w:p>
        </w:tc>
      </w:tr>
      <w:tr w:rsidR="00777FD2" w:rsidTr="00777FD2">
        <w:trPr>
          <w:trHeight w:val="1335"/>
        </w:trPr>
        <w:tc>
          <w:tcPr>
            <w:tcW w:w="8060" w:type="dxa"/>
            <w:gridSpan w:val="5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 w:rsidRPr="00777FD2">
              <w:rPr>
                <w:rFonts w:ascii="Calibri" w:hAnsi="Calibri"/>
                <w:color w:val="000000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</w:rPr>
              <w:t xml:space="preserve"> Counts in each genomic bin are from data summarized in Table S1. Specifically, the LTR retroelement counts are from all elements (</w:t>
            </w:r>
            <w:proofErr w:type="spellStart"/>
            <w:r>
              <w:rPr>
                <w:rFonts w:ascii="Calibri" w:hAnsi="Calibri"/>
                <w:color w:val="000000"/>
              </w:rPr>
              <w:t>minScore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80), and the ZF counts are the numbers of ZF domains in ORFs with four or more fingers (</w:t>
            </w:r>
            <w:proofErr w:type="spellStart"/>
            <w:r>
              <w:rPr>
                <w:rFonts w:ascii="Calibri" w:hAnsi="Calibri"/>
                <w:color w:val="000000"/>
              </w:rPr>
              <w:t>minScore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55). These are the same data shown in main text Figure 1.</w:t>
            </w:r>
          </w:p>
        </w:tc>
      </w:tr>
      <w:tr w:rsidR="00777FD2" w:rsidTr="00777FD2">
        <w:trPr>
          <w:trHeight w:val="1020"/>
        </w:trPr>
        <w:tc>
          <w:tcPr>
            <w:tcW w:w="8060" w:type="dxa"/>
            <w:gridSpan w:val="5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777FD2" w:rsidRDefault="00777FD2">
            <w:pPr>
              <w:rPr>
                <w:rFonts w:ascii="Calibri" w:hAnsi="Calibri"/>
                <w:color w:val="000000"/>
              </w:rPr>
            </w:pPr>
            <w:r w:rsidRPr="00777FD2">
              <w:rPr>
                <w:rFonts w:ascii="Calibri" w:hAnsi="Calibri"/>
                <w:color w:val="000000"/>
                <w:vertAlign w:val="superscript"/>
              </w:rPr>
              <w:t>3</w:t>
            </w:r>
            <w:r>
              <w:rPr>
                <w:rFonts w:ascii="Calibri" w:hAnsi="Calibri"/>
                <w:color w:val="000000"/>
              </w:rPr>
              <w:t xml:space="preserve"> LTR retroelement counts in each genomic bin are the number of individual LTR class segments reported in the current </w:t>
            </w:r>
            <w:proofErr w:type="spellStart"/>
            <w:r>
              <w:rPr>
                <w:rFonts w:ascii="Calibri" w:hAnsi="Calibri"/>
                <w:color w:val="000000"/>
              </w:rPr>
              <w:t>RepeatMasker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table from the UCSC genome site. The ZF domain counts are from total genomic ZF domains (</w:t>
            </w:r>
            <w:proofErr w:type="spellStart"/>
            <w:r>
              <w:rPr>
                <w:rFonts w:ascii="Calibri" w:hAnsi="Calibri"/>
                <w:color w:val="000000"/>
              </w:rPr>
              <w:t>minScore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55).</w:t>
            </w:r>
          </w:p>
        </w:tc>
      </w:tr>
    </w:tbl>
    <w:p w:rsidR="00EE2B80" w:rsidRDefault="00EE2B80"/>
    <w:sectPr w:rsidR="00EE2B80" w:rsidSect="00EE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7FD2"/>
    <w:rsid w:val="002376B3"/>
    <w:rsid w:val="002A2CDC"/>
    <w:rsid w:val="00777FD2"/>
    <w:rsid w:val="00C670A7"/>
    <w:rsid w:val="00D20110"/>
    <w:rsid w:val="00E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Sean</cp:lastModifiedBy>
  <cp:revision>3</cp:revision>
  <dcterms:created xsi:type="dcterms:W3CDTF">2011-06-14T18:27:00Z</dcterms:created>
  <dcterms:modified xsi:type="dcterms:W3CDTF">2011-06-14T20:28:00Z</dcterms:modified>
</cp:coreProperties>
</file>