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7" w:type="dxa"/>
        <w:tblLayout w:type="fixed"/>
        <w:tblCellMar>
          <w:left w:w="0" w:type="dxa"/>
          <w:right w:w="0" w:type="dxa"/>
        </w:tblCellMar>
        <w:tblLook w:val="04A0"/>
      </w:tblPr>
      <w:tblGrid>
        <w:gridCol w:w="960"/>
        <w:gridCol w:w="960"/>
        <w:gridCol w:w="967"/>
        <w:gridCol w:w="133"/>
        <w:gridCol w:w="947"/>
        <w:gridCol w:w="333"/>
        <w:gridCol w:w="1017"/>
        <w:gridCol w:w="263"/>
        <w:gridCol w:w="727"/>
        <w:gridCol w:w="553"/>
        <w:gridCol w:w="437"/>
        <w:gridCol w:w="843"/>
        <w:gridCol w:w="1317"/>
      </w:tblGrid>
      <w:tr w:rsidR="001D673A" w:rsidTr="001D673A">
        <w:trPr>
          <w:trHeight w:val="420"/>
        </w:trPr>
        <w:tc>
          <w:tcPr>
            <w:tcW w:w="9457" w:type="dxa"/>
            <w:gridSpan w:val="13"/>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217778">
            <w:pPr>
              <w:rPr>
                <w:rFonts w:ascii="Calibri" w:hAnsi="Calibri"/>
                <w:b/>
                <w:bCs/>
                <w:color w:val="000000"/>
                <w:sz w:val="24"/>
                <w:szCs w:val="24"/>
              </w:rPr>
            </w:pPr>
            <w:r>
              <w:rPr>
                <w:rFonts w:ascii="Calibri" w:hAnsi="Calibri"/>
                <w:b/>
                <w:bCs/>
                <w:color w:val="000000"/>
              </w:rPr>
              <w:t xml:space="preserve">Table S10. </w:t>
            </w:r>
            <w:r w:rsidR="001D673A">
              <w:rPr>
                <w:rFonts w:ascii="Calibri" w:hAnsi="Calibri"/>
                <w:b/>
                <w:bCs/>
                <w:color w:val="000000"/>
              </w:rPr>
              <w:t>Specific sites of change in duplicates with an indeterminate ancestral gene</w:t>
            </w:r>
          </w:p>
        </w:tc>
      </w:tr>
      <w:tr w:rsidR="001D673A" w:rsidTr="001D673A">
        <w:trPr>
          <w:trHeight w:val="420"/>
        </w:trPr>
        <w:tc>
          <w:tcPr>
            <w:tcW w:w="960"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960"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967" w:type="dxa"/>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1080" w:type="dxa"/>
            <w:gridSpan w:val="2"/>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1350" w:type="dxa"/>
            <w:gridSpan w:val="2"/>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990" w:type="dxa"/>
            <w:gridSpan w:val="2"/>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990" w:type="dxa"/>
            <w:gridSpan w:val="2"/>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c>
          <w:tcPr>
            <w:tcW w:w="2160" w:type="dxa"/>
            <w:gridSpan w:val="2"/>
            <w:tcBorders>
              <w:top w:val="nil"/>
              <w:left w:val="nil"/>
              <w:bottom w:val="single" w:sz="4" w:space="0" w:color="auto"/>
              <w:right w:val="nil"/>
            </w:tcBorders>
            <w:shd w:val="clear" w:color="auto" w:fill="auto"/>
            <w:noWrap/>
            <w:tcMar>
              <w:top w:w="7" w:type="dxa"/>
              <w:left w:w="7" w:type="dxa"/>
              <w:bottom w:w="0" w:type="dxa"/>
              <w:right w:w="7" w:type="dxa"/>
            </w:tcMar>
            <w:vAlign w:val="bottom"/>
            <w:hideMark/>
          </w:tcPr>
          <w:p w:rsidR="001D673A" w:rsidRDefault="001D673A">
            <w:pPr>
              <w:rPr>
                <w:b/>
                <w:bCs/>
                <w:color w:val="000000"/>
                <w:sz w:val="24"/>
                <w:szCs w:val="24"/>
              </w:rPr>
            </w:pPr>
            <w:r>
              <w:rPr>
                <w:b/>
                <w:bCs/>
                <w:color w:val="000000"/>
              </w:rPr>
              <w:t> </w:t>
            </w:r>
          </w:p>
        </w:tc>
      </w:tr>
      <w:tr w:rsidR="001D673A" w:rsidTr="001D673A">
        <w:trPr>
          <w:trHeight w:val="960"/>
        </w:trPr>
        <w:tc>
          <w:tcPr>
            <w:tcW w:w="960"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gene 1</w:t>
            </w:r>
          </w:p>
        </w:tc>
        <w:tc>
          <w:tcPr>
            <w:tcW w:w="96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gene 2</w:t>
            </w:r>
          </w:p>
        </w:tc>
        <w:tc>
          <w:tcPr>
            <w:tcW w:w="967" w:type="dxa"/>
            <w:tcBorders>
              <w:top w:val="nil"/>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absolute position</w:t>
            </w:r>
          </w:p>
        </w:tc>
        <w:tc>
          <w:tcPr>
            <w:tcW w:w="1080" w:type="dxa"/>
            <w:gridSpan w:val="2"/>
            <w:tcBorders>
              <w:top w:val="nil"/>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zinc finger number</w:t>
            </w:r>
          </w:p>
        </w:tc>
        <w:tc>
          <w:tcPr>
            <w:tcW w:w="1350" w:type="dxa"/>
            <w:gridSpan w:val="2"/>
            <w:tcBorders>
              <w:top w:val="nil"/>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position within zinc finger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residue 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residue 2</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type</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ZFP112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ZFP30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ZFP82</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ZNF124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ZNF226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ZNF234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ZNF805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ZNF680</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ZNF354A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ZNF354B</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ZNF382</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ZNF567</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ZNF383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ZNF829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ZNF484</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ZNF528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LLNL759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ZNF569</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ZNF570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ZNF583</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ZNF621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ZNF675</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ZNF681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ZNF175</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386</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258</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262</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279</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283</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307</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374</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ZNF841</w:t>
            </w:r>
          </w:p>
        </w:tc>
        <w:tc>
          <w:tcPr>
            <w:tcW w:w="967"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405</w:t>
            </w:r>
          </w:p>
        </w:tc>
        <w:tc>
          <w:tcPr>
            <w:tcW w:w="108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35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99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2160" w:type="dxa"/>
            <w:gridSpan w:val="2"/>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67"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0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35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9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9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216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r>
      <w:tr w:rsidR="001D673A" w:rsidTr="001D673A">
        <w:trPr>
          <w:trHeight w:val="2970"/>
        </w:trPr>
        <w:tc>
          <w:tcPr>
            <w:tcW w:w="9457" w:type="dxa"/>
            <w:gridSpan w:val="13"/>
            <w:tcBorders>
              <w:top w:val="nil"/>
              <w:left w:val="nil"/>
              <w:bottom w:val="nil"/>
              <w:right w:val="nil"/>
            </w:tcBorders>
            <w:shd w:val="clear" w:color="auto" w:fill="auto"/>
            <w:tcMar>
              <w:top w:w="7" w:type="dxa"/>
              <w:left w:w="7" w:type="dxa"/>
              <w:bottom w:w="0" w:type="dxa"/>
              <w:right w:w="7" w:type="dxa"/>
            </w:tcMar>
            <w:vAlign w:val="bottom"/>
            <w:hideMark/>
          </w:tcPr>
          <w:p w:rsidR="001D673A" w:rsidRDefault="001D673A">
            <w:pPr>
              <w:rPr>
                <w:rFonts w:ascii="Calibri" w:hAnsi="Calibri"/>
                <w:color w:val="000000"/>
                <w:sz w:val="24"/>
                <w:szCs w:val="24"/>
              </w:rPr>
            </w:pPr>
            <w:r>
              <w:rPr>
                <w:rFonts w:ascii="Calibri" w:hAnsi="Calibri"/>
                <w:color w:val="000000"/>
              </w:rPr>
              <w:t>Absolute position - position of the site in the concatenation of all canonical zinc fingers (sequences before the first finger or after the last finger and sequences corresponding to finger indels and defective fingers were removed). Zinc finger number - the zinc finger affected, numbered from left to right in the concatenation of all canonical ZF domains. Position within zinc finger - the position within the ZF domain, defined as starting 7 residues before the first zinc-coordinating C residue and ending at the second zinc-coordinating H residue. Residue 1 and residue 2 - the amino acids present at the site in gene 1 and gene 2 respectively. Only sites at which all orthologs of each gene had the same amino acid were counted. Type - classification of the type of residue affected (see Table 1).</w:t>
            </w:r>
          </w:p>
        </w:tc>
      </w:tr>
      <w:tr w:rsidR="001D673A" w:rsidTr="001D673A">
        <w:trPr>
          <w:trHeight w:val="300"/>
        </w:trPr>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10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317"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r>
      <w:tr w:rsidR="001D673A" w:rsidTr="001D673A">
        <w:trPr>
          <w:trHeight w:val="300"/>
        </w:trPr>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10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317"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r>
      <w:tr w:rsidR="001D673A" w:rsidTr="001D673A">
        <w:trPr>
          <w:trHeight w:val="315"/>
        </w:trPr>
        <w:tc>
          <w:tcPr>
            <w:tcW w:w="9457" w:type="dxa"/>
            <w:gridSpan w:val="13"/>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rPr>
                <w:rFonts w:ascii="Calibri" w:hAnsi="Calibri"/>
                <w:b/>
                <w:bCs/>
                <w:color w:val="000000"/>
                <w:sz w:val="24"/>
                <w:szCs w:val="24"/>
              </w:rPr>
            </w:pPr>
            <w:r>
              <w:rPr>
                <w:rFonts w:ascii="Calibri" w:hAnsi="Calibri"/>
                <w:b/>
                <w:bCs/>
                <w:color w:val="000000"/>
              </w:rPr>
              <w:t>Specific sites of change in duplicates with an inferred ancestral gene.</w:t>
            </w:r>
          </w:p>
        </w:tc>
      </w:tr>
      <w:tr w:rsidR="001D673A" w:rsidTr="001D673A">
        <w:trPr>
          <w:trHeight w:val="300"/>
        </w:trPr>
        <w:tc>
          <w:tcPr>
            <w:tcW w:w="960" w:type="dxa"/>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nil"/>
              <w:right w:val="nil"/>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1200"/>
        </w:trPr>
        <w:tc>
          <w:tcPr>
            <w:tcW w:w="960" w:type="dxa"/>
            <w:tcBorders>
              <w:top w:val="single" w:sz="4" w:space="0" w:color="auto"/>
              <w:left w:val="single" w:sz="4" w:space="0" w:color="auto"/>
              <w:bottom w:val="single" w:sz="4" w:space="0" w:color="auto"/>
              <w:right w:val="single" w:sz="4" w:space="0" w:color="auto"/>
            </w:tcBorders>
            <w:shd w:val="clear" w:color="000000" w:fill="FFFFFF"/>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gene 1</w:t>
            </w:r>
          </w:p>
        </w:tc>
        <w:tc>
          <w:tcPr>
            <w:tcW w:w="960"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gene 2</w:t>
            </w:r>
          </w:p>
        </w:tc>
        <w:tc>
          <w:tcPr>
            <w:tcW w:w="1100" w:type="dxa"/>
            <w:gridSpan w:val="2"/>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absolute position</w:t>
            </w:r>
          </w:p>
        </w:tc>
        <w:tc>
          <w:tcPr>
            <w:tcW w:w="1280" w:type="dxa"/>
            <w:gridSpan w:val="2"/>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zinc finger number</w:t>
            </w:r>
          </w:p>
        </w:tc>
        <w:tc>
          <w:tcPr>
            <w:tcW w:w="1280" w:type="dxa"/>
            <w:gridSpan w:val="2"/>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position within zinc finger</w:t>
            </w:r>
          </w:p>
        </w:tc>
        <w:tc>
          <w:tcPr>
            <w:tcW w:w="1280" w:type="dxa"/>
            <w:gridSpan w:val="2"/>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residue 1</w:t>
            </w:r>
          </w:p>
        </w:tc>
        <w:tc>
          <w:tcPr>
            <w:tcW w:w="1280" w:type="dxa"/>
            <w:gridSpan w:val="2"/>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residue 2</w:t>
            </w:r>
          </w:p>
        </w:tc>
        <w:tc>
          <w:tcPr>
            <w:tcW w:w="1317" w:type="dxa"/>
            <w:tcBorders>
              <w:top w:val="single" w:sz="4" w:space="0" w:color="auto"/>
              <w:left w:val="nil"/>
              <w:bottom w:val="single" w:sz="4" w:space="0" w:color="auto"/>
              <w:right w:val="single" w:sz="4" w:space="0" w:color="auto"/>
            </w:tcBorders>
            <w:shd w:val="clear" w:color="000000" w:fill="FFFFFF"/>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type</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ZNF431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ZNF714</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ZNF679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409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496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499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495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289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ZNF160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ZNF665</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ZNF468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ZNF28</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ZNF600</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ZNF611</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ZNF799</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ZNF773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ZNF33B</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ZNF33A</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ZNF585A</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ZNF585B</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ZNF736</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ZNF727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ZNF558</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ZNF557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ZNF764</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ZNF747</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ZNF133</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ZNF343</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ZNF17</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ZNF749</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 </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nt_contact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M</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212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ntc_adjacent</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P</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W</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lastRenderedPageBreak/>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119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H</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I</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G</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10</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154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167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V</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T</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Y</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175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182</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F</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194</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26</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199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A</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L</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203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8</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E</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D</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237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13</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N</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K</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249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Q</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R</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single" w:sz="4" w:space="0" w:color="auto"/>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ZIK1</w:t>
            </w:r>
          </w:p>
        </w:tc>
        <w:tc>
          <w:tcPr>
            <w:tcW w:w="960"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ZNF416</w:t>
            </w:r>
          </w:p>
        </w:tc>
        <w:tc>
          <w:tcPr>
            <w:tcW w:w="110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251</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9</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27</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C</w:t>
            </w:r>
          </w:p>
        </w:tc>
        <w:tc>
          <w:tcPr>
            <w:tcW w:w="1280" w:type="dxa"/>
            <w:gridSpan w:val="2"/>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S</w:t>
            </w:r>
          </w:p>
        </w:tc>
        <w:tc>
          <w:tcPr>
            <w:tcW w:w="1317" w:type="dxa"/>
            <w:tcBorders>
              <w:top w:val="nil"/>
              <w:left w:val="nil"/>
              <w:bottom w:val="single" w:sz="4" w:space="0" w:color="auto"/>
              <w:right w:val="single" w:sz="4" w:space="0" w:color="auto"/>
            </w:tcBorders>
            <w:shd w:val="clear" w:color="000000" w:fill="FFFFFF"/>
            <w:noWrap/>
            <w:tcMar>
              <w:top w:w="7" w:type="dxa"/>
              <w:left w:w="7" w:type="dxa"/>
              <w:bottom w:w="0" w:type="dxa"/>
              <w:right w:w="7" w:type="dxa"/>
            </w:tcMar>
            <w:vAlign w:val="bottom"/>
            <w:hideMark/>
          </w:tcPr>
          <w:p w:rsidR="001D673A" w:rsidRDefault="001D673A">
            <w:pPr>
              <w:jc w:val="center"/>
              <w:rPr>
                <w:rFonts w:ascii="Calibri" w:hAnsi="Calibri"/>
                <w:color w:val="000000"/>
              </w:rPr>
            </w:pPr>
            <w:r>
              <w:rPr>
                <w:rFonts w:ascii="Calibri" w:hAnsi="Calibri"/>
                <w:color w:val="000000"/>
              </w:rPr>
              <w:t>other</w:t>
            </w:r>
          </w:p>
        </w:tc>
      </w:tr>
      <w:tr w:rsidR="001D673A" w:rsidTr="001D673A">
        <w:trPr>
          <w:trHeight w:val="300"/>
        </w:trPr>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960"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10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280" w:type="dxa"/>
            <w:gridSpan w:val="2"/>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c>
          <w:tcPr>
            <w:tcW w:w="1317" w:type="dxa"/>
            <w:tcBorders>
              <w:top w:val="nil"/>
              <w:left w:val="nil"/>
              <w:bottom w:val="nil"/>
              <w:right w:val="nil"/>
            </w:tcBorders>
            <w:shd w:val="clear" w:color="auto" w:fill="auto"/>
            <w:noWrap/>
            <w:tcMar>
              <w:top w:w="7" w:type="dxa"/>
              <w:left w:w="7" w:type="dxa"/>
              <w:bottom w:w="0" w:type="dxa"/>
              <w:right w:w="7" w:type="dxa"/>
            </w:tcMar>
            <w:vAlign w:val="bottom"/>
            <w:hideMark/>
          </w:tcPr>
          <w:p w:rsidR="001D673A" w:rsidRDefault="001D673A">
            <w:pPr>
              <w:jc w:val="center"/>
              <w:rPr>
                <w:rFonts w:ascii="Calibri" w:hAnsi="Calibri"/>
                <w:color w:val="000000"/>
              </w:rPr>
            </w:pPr>
          </w:p>
        </w:tc>
      </w:tr>
      <w:tr w:rsidR="001D673A" w:rsidTr="001D673A">
        <w:trPr>
          <w:trHeight w:val="2745"/>
        </w:trPr>
        <w:tc>
          <w:tcPr>
            <w:tcW w:w="9457" w:type="dxa"/>
            <w:gridSpan w:val="13"/>
            <w:tcBorders>
              <w:top w:val="nil"/>
              <w:left w:val="nil"/>
              <w:bottom w:val="nil"/>
              <w:right w:val="nil"/>
            </w:tcBorders>
            <w:shd w:val="clear" w:color="auto" w:fill="auto"/>
            <w:tcMar>
              <w:top w:w="7" w:type="dxa"/>
              <w:left w:w="7" w:type="dxa"/>
              <w:bottom w:w="0" w:type="dxa"/>
              <w:right w:w="7" w:type="dxa"/>
            </w:tcMar>
            <w:vAlign w:val="bottom"/>
            <w:hideMark/>
          </w:tcPr>
          <w:p w:rsidR="001D673A" w:rsidRDefault="001D673A">
            <w:pPr>
              <w:rPr>
                <w:rFonts w:ascii="Calibri" w:hAnsi="Calibri"/>
                <w:color w:val="000000"/>
                <w:sz w:val="24"/>
                <w:szCs w:val="24"/>
              </w:rPr>
            </w:pPr>
            <w:r>
              <w:rPr>
                <w:rFonts w:ascii="Calibri" w:hAnsi="Calibri"/>
                <w:color w:val="000000"/>
              </w:rPr>
              <w:lastRenderedPageBreak/>
              <w:t>Columns 1 -8 are as defined as in Table 2, with the human name for the inferred ancestral gene listed as gene 1. For each duplicate, there were between 1 and 5 species that contained only one gene corresponding to the duplicate pair (i.e. species that branched before the duplication event). Columns 9 - 12 list the number of these pre-duplication copies that are matched by each of the duplicate copies. Only sites at which all orthologous copies of the new duplicate had the same amino acid were considered. Ignoring infrequent cases in which the a pre-duplication copy matched neither duplicate, an asymmetry score of -1, 0, or +1 was assigned for each position depending on whether fewer, equal, or more pre-duplication copies matched duplicate gene 1 vs. gene 2. Since gene 1 was defined as corresponding to the ancestral sequence, the average of the asymmetry scores can range from 0 to 1. The last table column gives the averaged asymmetry value for each duplicate pair; a value of 0 indicates no asymmetry and a value of 1.0 indicates perfect asymmetry. Note that nearly all of the nucleotide contact sites were asymmetric even for genes with lower overall asymmetry scores.</w:t>
            </w:r>
          </w:p>
        </w:tc>
      </w:tr>
    </w:tbl>
    <w:p w:rsidR="005A6F6C" w:rsidRDefault="005A6F6C"/>
    <w:sectPr w:rsidR="005A6F6C" w:rsidSect="005A6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2"/>
  <w:defaultTabStop w:val="720"/>
  <w:characterSpacingControl w:val="doNotCompress"/>
  <w:compat/>
  <w:rsids>
    <w:rsidRoot w:val="001D673A"/>
    <w:rsid w:val="001D673A"/>
    <w:rsid w:val="00217778"/>
    <w:rsid w:val="005A6F6C"/>
    <w:rsid w:val="00622CDB"/>
    <w:rsid w:val="00B31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73A"/>
    <w:rPr>
      <w:color w:val="0000FF"/>
      <w:u w:val="single"/>
    </w:rPr>
  </w:style>
  <w:style w:type="character" w:styleId="FollowedHyperlink">
    <w:name w:val="FollowedHyperlink"/>
    <w:basedOn w:val="DefaultParagraphFont"/>
    <w:uiPriority w:val="99"/>
    <w:semiHidden/>
    <w:unhideWhenUsed/>
    <w:rsid w:val="001D673A"/>
    <w:rPr>
      <w:color w:val="800080"/>
      <w:u w:val="single"/>
    </w:rPr>
  </w:style>
  <w:style w:type="paragraph" w:customStyle="1" w:styleId="xl63">
    <w:name w:val="xl63"/>
    <w:basedOn w:val="Normal"/>
    <w:rsid w:val="001D6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1D67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1D6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1D6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1D673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1D67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1D673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1D6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D673A"/>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21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67</Pages>
  <Words>8895</Words>
  <Characters>50703</Characters>
  <Application>Microsoft Office Word</Application>
  <DocSecurity>0</DocSecurity>
  <Lines>422</Lines>
  <Paragraphs>118</Paragraphs>
  <ScaleCrop>false</ScaleCrop>
  <Company/>
  <LinksUpToDate>false</LinksUpToDate>
  <CharactersWithSpaces>59480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jht</dc:creator>
  <cp:keywords/>
  <dc:description/>
  <cp:lastModifiedBy>jht</cp:lastModifiedBy>
  <cp:revision>2</cp:revision>
  <dcterms:created xsi:type="dcterms:W3CDTF">2011-06-14T18:48:00Z</dcterms:created>
  <dcterms:modified xsi:type="dcterms:W3CDTF">2011-06-14T19:27:00Z</dcterms:modified>
</cp:coreProperties>
</file>