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9E9" w:rsidRDefault="004959E9" w:rsidP="004959E9">
      <w:pPr>
        <w:rPr>
          <w:rFonts w:ascii="Arial" w:hAnsi="Arial" w:cs="Arial"/>
        </w:rPr>
      </w:pPr>
    </w:p>
    <w:p w:rsidR="004959E9" w:rsidRDefault="004959E9" w:rsidP="004959E9">
      <w:pPr>
        <w:rPr>
          <w:rFonts w:ascii="Arial" w:hAnsi="Arial" w:cs="Arial"/>
        </w:rPr>
      </w:pPr>
    </w:p>
    <w:tbl>
      <w:tblPr>
        <w:tblW w:w="3529" w:type="dxa"/>
        <w:tblInd w:w="1440" w:type="dxa"/>
        <w:tblLook w:val="0000"/>
      </w:tblPr>
      <w:tblGrid>
        <w:gridCol w:w="443"/>
        <w:gridCol w:w="1395"/>
        <w:gridCol w:w="1691"/>
      </w:tblGrid>
      <w:tr w:rsidR="004959E9" w:rsidTr="000D11FA">
        <w:trPr>
          <w:trHeight w:val="255"/>
        </w:trPr>
        <w:tc>
          <w:tcPr>
            <w:tcW w:w="443" w:type="dxa"/>
            <w:noWrap/>
          </w:tcPr>
          <w:p w:rsidR="004959E9" w:rsidRDefault="004959E9" w:rsidP="000D11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6" w:type="dxa"/>
            <w:gridSpan w:val="2"/>
            <w:noWrap/>
          </w:tcPr>
          <w:p w:rsidR="004959E9" w:rsidRPr="00143C02" w:rsidRDefault="004959E9" w:rsidP="000D11FA">
            <w:pPr>
              <w:jc w:val="center"/>
              <w:rPr>
                <w:b/>
                <w:bCs/>
                <w:iCs/>
                <w:u w:val="single"/>
              </w:rPr>
            </w:pPr>
            <w:r w:rsidRPr="001C497F">
              <w:rPr>
                <w:b/>
                <w:bCs/>
                <w:iCs/>
                <w:u w:val="single"/>
              </w:rPr>
              <w:t xml:space="preserve">Tm of </w:t>
            </w:r>
            <w:r w:rsidRPr="007526CB">
              <w:rPr>
                <w:b/>
                <w:bCs/>
                <w:i/>
                <w:iCs/>
                <w:u w:val="single"/>
              </w:rPr>
              <w:t>CDKN2a</w:t>
            </w:r>
            <w:r w:rsidRPr="001C497F">
              <w:rPr>
                <w:b/>
                <w:bCs/>
                <w:iCs/>
                <w:u w:val="single"/>
              </w:rPr>
              <w:t xml:space="preserve"> products</w:t>
            </w:r>
          </w:p>
        </w:tc>
      </w:tr>
      <w:tr w:rsidR="004959E9" w:rsidTr="000D11FA">
        <w:trPr>
          <w:trHeight w:val="255"/>
        </w:trPr>
        <w:tc>
          <w:tcPr>
            <w:tcW w:w="443" w:type="dxa"/>
            <w:noWrap/>
          </w:tcPr>
          <w:p w:rsidR="004959E9" w:rsidRDefault="004959E9" w:rsidP="000D11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noWrap/>
          </w:tcPr>
          <w:p w:rsidR="004959E9" w:rsidRPr="00C52FCD" w:rsidRDefault="004959E9" w:rsidP="000D11FA">
            <w:pPr>
              <w:jc w:val="center"/>
              <w:rPr>
                <w:b/>
                <w:bCs/>
                <w:i/>
                <w:iCs/>
              </w:rPr>
            </w:pPr>
            <w:r w:rsidRPr="00C52FCD">
              <w:rPr>
                <w:b/>
                <w:bCs/>
                <w:i/>
                <w:iCs/>
              </w:rPr>
              <w:t>MS-</w:t>
            </w:r>
            <w:proofErr w:type="spellStart"/>
            <w:r w:rsidRPr="00C52FCD">
              <w:rPr>
                <w:b/>
                <w:bCs/>
                <w:i/>
                <w:iCs/>
              </w:rPr>
              <w:t>qFRET</w:t>
            </w:r>
            <w:proofErr w:type="spellEnd"/>
          </w:p>
        </w:tc>
        <w:tc>
          <w:tcPr>
            <w:tcW w:w="1691" w:type="dxa"/>
            <w:noWrap/>
          </w:tcPr>
          <w:p w:rsidR="004959E9" w:rsidRPr="00C52FCD" w:rsidRDefault="004959E9" w:rsidP="000D11F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Standard</w:t>
            </w:r>
            <w:r w:rsidRPr="00C52FCD">
              <w:rPr>
                <w:b/>
                <w:bCs/>
                <w:i/>
                <w:iCs/>
              </w:rPr>
              <w:t xml:space="preserve"> MSP</w:t>
            </w:r>
          </w:p>
        </w:tc>
      </w:tr>
      <w:tr w:rsidR="004959E9" w:rsidTr="000D11FA">
        <w:trPr>
          <w:trHeight w:val="315"/>
        </w:trPr>
        <w:tc>
          <w:tcPr>
            <w:tcW w:w="443" w:type="dxa"/>
            <w:noWrap/>
          </w:tcPr>
          <w:p w:rsidR="004959E9" w:rsidRPr="00C52FCD" w:rsidRDefault="004959E9" w:rsidP="000D11FA">
            <w:pPr>
              <w:jc w:val="center"/>
              <w:rPr>
                <w:b/>
                <w:bCs/>
              </w:rPr>
            </w:pPr>
            <w:r w:rsidRPr="00C52FCD">
              <w:rPr>
                <w:b/>
                <w:bCs/>
              </w:rPr>
              <w:t>M</w:t>
            </w:r>
          </w:p>
        </w:tc>
        <w:tc>
          <w:tcPr>
            <w:tcW w:w="1395" w:type="dxa"/>
            <w:noWrap/>
          </w:tcPr>
          <w:p w:rsidR="004959E9" w:rsidRPr="00C52FCD" w:rsidRDefault="004959E9" w:rsidP="000D11FA">
            <w:pPr>
              <w:jc w:val="center"/>
            </w:pPr>
            <w:r w:rsidRPr="00C52FCD">
              <w:t>83.4</w:t>
            </w:r>
          </w:p>
        </w:tc>
        <w:tc>
          <w:tcPr>
            <w:tcW w:w="1691" w:type="dxa"/>
            <w:noWrap/>
          </w:tcPr>
          <w:p w:rsidR="004959E9" w:rsidRPr="00C52FCD" w:rsidRDefault="004959E9" w:rsidP="000D11FA">
            <w:pPr>
              <w:jc w:val="center"/>
            </w:pPr>
            <w:r w:rsidRPr="00C52FCD">
              <w:t>84.2</w:t>
            </w:r>
          </w:p>
        </w:tc>
      </w:tr>
      <w:tr w:rsidR="004959E9" w:rsidTr="000D11FA">
        <w:trPr>
          <w:trHeight w:val="315"/>
        </w:trPr>
        <w:tc>
          <w:tcPr>
            <w:tcW w:w="443" w:type="dxa"/>
            <w:noWrap/>
          </w:tcPr>
          <w:p w:rsidR="004959E9" w:rsidRPr="00C52FCD" w:rsidRDefault="004959E9" w:rsidP="000D11FA">
            <w:pPr>
              <w:jc w:val="center"/>
              <w:rPr>
                <w:b/>
                <w:bCs/>
              </w:rPr>
            </w:pPr>
            <w:r w:rsidRPr="00C52FCD">
              <w:rPr>
                <w:b/>
                <w:bCs/>
              </w:rPr>
              <w:t>U</w:t>
            </w:r>
          </w:p>
        </w:tc>
        <w:tc>
          <w:tcPr>
            <w:tcW w:w="1395" w:type="dxa"/>
            <w:noWrap/>
          </w:tcPr>
          <w:p w:rsidR="004959E9" w:rsidRPr="00C52FCD" w:rsidRDefault="004959E9" w:rsidP="000D11FA">
            <w:pPr>
              <w:jc w:val="center"/>
            </w:pPr>
            <w:r w:rsidRPr="00C52FCD">
              <w:t>76.2</w:t>
            </w:r>
          </w:p>
        </w:tc>
        <w:tc>
          <w:tcPr>
            <w:tcW w:w="1691" w:type="dxa"/>
            <w:noWrap/>
          </w:tcPr>
          <w:p w:rsidR="004959E9" w:rsidRPr="00C52FCD" w:rsidRDefault="004959E9" w:rsidP="000D11FA">
            <w:pPr>
              <w:jc w:val="center"/>
            </w:pPr>
            <w:r w:rsidRPr="00C52FCD">
              <w:t>77.6</w:t>
            </w:r>
          </w:p>
        </w:tc>
      </w:tr>
    </w:tbl>
    <w:p w:rsidR="004959E9" w:rsidRDefault="004959E9" w:rsidP="004959E9">
      <w:pPr>
        <w:rPr>
          <w:rFonts w:ascii="Arial" w:hAnsi="Arial" w:cs="Arial"/>
        </w:rPr>
      </w:pPr>
    </w:p>
    <w:p w:rsidR="004959E9" w:rsidRDefault="004959E9" w:rsidP="004959E9">
      <w:pPr>
        <w:rPr>
          <w:rFonts w:ascii="Arial" w:hAnsi="Arial" w:cs="Arial"/>
        </w:rPr>
      </w:pPr>
    </w:p>
    <w:p w:rsidR="004959E9" w:rsidRDefault="004959E9" w:rsidP="004959E9">
      <w:pPr>
        <w:ind w:firstLine="720"/>
        <w:rPr>
          <w:rFonts w:ascii="Arial" w:hAnsi="Arial" w:cs="Arial"/>
          <w:b/>
          <w:sz w:val="22"/>
          <w:szCs w:val="22"/>
        </w:rPr>
      </w:pPr>
      <w:r w:rsidRPr="00C72287">
        <w:rPr>
          <w:rFonts w:ascii="Arial" w:hAnsi="Arial" w:cs="Arial"/>
          <w:b/>
          <w:sz w:val="22"/>
          <w:szCs w:val="22"/>
        </w:rPr>
        <w:t>Supplementary Table 2</w:t>
      </w:r>
    </w:p>
    <w:p w:rsidR="004959E9" w:rsidRPr="00C72287" w:rsidRDefault="004959E9" w:rsidP="004959E9">
      <w:pPr>
        <w:ind w:firstLine="720"/>
        <w:rPr>
          <w:rFonts w:ascii="Arial" w:hAnsi="Arial" w:cs="Arial"/>
          <w:b/>
          <w:sz w:val="22"/>
          <w:szCs w:val="22"/>
        </w:rPr>
      </w:pPr>
    </w:p>
    <w:p w:rsidR="004959E9" w:rsidRPr="00CB2269" w:rsidRDefault="004959E9" w:rsidP="004959E9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  <w:proofErr w:type="gramStart"/>
      <w:r w:rsidRPr="00CB2269">
        <w:rPr>
          <w:rFonts w:ascii="Arial" w:hAnsi="Arial" w:cs="Arial"/>
          <w:b/>
        </w:rPr>
        <w:t>Supplementary Table 2.</w:t>
      </w:r>
      <w:proofErr w:type="gramEnd"/>
      <w:r w:rsidRPr="00CB2269">
        <w:rPr>
          <w:rFonts w:ascii="Arial" w:hAnsi="Arial" w:cs="Arial"/>
          <w:b/>
        </w:rPr>
        <w:t xml:space="preserve"> </w:t>
      </w:r>
      <w:proofErr w:type="gramStart"/>
      <w:r w:rsidRPr="00CB2269">
        <w:rPr>
          <w:rFonts w:ascii="Arial" w:hAnsi="Arial" w:cs="Arial"/>
        </w:rPr>
        <w:t>Determination of specificity of primers to differentiate between M and U products.</w:t>
      </w:r>
      <w:proofErr w:type="gramEnd"/>
      <w:r w:rsidRPr="00CB2269">
        <w:rPr>
          <w:rFonts w:ascii="Arial" w:hAnsi="Arial" w:cs="Arial"/>
        </w:rPr>
        <w:t xml:space="preserve"> Since specificity of MSP primers have been previously demonstrated for MSP by sequencing of products, by restriction analysis of MSP products, or by </w:t>
      </w:r>
      <w:proofErr w:type="spellStart"/>
      <w:r w:rsidRPr="00CB2269">
        <w:rPr>
          <w:rFonts w:ascii="Arial" w:hAnsi="Arial" w:cs="Arial"/>
        </w:rPr>
        <w:t>meltcurve</w:t>
      </w:r>
      <w:proofErr w:type="spellEnd"/>
      <w:r w:rsidRPr="00CB2269">
        <w:rPr>
          <w:rFonts w:ascii="Arial" w:hAnsi="Arial" w:cs="Arial"/>
        </w:rPr>
        <w:t xml:space="preserve"> analysis of MSP products, we have included an analysis of U and M MS-</w:t>
      </w:r>
      <w:proofErr w:type="spellStart"/>
      <w:r w:rsidRPr="00CB2269">
        <w:rPr>
          <w:rFonts w:ascii="Arial" w:hAnsi="Arial" w:cs="Arial"/>
        </w:rPr>
        <w:t>qFRET</w:t>
      </w:r>
      <w:proofErr w:type="spellEnd"/>
      <w:r w:rsidRPr="00CB2269">
        <w:rPr>
          <w:rFonts w:ascii="Arial" w:hAnsi="Arial" w:cs="Arial"/>
        </w:rPr>
        <w:t xml:space="preserve"> products and confirm that this approach remains specific for unmethylated or methylated amplification. The results above are average Tm values from 3 different </w:t>
      </w:r>
      <w:r w:rsidRPr="007526CB">
        <w:rPr>
          <w:rFonts w:ascii="Arial" w:hAnsi="Arial" w:cs="Arial"/>
          <w:i/>
        </w:rPr>
        <w:t>CDKN2a</w:t>
      </w:r>
      <w:r w:rsidRPr="00CB2269">
        <w:rPr>
          <w:rFonts w:ascii="Arial" w:hAnsi="Arial" w:cs="Arial"/>
        </w:rPr>
        <w:t xml:space="preserve"> M and U reactions that have been generated using 50 </w:t>
      </w:r>
      <w:proofErr w:type="spellStart"/>
      <w:r w:rsidRPr="00CB2269">
        <w:rPr>
          <w:rFonts w:ascii="Arial" w:hAnsi="Arial" w:cs="Arial"/>
        </w:rPr>
        <w:t>ng</w:t>
      </w:r>
      <w:proofErr w:type="spellEnd"/>
      <w:r w:rsidRPr="00CB2269">
        <w:rPr>
          <w:rFonts w:ascii="Arial" w:hAnsi="Arial" w:cs="Arial"/>
        </w:rPr>
        <w:t xml:space="preserve"> IVD and 50 </w:t>
      </w:r>
      <w:proofErr w:type="spellStart"/>
      <w:r w:rsidRPr="00CB2269">
        <w:rPr>
          <w:rFonts w:ascii="Arial" w:hAnsi="Arial" w:cs="Arial"/>
        </w:rPr>
        <w:t>ng</w:t>
      </w:r>
      <w:proofErr w:type="spellEnd"/>
      <w:r w:rsidRPr="00CB2269">
        <w:rPr>
          <w:rFonts w:ascii="Arial" w:hAnsi="Arial" w:cs="Arial"/>
        </w:rPr>
        <w:t xml:space="preserve"> NL as input DNA. As observed, clear differences in Tm for M and U are observed.  We compared these Tm values with those from regular unlabeled MSP primers and the values were comparable. This demonstrates</w:t>
      </w:r>
      <w:r>
        <w:rPr>
          <w:rFonts w:ascii="Arial" w:hAnsi="Arial" w:cs="Arial"/>
        </w:rPr>
        <w:t xml:space="preserve"> </w:t>
      </w:r>
      <w:r w:rsidRPr="00CB2269">
        <w:rPr>
          <w:rFonts w:ascii="Arial" w:hAnsi="Arial" w:cs="Arial"/>
        </w:rPr>
        <w:t xml:space="preserve">that labeling the primers with biotin and a fluorophore does not limit specificity of the reaction. </w:t>
      </w:r>
    </w:p>
    <w:p w:rsidR="004959E9" w:rsidRDefault="004959E9" w:rsidP="004959E9">
      <w:pPr>
        <w:rPr>
          <w:rFonts w:ascii="Arial" w:hAnsi="Arial" w:cs="Arial"/>
        </w:rPr>
      </w:pPr>
    </w:p>
    <w:p w:rsidR="004959E9" w:rsidRDefault="004959E9" w:rsidP="004959E9">
      <w:pPr>
        <w:rPr>
          <w:rFonts w:ascii="Arial" w:hAnsi="Arial" w:cs="Arial"/>
        </w:rPr>
      </w:pPr>
    </w:p>
    <w:p w:rsidR="004959E9" w:rsidRDefault="004959E9" w:rsidP="004959E9">
      <w:pPr>
        <w:rPr>
          <w:rFonts w:ascii="Arial" w:hAnsi="Arial" w:cs="Arial"/>
        </w:rPr>
      </w:pPr>
    </w:p>
    <w:p w:rsidR="004959E9" w:rsidRPr="00D828D1" w:rsidRDefault="004959E9" w:rsidP="004959E9">
      <w:pPr>
        <w:rPr>
          <w:rFonts w:ascii="Arial" w:hAnsi="Arial" w:cs="Arial"/>
        </w:rPr>
      </w:pPr>
    </w:p>
    <w:p w:rsidR="00202ED5" w:rsidRDefault="00202ED5"/>
    <w:sectPr w:rsidR="00202ED5" w:rsidSect="00202E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59E9"/>
    <w:rsid w:val="0001406B"/>
    <w:rsid w:val="00202ED5"/>
    <w:rsid w:val="00495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9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Vasudev Bailey</dc:creator>
  <cp:lastModifiedBy>Vasudev Bailey</cp:lastModifiedBy>
  <cp:revision>1</cp:revision>
  <dcterms:created xsi:type="dcterms:W3CDTF">2009-05-11T21:08:00Z</dcterms:created>
  <dcterms:modified xsi:type="dcterms:W3CDTF">2009-05-11T21:12:00Z</dcterms:modified>
</cp:coreProperties>
</file>